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header4.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header8.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media/image9.wmf" ContentType="image/x-wmf"/>
  <Override PartName="/word/media/image10.wmf" ContentType="image/x-wmf"/>
  <Override PartName="/word/media/image13.wmf" ContentType="image/x-wmf"/>
  <Override PartName="/word/media/image21.wmf" ContentType="image/x-wmf"/>
  <Override PartName="/word/media/image8.wmf" ContentType="image/x-wmf"/>
  <Override PartName="/word/media/image12.wmf" ContentType="image/x-wmf"/>
  <Override PartName="/word/media/image20.wmf" ContentType="image/x-wmf"/>
  <Override PartName="/word/media/image7.wmf" ContentType="image/x-wmf"/>
  <Override PartName="/word/media/image11.wmf" ContentType="image/x-wmf"/>
  <Override PartName="/word/media/image19.wmf" ContentType="image/x-wmf"/>
  <Override PartName="/word/media/image1.png" ContentType="image/png"/>
  <Override PartName="/word/media/image18.wmf" ContentType="image/x-wmf"/>
  <Override PartName="/word/media/image17.wmf" ContentType="image/x-wmf"/>
  <Override PartName="/word/media/image16.wmf" ContentType="image/x-wmf"/>
  <Override PartName="/word/media/image15.wmf" ContentType="image/x-wmf"/>
  <Override PartName="/word/media/image22.wmf" ContentType="image/x-wmf"/>
  <Override PartName="/word/media/image14.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Москва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___________________,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widowControl w:val="false"/>
        <w:shd w:val="clear" w:color="auto" w:fill="FFFFFF"/>
        <w:tabs>
          <w:tab w:val="clear" w:pos="709"/>
          <w:tab w:val="left" w:pos="567" w:leader="none"/>
          <w:tab w:val="left" w:pos="1134" w:leader="none"/>
        </w:tabs>
        <w:overflowPunct w:val="false"/>
        <w:ind w:left="0" w:firstLine="708"/>
        <w:jc w:val="both"/>
        <w:textAlignment w:val="baseline"/>
        <w:rPr>
          <w:b/>
          <w:lang w:eastAsia="en-US"/>
        </w:rPr>
      </w:pPr>
      <w:r>
        <w:rPr>
          <w:b/>
          <w:bCs/>
          <w:lang w:eastAsia="en-US"/>
        </w:rPr>
        <w:t xml:space="preserve">«Национальный режим» – </w:t>
      </w:r>
      <w:r>
        <w:rPr>
          <w:b w:val="false"/>
          <w:bCs w:val="false"/>
          <w:lang w:eastAsia="en-US"/>
        </w:rPr>
        <w:t>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rFonts w:eastAsia="Times New Roman" w:cs="Times New Roman"/>
          <w:b/>
          <w:bCs/>
          <w:color w:val="000000"/>
          <w:kern w:val="0"/>
          <w:sz w:val="24"/>
          <w:szCs w:val="24"/>
          <w:shd w:fill="C0C0C0" w:val="clear"/>
          <w:lang w:val="ru-RU" w:eastAsia="ru-RU" w:bidi="ar-SA"/>
        </w:rPr>
        <w:t>«Отходы»</w:t>
      </w:r>
      <w:r>
        <w:rPr>
          <w:rFonts w:eastAsia="Times New Roman" w:cs="Times New Roman"/>
          <w:color w:val="000000"/>
          <w:kern w:val="0"/>
          <w:sz w:val="24"/>
          <w:szCs w:val="24"/>
          <w:shd w:fill="C0C0C0" w:val="clear"/>
          <w:lang w:val="ru-RU" w:eastAsia="ru-RU" w:bidi="ar-SA"/>
        </w:rPr>
        <w:t xml:space="preserve"> </w:t>
      </w:r>
      <w:r>
        <w:rPr>
          <w:rFonts w:eastAsia="Times New Roman" w:cs="Times New Roman"/>
          <w:color w:val="000000"/>
          <w:kern w:val="0"/>
          <w:sz w:val="24"/>
          <w:szCs w:val="24"/>
          <w:shd w:fill="C0C0C0" w:val="clear"/>
          <w:lang w:val="ru-RU" w:eastAsia="en-US" w:bidi="ar-SA"/>
        </w:rPr>
        <w:t>–</w:t>
      </w:r>
      <w:r>
        <w:rPr>
          <w:rFonts w:eastAsia="Times New Roman" w:cs="Times New Roman"/>
          <w:color w:val="000000"/>
          <w:kern w:val="0"/>
          <w:sz w:val="24"/>
          <w:szCs w:val="24"/>
          <w:shd w:fill="C0C0C0" w:val="clear"/>
          <w:lang w:val="ru-RU" w:eastAsia="ru-RU" w:bidi="ar-SA"/>
        </w:rPr>
        <w:t xml:space="preserve"> отходы, извлечённые из водных объектов (древесина, полиэтиленовая тара и другой мусор), отходы от очистки, технического обслуживания, обследования, ремонта, технического перевооружения и реконструкции сороудерживающих решеток / сооружений (древесина, песок от пескоструек, речная дрейссена, тара от лакокрасочных материалов, ветоши, твердые коммунальные отходы и т.д.), образующиеся при оказании Услуг по Договору</w:t>
      </w:r>
      <w:r>
        <w:rPr>
          <w:rStyle w:val="FootnoteReference"/>
          <w:rFonts w:eastAsia="Times New Roman" w:cs="Times New Roman"/>
          <w:color w:val="000000"/>
          <w:kern w:val="0"/>
          <w:sz w:val="24"/>
          <w:szCs w:val="24"/>
          <w:shd w:fill="C0C0C0" w:val="clear"/>
          <w:lang w:val="ru-RU" w:eastAsia="ru-RU" w:bidi="ar-SA"/>
        </w:rPr>
        <w:footnoteReference w:id="2"/>
      </w:r>
      <w:r>
        <w:rPr>
          <w:rFonts w:eastAsia="Times New Roman" w:cs="Times New Roman"/>
          <w:color w:val="000000"/>
          <w:kern w:val="0"/>
          <w:sz w:val="24"/>
          <w:szCs w:val="24"/>
          <w:shd w:fill="C0C0C0" w:val="clear"/>
          <w:lang w:val="ru-RU" w:eastAsia="ru-RU" w:bidi="ar-SA"/>
        </w:rPr>
        <w:t>, ответственность за обращение с которыми несет Исполнитель.</w:t>
      </w:r>
      <w:r>
        <w:rPr>
          <w:rStyle w:val="FootnoteReference"/>
          <w:rFonts w:eastAsia="Times New Roman" w:cs="Times New Roman"/>
          <w:color w:val="000000"/>
          <w:kern w:val="0"/>
          <w:sz w:val="24"/>
          <w:szCs w:val="24"/>
          <w:shd w:fill="C0C0C0" w:val="clear"/>
          <w:lang w:val="ru-RU" w:eastAsia="ru-RU" w:bidi="ar-SA"/>
        </w:rPr>
        <w:footnoteReference w:id="3"/>
      </w:r>
      <w:r>
        <w:rPr>
          <w:lang w:eastAsia="en-US"/>
        </w:rPr>
        <w:t xml:space="preserve">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widowControl w:val="false"/>
        <w:tabs>
          <w:tab w:val="clear" w:pos="709"/>
          <w:tab w:val="left" w:pos="567" w:leader="none"/>
        </w:tabs>
        <w:overflowPunct w:val="true"/>
        <w:spacing w:before="0" w:after="0"/>
        <w:ind w:firstLine="708"/>
        <w:jc w:val="both"/>
        <w:textAlignment w:val="baseline"/>
        <w:rPr>
          <w:highlight w:val="none"/>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shd w:val="clear" w:color="auto" w:fill="FFFFFF"/>
        <w:tabs>
          <w:tab w:val="left" w:pos="284" w:leader="none"/>
          <w:tab w:val="left" w:pos="709" w:leader="none"/>
        </w:tabs>
        <w:ind w:firstLine="709"/>
        <w:jc w:val="both"/>
        <w:rPr>
          <w:lang w:val="ru-RU" w:eastAsia="en-US"/>
        </w:rPr>
      </w:pPr>
      <w:r>
        <w:rPr>
          <w:b/>
          <w:lang w:val="ru-RU" w:eastAsia="en-US"/>
        </w:rPr>
        <w:t xml:space="preserve">«Этап Услуг» – </w:t>
      </w:r>
      <w:r>
        <w:rPr>
          <w:lang w:val="ru-RU" w:eastAsia="en-US"/>
        </w:rPr>
        <w:t>законченный объем Услуг, предусмотренный Графиком оказания Услуг, который обладает признаками завершенности и позволяет перейти к оказанию следующего этапа Услуг.</w:t>
      </w:r>
    </w:p>
    <w:p>
      <w:pPr>
        <w:pStyle w:val="Normal"/>
        <w:shd w:val="clear" w:color="auto" w:fill="FFFFFF"/>
        <w:tabs>
          <w:tab w:val="left" w:pos="284" w:leader="none"/>
          <w:tab w:val="left" w:pos="709" w:leader="none"/>
        </w:tabs>
        <w:ind w:firstLine="709"/>
        <w:jc w:val="both"/>
        <w:rPr>
          <w:lang w:val="ru-RU" w:eastAsia="en-US"/>
        </w:rPr>
      </w:pPr>
      <w:r>
        <w:rPr>
          <w:lang w:val="ru-RU" w:eastAsia="en-US"/>
        </w:rPr>
        <w:t xml:space="preserve">Этап как обособленная часть Услуг, в отношении которой Сторонами в Графике оказания Услуг согласованы сроки выполнения и требования к результатам, считается выделенным в рамках общего объема Услуг и подлежит отдельной приемке Заказчиком в соответствии с разделом 4 Договора. </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________________________________________</w:t>
      </w:r>
      <w:r>
        <w:rPr/>
        <w:t xml:space="preserve"> </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highlight w:val="lightGray"/>
          <w:lang w:val="ru-RU"/>
        </w:rPr>
        <w:t>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numPr>
          <w:ilvl w:val="1"/>
          <w:numId w:val="3"/>
        </w:numPr>
        <w:shd w:val="clear" w:color="auto" w:fill="FFFFFF"/>
        <w:tabs>
          <w:tab w:val="clear" w:pos="709"/>
          <w:tab w:val="left" w:pos="1134" w:leader="none"/>
        </w:tabs>
        <w:ind w:left="0" w:firstLine="709"/>
        <w:jc w:val="both"/>
        <w:rPr>
          <w:bCs/>
          <w:lang w:val="ru-RU"/>
        </w:rPr>
      </w:pPr>
      <w:r>
        <w:rPr>
          <w:bCs/>
          <w:lang w:val="ru-RU"/>
        </w:rPr>
        <w:t xml:space="preserve">Оказание Услуг осуществляется поэтапно. Сроки оказания Этапов Услуг определяются Графиком оказания Услуг (Приложение № 2 к Договору) в рамках общих сроков, указанных в пункте 1.5 Договора. </w:t>
      </w:r>
    </w:p>
    <w:p>
      <w:pPr>
        <w:pStyle w:val="Normal"/>
        <w:widowControl w:val="false"/>
        <w:shd w:val="clear" w:color="auto" w:fill="FFFFFF"/>
        <w:tabs>
          <w:tab w:val="clear" w:pos="709"/>
          <w:tab w:val="left" w:pos="1134" w:leader="none"/>
        </w:tabs>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highlight w:val="lightGray"/>
        </w:rPr>
      </w:pPr>
      <w:bookmarkStart w:id="2" w:name="_Ref361320734"/>
      <w:r>
        <w:rPr>
          <w:highlight w:val="lightGray"/>
        </w:rPr>
        <w:t>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по Акту сдачи-приемки технической и иной документации (Приложение № 4 к Договору).</w:t>
      </w:r>
      <w:bookmarkEnd w:id="2"/>
    </w:p>
    <w:p>
      <w:pPr>
        <w:pStyle w:val="ListParagraph"/>
        <w:numPr>
          <w:ilvl w:val="2"/>
          <w:numId w:val="3"/>
        </w:numPr>
        <w:shd w:val="clear" w:color="auto" w:fill="FFFFFF"/>
        <w:tabs>
          <w:tab w:val="clear" w:pos="709"/>
          <w:tab w:val="left" w:pos="1418" w:leader="none"/>
        </w:tabs>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4"/>
        </w:numPr>
        <w:shd w:val="clear" w:color="auto" w:fill="FFFFFF"/>
        <w:tabs>
          <w:tab w:val="clear" w:pos="709"/>
          <w:tab w:val="left" w:pos="710" w:leader="none"/>
        </w:tabs>
        <w:ind w:left="0" w:firstLine="710"/>
        <w:jc w:val="both"/>
        <w:rPr>
          <w:bCs/>
        </w:rPr>
      </w:pPr>
      <w:bookmarkStart w:id="3" w:name="_Ref361334602"/>
      <w:r>
        <w:rPr>
          <w:bCs/>
        </w:rPr>
        <w:t xml:space="preserve">В любое время осуществлять контроль и надзор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4"/>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 и не влечет возникновения права Исполнителя на их оплату.</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bookmarkEnd w:id="4"/>
    </w:p>
    <w:p>
      <w:pPr>
        <w:pStyle w:val="ListParagraph"/>
        <w:numPr>
          <w:ilvl w:val="2"/>
          <w:numId w:val="14"/>
        </w:numPr>
        <w:shd w:val="clear" w:color="auto" w:fill="FFFFFF"/>
        <w:tabs>
          <w:tab w:val="clear" w:pos="709"/>
          <w:tab w:val="left" w:pos="1418" w:leader="none"/>
        </w:tabs>
        <w:ind w:left="0" w:firstLine="709"/>
        <w:jc w:val="both"/>
        <w:rPr/>
      </w:pPr>
      <w:bookmarkStart w:id="5"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4"/>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4"/>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4"/>
        </w:numPr>
        <w:shd w:val="clear" w:color="auto" w:fill="FFFFFF"/>
        <w:tabs>
          <w:tab w:val="clear" w:pos="709"/>
          <w:tab w:val="left" w:pos="710" w:leader="none"/>
        </w:tabs>
        <w:ind w:left="0" w:firstLine="710"/>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4"/>
        </w:numPr>
        <w:shd w:val="clear" w:color="auto" w:fill="FFFFFF"/>
        <w:tabs>
          <w:tab w:val="clear" w:pos="709"/>
          <w:tab w:val="left" w:pos="710" w:leader="none"/>
        </w:tabs>
        <w:ind w:left="0" w:firstLine="709"/>
        <w:jc w:val="both"/>
        <w:rPr>
          <w:highlight w:val="lightGray"/>
        </w:rPr>
      </w:pPr>
      <w:r>
        <w:rPr>
          <w:bCs/>
          <w:highlight w:val="lightGray"/>
        </w:rPr>
        <w:t xml:space="preserve">В срок, указанный в пункте 2.1.2 Договора, принять от Заказчика на время оказания Услуг по Договору </w:t>
      </w:r>
      <w:r>
        <w:rPr>
          <w:highlight w:val="lightGray"/>
        </w:rPr>
        <w:t>техническую и иную документацию, имеющуюся в наличии у Заказчика и необходимую Исполнителю для выполнения обязательст</w:t>
      </w:r>
      <w:bookmarkStart w:id="6" w:name="_GoBack"/>
      <w:bookmarkEnd w:id="6"/>
      <w:r>
        <w:rPr>
          <w:highlight w:val="lightGray"/>
        </w:rPr>
        <w:t>в по Договору, по Акту сдачи-приемки технической и иной документации (Приложение № 4 к Договору).</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4"/>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4"/>
        </w:numPr>
        <w:shd w:val="clear" w:color="auto" w:fill="FFFFFF"/>
        <w:ind w:left="0" w:firstLine="710"/>
        <w:jc w:val="both"/>
        <w:rPr>
          <w:highlight w:val="lightGray"/>
        </w:rPr>
      </w:pPr>
      <w:r>
        <w:rPr>
          <w:highlight w:val="lightGray"/>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highlight w:val="lightGray"/>
        </w:rPr>
        <w:t>разделе 13 Договора</w:t>
      </w:r>
      <w:r>
        <w:rPr>
          <w:highlight w:val="lightGray"/>
        </w:rPr>
        <w:t>, – не позднее 3 (трех) рабочих дней с даты получения соответствующего требования Заказчика.</w:t>
      </w:r>
    </w:p>
    <w:p>
      <w:pPr>
        <w:pStyle w:val="ListParagraph"/>
        <w:numPr>
          <w:ilvl w:val="2"/>
          <w:numId w:val="14"/>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Провести инструктаж персонала, задействованного при оказании Услуг и обеспечить </w:t>
      </w:r>
      <w:r>
        <w:rPr>
          <w:bCs/>
          <w:highlight w:val="lightGray"/>
        </w:rPr>
        <w:t xml:space="preserve">соблюдение (в том числе указанным персоналом) </w:t>
      </w:r>
      <w:r>
        <w:rPr>
          <w:highlight w:val="lightGray"/>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4"/>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4"/>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4"/>
        </w:numPr>
        <w:shd w:val="clear" w:color="auto" w:fill="FFFFFF"/>
        <w:tabs>
          <w:tab w:val="clear" w:pos="709"/>
          <w:tab w:val="left" w:pos="1418" w:leader="none"/>
        </w:tabs>
        <w:ind w:left="0" w:firstLine="709"/>
        <w:jc w:val="both"/>
        <w:rPr/>
      </w:pPr>
      <w:bookmarkStart w:id="7"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14"/>
        </w:numPr>
        <w:shd w:val="clear" w:color="auto" w:fill="FFFFFF"/>
        <w:tabs>
          <w:tab w:val="clear" w:pos="709"/>
          <w:tab w:val="left" w:pos="1701" w:leader="none"/>
        </w:tabs>
        <w:ind w:left="0" w:firstLine="709"/>
        <w:jc w:val="both"/>
        <w:rPr/>
      </w:pPr>
      <w:bookmarkStart w:id="8"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t xml:space="preserve"> </w:t>
      </w:r>
    </w:p>
    <w:p>
      <w:pPr>
        <w:pStyle w:val="ListParagraph"/>
        <w:numPr>
          <w:ilvl w:val="3"/>
          <w:numId w:val="14"/>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4"/>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4"/>
        </w:numPr>
        <w:shd w:val="clear" w:color="auto" w:fill="FFFFFF"/>
        <w:tabs>
          <w:tab w:val="clear" w:pos="709"/>
          <w:tab w:val="left" w:pos="1418" w:leader="none"/>
        </w:tabs>
        <w:ind w:left="0" w:firstLine="709"/>
        <w:jc w:val="both"/>
        <w:rPr/>
      </w:pPr>
      <w:r>
        <w:rPr/>
        <w:t>Предоставить Заказчику банковские гарантии в соответствии с разделом 5 Договора.</w:t>
      </w:r>
    </w:p>
    <w:p>
      <w:pPr>
        <w:pStyle w:val="ListParagraph"/>
        <w:numPr>
          <w:ilvl w:val="2"/>
          <w:numId w:val="14"/>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4"/>
        </w:numPr>
        <w:shd w:val="clear" w:color="auto" w:fill="FFFFFF"/>
        <w:tabs>
          <w:tab w:val="clear" w:pos="709"/>
          <w:tab w:val="left" w:pos="1418" w:leader="none"/>
        </w:tabs>
        <w:ind w:left="0" w:firstLine="709"/>
        <w:jc w:val="both"/>
        <w:rPr>
          <w:bCs/>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w:t>
      </w:r>
      <w:r>
        <w:rPr/>
        <w:t xml:space="preserve"> </w:t>
      </w:r>
      <w:r>
        <w:rPr>
          <w:highlight w:val="lightGray"/>
        </w:rPr>
        <w:t>привлеченными им Субисполнителями</w:t>
      </w:r>
      <w:r>
        <w:rPr/>
        <w:t xml:space="preserve"> вреда жизни или здоровью людей, имуществу Заказчика или третьих лиц, без какого-либо ограничения размера такого возмещения</w:t>
      </w:r>
      <w:r>
        <w:rPr>
          <w:bCs/>
        </w:rPr>
        <w:t>.</w:t>
      </w:r>
    </w:p>
    <w:p>
      <w:pPr>
        <w:pStyle w:val="ListParagraph"/>
        <w:numPr>
          <w:ilvl w:val="2"/>
          <w:numId w:val="14"/>
        </w:numPr>
        <w:shd w:val="clear" w:color="auto" w:fill="FFFFFF"/>
        <w:tabs>
          <w:tab w:val="clear" w:pos="709"/>
          <w:tab w:val="left" w:pos="710" w:leader="none"/>
        </w:tabs>
        <w:ind w:left="0" w:firstLine="709"/>
        <w:jc w:val="both"/>
        <w:rPr/>
      </w:pPr>
      <w:r>
        <w:rPr/>
        <w:t xml:space="preserve"> </w:t>
      </w: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4"/>
        </w:numPr>
        <w:shd w:val="clear" w:color="auto" w:fill="FFFFFF"/>
        <w:tabs>
          <w:tab w:val="clear" w:pos="709"/>
          <w:tab w:val="left" w:pos="1418" w:leader="none"/>
        </w:tabs>
        <w:ind w:left="0" w:firstLine="709"/>
        <w:jc w:val="both"/>
        <w:rPr/>
      </w:pPr>
      <w:r>
        <w:rPr>
          <w:highlight w:val="lightGray"/>
        </w:rPr>
        <w:t>До даты окончания оказания Услуг обеспечить за свой счет исполнение обязанностей в области обращения с Отходами, в том числе:</w:t>
      </w:r>
    </w:p>
    <w:p>
      <w:pPr>
        <w:pStyle w:val="ListParagraph"/>
        <w:numPr>
          <w:ilvl w:val="3"/>
          <w:numId w:val="14"/>
        </w:numPr>
        <w:shd w:val="clear" w:color="auto" w:fill="FFFFFF"/>
        <w:tabs>
          <w:tab w:val="clear" w:pos="709"/>
          <w:tab w:val="left" w:pos="1418" w:leader="none"/>
        </w:tabs>
        <w:ind w:left="0" w:firstLine="709"/>
        <w:jc w:val="both"/>
        <w:rPr>
          <w:highlight w:val="none"/>
          <w:shd w:fill="C0C0C0" w:val="clear"/>
        </w:rPr>
      </w:pPr>
      <w:r>
        <w:rPr>
          <w:bCs/>
          <w:shd w:fill="C0C0C0" w:val="clear"/>
        </w:rPr>
        <w:t xml:space="preserve">Обеспечить за свой счет осуществление деятельности по сбору, накоплению, транспортированию, обработке, утилизации, обезвреживанию, </w:t>
      </w:r>
      <w:r>
        <w:rPr>
          <w:rFonts w:eastAsia="Times New Roman" w:cs="Times New Roman"/>
          <w:bCs/>
          <w:color w:val="000000"/>
          <w:kern w:val="0"/>
          <w:sz w:val="24"/>
          <w:szCs w:val="24"/>
          <w:shd w:fill="C0C0C0" w:val="clear"/>
          <w:lang w:val="ru-RU" w:eastAsia="ru-RU" w:bidi="ar-SA"/>
        </w:rPr>
        <w:t>размещению</w:t>
      </w:r>
      <w:r>
        <w:rPr>
          <w:bCs/>
          <w:shd w:fill="C0C0C0" w:val="clear"/>
        </w:rPr>
        <w:t xml:space="preserve"> Отходов, а также внесение платы за негативное воздействие на окружающую среду (далее </w:t>
      </w:r>
      <w:r>
        <w:rPr>
          <w:b w:val="false"/>
          <w:bCs/>
          <w:sz w:val="24"/>
          <w:szCs w:val="24"/>
          <w:shd w:fill="C0C0C0" w:val="clear"/>
          <w:lang w:val="ru-RU" w:eastAsia="en-US"/>
        </w:rPr>
        <w:t>–</w:t>
      </w:r>
      <w:r>
        <w:rPr>
          <w:bCs/>
          <w:shd w:fill="C0C0C0" w:val="clear"/>
        </w:rPr>
        <w:t xml:space="preserve"> НВОС) при размещении Отходов.</w:t>
      </w:r>
    </w:p>
    <w:p>
      <w:pPr>
        <w:pStyle w:val="ListParagraph"/>
        <w:numPr>
          <w:ilvl w:val="3"/>
          <w:numId w:val="14"/>
        </w:numPr>
        <w:shd w:val="clear" w:color="auto" w:fill="FFFFFF"/>
        <w:tabs>
          <w:tab w:val="clear" w:pos="709"/>
          <w:tab w:val="left" w:pos="1418" w:leader="none"/>
        </w:tabs>
        <w:ind w:left="0" w:firstLine="709"/>
        <w:jc w:val="both"/>
        <w:rPr>
          <w:highlight w:val="none"/>
          <w:shd w:fill="C0C0C0" w:val="clear"/>
        </w:rPr>
      </w:pPr>
      <w:r>
        <w:rPr>
          <w:shd w:fill="C0C0C0" w:val="clear"/>
        </w:rPr>
        <w:t xml:space="preserve">Обеспечить накопление </w:t>
      </w:r>
      <w:r>
        <w:rPr>
          <w:rFonts w:eastAsia="Times New Roman" w:cs="Times New Roman"/>
          <w:color w:val="000000"/>
          <w:kern w:val="0"/>
          <w:sz w:val="24"/>
          <w:szCs w:val="24"/>
          <w:shd w:fill="C0C0C0" w:val="clear"/>
          <w:lang w:val="ru-RU" w:eastAsia="ru-RU" w:bidi="ar-SA"/>
        </w:rPr>
        <w:t>Отходов</w:t>
      </w:r>
      <w:r>
        <w:rPr>
          <w:shd w:fill="C0C0C0" w:val="clear"/>
        </w:rPr>
        <w:t xml:space="preserve"> в </w:t>
      </w:r>
      <w:r>
        <w:rPr>
          <w:rFonts w:eastAsia="Times New Roman" w:cs="Times New Roman"/>
          <w:color w:val="000000"/>
          <w:kern w:val="0"/>
          <w:sz w:val="24"/>
          <w:szCs w:val="24"/>
          <w:shd w:fill="C0C0C0" w:val="clear"/>
          <w:lang w:val="ru-RU" w:eastAsia="ru-RU" w:bidi="ar-SA"/>
        </w:rPr>
        <w:t>местах</w:t>
      </w:r>
      <w:r>
        <w:rPr>
          <w:shd w:fill="C0C0C0" w:val="clear"/>
        </w:rPr>
        <w:t>, указанных или согласованных с Заказчиком.</w:t>
      </w:r>
    </w:p>
    <w:p>
      <w:pPr>
        <w:pStyle w:val="ListParagraph"/>
        <w:numPr>
          <w:ilvl w:val="3"/>
          <w:numId w:val="14"/>
        </w:numPr>
        <w:shd w:val="clear" w:color="auto" w:fill="FFFFFF"/>
        <w:tabs>
          <w:tab w:val="clear" w:pos="709"/>
          <w:tab w:val="left" w:pos="1418" w:leader="none"/>
        </w:tabs>
        <w:ind w:left="0" w:firstLine="709"/>
        <w:jc w:val="both"/>
        <w:rPr>
          <w:highlight w:val="none"/>
          <w:shd w:fill="C0C0C0" w:val="clear"/>
        </w:rPr>
      </w:pPr>
      <w:r>
        <w:rPr>
          <w:shd w:fill="C0C0C0" w:val="clear"/>
        </w:rPr>
        <w:t>Своевременно</w:t>
      </w:r>
      <w:r>
        <w:rPr>
          <w:rStyle w:val="FootnoteReference"/>
          <w:shd w:fill="C0C0C0" w:val="clear"/>
        </w:rPr>
        <w:footnoteReference w:id="4"/>
      </w:r>
      <w:r>
        <w:rPr>
          <w:shd w:fill="C0C0C0" w:val="clear"/>
        </w:rPr>
        <w:t xml:space="preserve"> транспортировать Отходы из мест накопления на объекты </w:t>
      </w:r>
      <w:r>
        <w:rPr>
          <w:rFonts w:eastAsia="Times New Roman" w:cs="Times New Roman"/>
          <w:color w:val="000000"/>
          <w:kern w:val="0"/>
          <w:sz w:val="24"/>
          <w:szCs w:val="24"/>
          <w:shd w:fill="C0C0C0" w:val="clear"/>
          <w:lang w:val="ru-RU" w:eastAsia="ru-RU" w:bidi="ar-SA"/>
        </w:rPr>
        <w:t>сбора</w:t>
      </w:r>
      <w:r>
        <w:rPr>
          <w:shd w:fill="C0C0C0" w:val="clear"/>
        </w:rPr>
        <w:t xml:space="preserve">, обработки, </w:t>
      </w:r>
      <w:r>
        <w:rPr>
          <w:rFonts w:eastAsia="Times New Roman" w:cs="Times New Roman"/>
          <w:color w:val="000000"/>
          <w:kern w:val="0"/>
          <w:sz w:val="24"/>
          <w:szCs w:val="24"/>
          <w:shd w:fill="C0C0C0" w:val="clear"/>
          <w:lang w:val="ru-RU" w:eastAsia="ru-RU" w:bidi="ar-SA"/>
        </w:rPr>
        <w:t>утилизации</w:t>
      </w:r>
      <w:r>
        <w:rPr>
          <w:shd w:fill="C0C0C0" w:val="clear"/>
        </w:rPr>
        <w:t>, обезвреживания, размещения Отходов в соответствии с соблюдением экологических требований, санитарно-</w:t>
      </w:r>
      <w:r>
        <w:rPr>
          <w:rFonts w:eastAsia="Times New Roman" w:cs="Times New Roman"/>
          <w:color w:val="000000"/>
          <w:kern w:val="0"/>
          <w:sz w:val="24"/>
          <w:szCs w:val="24"/>
          <w:shd w:fill="C0C0C0" w:val="clear"/>
          <w:lang w:val="ru-RU" w:eastAsia="ru-RU" w:bidi="ar-SA"/>
        </w:rPr>
        <w:t>эпидемиологических</w:t>
      </w:r>
      <w:r>
        <w:rPr>
          <w:shd w:fill="C0C0C0" w:val="clear"/>
        </w:rPr>
        <w:t xml:space="preserve"> требований и иных требований, установленных законодательством </w:t>
      </w:r>
      <w:r>
        <w:rPr>
          <w:rFonts w:eastAsia="Times New Roman" w:cs="Times New Roman"/>
          <w:color w:val="000000"/>
          <w:kern w:val="0"/>
          <w:sz w:val="24"/>
          <w:szCs w:val="24"/>
          <w:shd w:fill="C0C0C0" w:val="clear"/>
          <w:lang w:val="ru-RU" w:eastAsia="ru-RU" w:bidi="ar-SA"/>
        </w:rPr>
        <w:t>Российской</w:t>
      </w:r>
      <w:r>
        <w:rPr>
          <w:shd w:fill="C0C0C0" w:val="clear"/>
        </w:rPr>
        <w:t xml:space="preserve"> </w:t>
      </w:r>
      <w:r>
        <w:rPr>
          <w:rFonts w:eastAsia="Times New Roman" w:cs="Times New Roman"/>
          <w:color w:val="000000"/>
          <w:kern w:val="0"/>
          <w:sz w:val="24"/>
          <w:szCs w:val="24"/>
          <w:shd w:fill="C0C0C0" w:val="clear"/>
          <w:lang w:val="ru-RU" w:eastAsia="ru-RU" w:bidi="ar-SA"/>
        </w:rPr>
        <w:t>Федерации об автомобильном, железнодорожном, воздушном, внутреннем водном и морском транспорте, а также требованиями, установленными локальными нормативными документами (актами) Заказчика в области обращения с Отходами на территории Заказчика.</w:t>
      </w:r>
    </w:p>
    <w:p>
      <w:pPr>
        <w:pStyle w:val="ListParagraph"/>
        <w:numPr>
          <w:ilvl w:val="3"/>
          <w:numId w:val="14"/>
        </w:numPr>
        <w:shd w:val="clear" w:color="auto" w:fill="FFFFFF"/>
        <w:tabs>
          <w:tab w:val="clear" w:pos="709"/>
          <w:tab w:val="left" w:pos="1418" w:leader="none"/>
        </w:tabs>
        <w:ind w:left="0" w:firstLine="709"/>
        <w:jc w:val="both"/>
        <w:rPr>
          <w:highlight w:val="none"/>
          <w:shd w:fill="C0C0C0" w:val="clear"/>
        </w:rPr>
      </w:pPr>
      <w:r>
        <w:rPr>
          <w:rFonts w:eastAsia="Times New Roman" w:cs="Times New Roman"/>
          <w:color w:val="000000"/>
          <w:kern w:val="0"/>
          <w:sz w:val="24"/>
          <w:szCs w:val="24"/>
          <w:shd w:fill="C0C0C0" w:val="clear"/>
          <w:lang w:val="ru-RU" w:eastAsia="ru-RU" w:bidi="ar-SA"/>
        </w:rPr>
        <w:t>Предоставить Заказчику копию распорядительного документа о назначении лица, допущенного к сбору, транспортированию, обработке, утилизации, обезвреживанию, размещению Отходов и несущего ответственность за деятельность в области обращения с Отходами.</w:t>
      </w:r>
    </w:p>
    <w:p>
      <w:pPr>
        <w:pStyle w:val="ListParagraph"/>
        <w:numPr>
          <w:ilvl w:val="3"/>
          <w:numId w:val="14"/>
        </w:numPr>
        <w:shd w:val="clear" w:color="auto" w:fill="FFFFFF"/>
        <w:tabs>
          <w:tab w:val="clear" w:pos="709"/>
          <w:tab w:val="left" w:pos="1418" w:leader="none"/>
        </w:tabs>
        <w:ind w:left="0" w:firstLine="709"/>
        <w:jc w:val="both"/>
        <w:rPr>
          <w:highlight w:val="none"/>
          <w:shd w:fill="C0C0C0" w:val="clear"/>
        </w:rPr>
      </w:pPr>
      <w:r>
        <w:rPr>
          <w:rFonts w:eastAsia="Times New Roman" w:cs="Times New Roman"/>
          <w:color w:val="000000"/>
          <w:kern w:val="0"/>
          <w:sz w:val="24"/>
          <w:szCs w:val="24"/>
          <w:highlight w:val="lightGray"/>
          <w:shd w:fill="C0C0C0" w:val="clear"/>
          <w:lang w:val="ru-RU" w:eastAsia="ru-RU" w:bidi="ar-SA"/>
        </w:rPr>
        <w:t>В случае необходимости осуществления деятельности в области обращения с Отходами I-IV классов опасности иметь соответствующие допуски, разрешения и / или лицензии или привлечь третьих лиц, имеющих право выполнения работ / оказания услуг по обращению с Отходами I-IV классов опасности с включением расходов по договору выполнения работ / оказания услуг по обращению с Отходами I-IV классов опасности в Расчет стоимости Услуг, в том числе допускать к обращению с Отходами I-IV классов опасности только лиц, имеющих профессиональную подготовку, подтвержденную свидетельствами (сертификатами) на право работ с Отходами I-IV классов опасности. Исполнитель обязан предоставить Заказчику копию соответствующих допусков, разрешений, лицензии и / или свидетельств (сертификатов).</w:t>
      </w:r>
      <w:r>
        <w:rPr>
          <w:rStyle w:val="FootnoteReference"/>
          <w:rFonts w:eastAsia="Times New Roman" w:cs="Times New Roman"/>
          <w:color w:val="000000"/>
          <w:kern w:val="0"/>
          <w:sz w:val="24"/>
          <w:szCs w:val="24"/>
          <w:highlight w:val="lightGray"/>
          <w:shd w:fill="C0C0C0" w:val="clear"/>
          <w:lang w:val="ru-RU" w:eastAsia="ru-RU" w:bidi="ar-SA"/>
        </w:rPr>
        <w:footnoteReference w:id="5"/>
      </w:r>
    </w:p>
    <w:p>
      <w:pPr>
        <w:pStyle w:val="ListParagraph"/>
        <w:shd w:val="clear" w:color="auto" w:fill="FFFFFF"/>
        <w:tabs>
          <w:tab w:val="clear" w:pos="709"/>
          <w:tab w:val="left" w:pos="1418" w:leader="none"/>
        </w:tabs>
        <w:ind w:left="0" w:firstLine="709"/>
        <w:jc w:val="both"/>
        <w:rPr>
          <w:highlight w:val="none"/>
          <w:shd w:fill="C0C0C0" w:val="clear"/>
        </w:rPr>
      </w:pPr>
      <w:r>
        <w:rPr>
          <w:shd w:fill="C0C0C0" w:val="clear"/>
        </w:rPr>
      </w:r>
    </w:p>
    <w:p>
      <w:pPr>
        <w:pStyle w:val="ListParagraph"/>
        <w:numPr>
          <w:ilvl w:val="2"/>
          <w:numId w:val="14"/>
        </w:numPr>
        <w:shd w:val="clear" w:color="auto" w:fill="FFFFFF"/>
        <w:tabs>
          <w:tab w:val="clear" w:pos="709"/>
          <w:tab w:val="left" w:pos="851" w:leader="none"/>
          <w:tab w:val="left" w:pos="1418" w:leader="none"/>
        </w:tabs>
        <w:ind w:left="0" w:firstLine="709"/>
        <w:jc w:val="both"/>
        <w:rPr>
          <w:highlight w:val="lightGray"/>
        </w:rPr>
      </w:pPr>
      <w:r>
        <w:rPr>
          <w:highlight w:val="lightGray"/>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pPr>
        <w:pStyle w:val="ListParagraph"/>
        <w:numPr>
          <w:ilvl w:val="2"/>
          <w:numId w:val="14"/>
        </w:numPr>
        <w:shd w:val="clear" w:color="auto" w:fill="FFFFFF"/>
        <w:tabs>
          <w:tab w:val="clear" w:pos="709"/>
          <w:tab w:val="left" w:pos="851" w:leader="none"/>
          <w:tab w:val="left" w:pos="1418" w:leader="none"/>
        </w:tabs>
        <w:ind w:left="0" w:firstLine="709"/>
        <w:jc w:val="both"/>
        <w:rPr>
          <w:bCs/>
        </w:rPr>
      </w:pPr>
      <w:r>
        <w:rPr/>
        <w:t>Письменно</w:t>
      </w:r>
      <w:r>
        <w:rPr>
          <w:bCs/>
        </w:rPr>
        <w:t xml:space="preserve">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14"/>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4"/>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4"/>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Style19"/>
        <w:tabs>
          <w:tab w:val="clear" w:pos="360"/>
        </w:tabs>
        <w:rPr>
          <w:rFonts w:ascii="Times New Roman" w:hAnsi="Times New Roman"/>
          <w:sz w:val="24"/>
          <w:szCs w:val="24"/>
        </w:rPr>
      </w:pPr>
      <w:r>
        <w:rPr>
          <w:rFonts w:ascii="Times New Roman" w:hAnsi="Times New Roman"/>
          <w:sz w:val="24"/>
          <w:szCs w:val="24"/>
        </w:rPr>
      </w:r>
    </w:p>
    <w:p>
      <w:pPr>
        <w:pStyle w:val="ListParagraph"/>
        <w:numPr>
          <w:ilvl w:val="1"/>
          <w:numId w:val="14"/>
        </w:numPr>
        <w:shd w:val="clear" w:color="auto" w:fill="FFFFFF"/>
        <w:tabs>
          <w:tab w:val="clear" w:pos="709"/>
          <w:tab w:val="left" w:pos="1134" w:leader="none"/>
        </w:tabs>
        <w:ind w:left="0" w:firstLine="709"/>
        <w:jc w:val="both"/>
        <w:rPr>
          <w:u w:val="single"/>
        </w:rPr>
      </w:pPr>
      <w:r>
        <w:rPr>
          <w:u w:val="single"/>
        </w:rPr>
        <w:t>Исполнитель имеет право:</w:t>
      </w:r>
    </w:p>
    <w:p>
      <w:pPr>
        <w:pStyle w:val="ListParagraph"/>
        <w:numPr>
          <w:ilvl w:val="2"/>
          <w:numId w:val="20"/>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20"/>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0"/>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20"/>
        </w:numPr>
        <w:shd w:val="clear" w:color="auto" w:fill="FFFFFF"/>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6"/>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5"/>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5"/>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5"/>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4"/>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3"/>
          <w:numId w:val="20"/>
        </w:numPr>
        <w:ind w:left="0" w:firstLine="709"/>
        <w:jc w:val="both"/>
        <w:rPr/>
      </w:pPr>
      <w:r>
        <w:rPr>
          <w:bCs/>
          <w:highlight w:val="lightGray"/>
        </w:rPr>
        <w:t xml:space="preserve">Исполнитель вправе заключить договор на оказание услуг по обращению с Отходами с третьими лицами с учетом ограничения и на условиях, предусмотренного пунктом 2.4.4. Договора. </w:t>
      </w:r>
    </w:p>
    <w:p>
      <w:pPr>
        <w:pStyle w:val="ListParagraph"/>
        <w:ind w:left="0" w:firstLine="709"/>
        <w:jc w:val="both"/>
        <w:rPr/>
      </w:pPr>
      <w:r>
        <w:rPr>
          <w:bCs/>
          <w:highlight w:val="lightGray"/>
        </w:rPr>
        <w:t xml:space="preserve">При этом оплата по договору, указанному в настоящем пункте Договора, осуществляется Исполнителем с включением </w:t>
      </w:r>
      <w:r>
        <w:rPr>
          <w:rFonts w:eastAsia="Times New Roman" w:cs="Times New Roman"/>
          <w:bCs/>
          <w:color w:val="auto"/>
          <w:kern w:val="0"/>
          <w:sz w:val="24"/>
          <w:szCs w:val="24"/>
          <w:highlight w:val="lightGray"/>
          <w:lang w:val="ru-RU" w:eastAsia="ru-RU" w:bidi="ar-SA"/>
        </w:rPr>
        <w:t>расходов</w:t>
      </w:r>
      <w:r>
        <w:rPr>
          <w:bCs/>
          <w:highlight w:val="lightGray"/>
        </w:rPr>
        <w:t xml:space="preserve"> по соответствующему договору и расходов по внесению платы за НВОС при размещении Отходов в Сводный сметный расчет / Объектный сметный расчет с приложениями.</w:t>
      </w:r>
      <w:r>
        <w:rPr>
          <w:rStyle w:val="FootnoteReference"/>
          <w:bCs/>
          <w:highlight w:val="lightGray"/>
        </w:rPr>
        <w:footnoteReference w:id="7"/>
      </w:r>
    </w:p>
    <w:p>
      <w:pPr>
        <w:pStyle w:val="ListParagraph"/>
        <w:numPr>
          <w:ilvl w:val="2"/>
          <w:numId w:val="20"/>
        </w:numPr>
        <w:ind w:left="0" w:firstLine="709"/>
        <w:jc w:val="both"/>
        <w:rPr/>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8 к Договору</w:t>
      </w:r>
      <w:r>
        <w:rPr>
          <w:rStyle w:val="FootnoteReference"/>
          <w:bCs/>
          <w:highlight w:val="lightGray"/>
        </w:rPr>
        <w:footnoteReference w:id="8"/>
      </w:r>
      <w:r>
        <w:rPr>
          <w:bCs/>
        </w:rPr>
        <w:t>.</w:t>
      </w:r>
    </w:p>
    <w:p>
      <w:pPr>
        <w:pStyle w:val="ListParagraph"/>
        <w:numPr>
          <w:ilvl w:val="1"/>
          <w:numId w:val="20"/>
        </w:numPr>
        <w:shd w:val="clear" w:color="auto" w:fill="FFFFFF"/>
        <w:tabs>
          <w:tab w:val="clear" w:pos="709"/>
          <w:tab w:val="left" w:pos="1134" w:leader="none"/>
        </w:tabs>
        <w:ind w:left="0" w:firstLine="709"/>
        <w:jc w:val="both"/>
        <w:rPr>
          <w:bCs/>
        </w:rPr>
      </w:pPr>
      <w:r>
        <w:rPr>
          <w:bCs/>
          <w:u w:val="single"/>
        </w:rPr>
        <w:t>Иные права и обязанности Сторон</w:t>
      </w:r>
      <w:r>
        <w:rPr>
          <w:bCs/>
        </w:rPr>
        <w:t>:</w:t>
      </w:r>
    </w:p>
    <w:p>
      <w:pPr>
        <w:pStyle w:val="ListParagraph"/>
        <w:numPr>
          <w:ilvl w:val="2"/>
          <w:numId w:val="20"/>
        </w:numPr>
        <w:shd w:val="clear" w:color="auto" w:fill="FFFFFF"/>
        <w:tabs>
          <w:tab w:val="left" w:pos="709" w:leader="none"/>
          <w:tab w:val="left" w:pos="851" w:leader="none"/>
          <w:tab w:val="left" w:pos="1418" w:leader="none"/>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Style6"/>
          <w:highlight w:val="lightGray"/>
        </w:rPr>
        <w:t xml:space="preserve"> </w:t>
      </w:r>
    </w:p>
    <w:p>
      <w:pPr>
        <w:pStyle w:val="ListParagraph"/>
        <w:numPr>
          <w:ilvl w:val="2"/>
          <w:numId w:val="20"/>
        </w:numPr>
        <w:tabs>
          <w:tab w:val="left" w:pos="709" w:leader="none"/>
          <w:tab w:val="left" w:pos="851" w:leader="none"/>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20"/>
        </w:numPr>
        <w:tabs>
          <w:tab w:val="left" w:pos="709" w:leader="none"/>
          <w:tab w:val="left" w:pos="851" w:leader="none"/>
        </w:tabs>
        <w:ind w:left="0" w:firstLine="709"/>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8 к Договору</w:t>
      </w:r>
      <w:r>
        <w:rPr>
          <w:rStyle w:val="FootnoteReference"/>
          <w:highlight w:val="lightGray"/>
        </w:rPr>
        <w:footnoteReference w:id="9"/>
      </w:r>
      <w:r>
        <w:rPr>
          <w:highlight w:val="lightGray"/>
        </w:rPr>
        <w:t>.</w:t>
      </w:r>
    </w:p>
    <w:p>
      <w:pPr>
        <w:pStyle w:val="ListParagraph"/>
        <w:numPr>
          <w:ilvl w:val="1"/>
          <w:numId w:val="20"/>
        </w:numPr>
        <w:tabs>
          <w:tab w:val="left" w:pos="709" w:leader="none"/>
          <w:tab w:val="left" w:pos="851" w:leader="none"/>
        </w:tabs>
        <w:ind w:left="0" w:firstLine="709"/>
        <w:jc w:val="both"/>
        <w:rPr>
          <w:highlight w:val="lightGray"/>
        </w:rPr>
      </w:pPr>
      <w:r>
        <w:rPr>
          <w:highlight w:val="lightGray"/>
        </w:rPr>
        <w:t xml:space="preserve">В случае нарушения Исполнителем условий, предусмотренных пунктами 2.4.5,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19"/>
        <w:tabs>
          <w:tab w:val="clear" w:pos="360"/>
        </w:tabs>
        <w:rPr>
          <w:rFonts w:ascii="Times New Roman" w:hAnsi="Times New Roman"/>
          <w:sz w:val="24"/>
        </w:rPr>
      </w:pPr>
      <w:r>
        <w:rPr>
          <w:rFonts w:ascii="Times New Roman" w:hAnsi="Times New Roman"/>
          <w:sz w:val="24"/>
        </w:rPr>
      </w:r>
    </w:p>
    <w:p>
      <w:pPr>
        <w:pStyle w:val="ListParagraph"/>
        <w:numPr>
          <w:ilvl w:val="0"/>
          <w:numId w:val="14"/>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3"/>
        </w:numPr>
        <w:shd w:val="clear" w:color="auto" w:fill="FFFFFF"/>
        <w:tabs>
          <w:tab w:val="clear" w:pos="709"/>
          <w:tab w:val="left" w:pos="1134" w:leader="none"/>
        </w:tabs>
        <w:ind w:left="0" w:firstLine="709"/>
        <w:jc w:val="both"/>
        <w:rPr/>
      </w:pPr>
      <w:r>
        <w:rPr/>
        <w:t xml:space="preserve">Цена Договора в соответствии со </w:t>
      </w:r>
      <w:r>
        <w:rPr>
          <w:highlight w:val="lightGray"/>
        </w:rPr>
        <w:t>Сводным расчетом стоимости Услуг с приложениями / Расчетом стоимости услуг</w:t>
      </w:r>
      <w:r>
        <w:rPr/>
        <w:t xml:space="preserve"> (Приложение № 3 к Договору) </w:t>
      </w:r>
      <w:r>
        <w:rPr>
          <w:bCs/>
        </w:rPr>
        <w:t>является</w:t>
      </w:r>
      <w:r>
        <w:rPr>
          <w:bCs/>
          <w:highlight w:val="lightGray"/>
        </w:rPr>
        <w:t xml:space="preserve"> предельной / твердой</w:t>
      </w:r>
      <w: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ListParagraph"/>
        <w:numPr>
          <w:ilvl w:val="1"/>
          <w:numId w:val="23"/>
        </w:numPr>
        <w:shd w:val="clear" w:color="auto" w:fill="FFFFFF"/>
        <w:tabs>
          <w:tab w:val="clear" w:pos="709"/>
          <w:tab w:val="left" w:pos="1134" w:leader="none"/>
        </w:tabs>
        <w:ind w:left="0" w:firstLine="709"/>
        <w:jc w:val="both"/>
        <w:rPr/>
      </w:pPr>
      <w:bookmarkStart w:id="9" w:name="_Ref361834605"/>
      <w:r>
        <w:rPr>
          <w:bCs/>
          <w:highlight w:val="lightGray"/>
        </w:rPr>
        <w:t xml:space="preserve">Локальные расчеты стоимости подлежат согласованию Сторонами не позднее </w:t>
      </w:r>
      <w:r>
        <w:rPr>
          <w:highlight w:val="lightGray"/>
        </w:rPr>
        <w:t>30</w:t>
      </w:r>
      <w:r>
        <w:rPr>
          <w:bCs/>
          <w:highlight w:val="lightGray"/>
        </w:rPr>
        <w:t xml:space="preserve"> (</w:t>
      </w:r>
      <w:r>
        <w:rPr>
          <w:highlight w:val="lightGray"/>
        </w:rPr>
        <w:t>тридцати</w:t>
      </w:r>
      <w:r>
        <w:rPr>
          <w:bCs/>
          <w:highlight w:val="lightGray"/>
        </w:rPr>
        <w:t>)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расчетов стоимости Стороны обязаны уточнить Сводный расчет</w:t>
      </w:r>
      <w:r>
        <w:rPr>
          <w:highlight w:val="lightGray"/>
        </w:rPr>
        <w:t xml:space="preserve"> стоимости Услуг</w:t>
      </w:r>
      <w:r>
        <w:rPr>
          <w:bCs/>
          <w:highlight w:val="lightGray"/>
        </w:rPr>
        <w:t xml:space="preserve"> (Приложение № 3 к Договору) путем заключения дополнительного соглашения к Договору.</w:t>
      </w:r>
      <w:bookmarkEnd w:id="9"/>
    </w:p>
    <w:p>
      <w:pPr>
        <w:pStyle w:val="ListParagraph"/>
        <w:shd w:val="clear" w:color="auto" w:fill="FFFFFF"/>
        <w:tabs>
          <w:tab w:val="clear" w:pos="709"/>
          <w:tab w:val="left" w:pos="1134" w:leader="none"/>
        </w:tabs>
        <w:ind w:left="0" w:firstLine="709"/>
        <w:jc w:val="both"/>
        <w:rPr>
          <w:bCs/>
        </w:rPr>
      </w:pPr>
      <w:r>
        <w:rPr>
          <w:bCs/>
          <w:i/>
          <w:highlight w:val="lightGray"/>
        </w:rPr>
        <w:t>либо</w:t>
      </w:r>
    </w:p>
    <w:p>
      <w:pPr>
        <w:pStyle w:val="ListParagraph"/>
        <w:shd w:val="clear" w:color="auto" w:fill="FFFFFF"/>
        <w:tabs>
          <w:tab w:val="clear" w:pos="709"/>
          <w:tab w:val="left" w:pos="1134" w:leader="none"/>
        </w:tabs>
        <w:ind w:left="0" w:firstLine="709"/>
        <w:jc w:val="both"/>
        <w:rPr>
          <w:bCs/>
        </w:rPr>
      </w:pPr>
      <w:r>
        <w:rPr>
          <w:bCs/>
          <w:highlight w:val="lightGray"/>
        </w:rPr>
        <w:t>Локальные расчеты стоимости являются неотъемлемой частью Сводного расчета стоимости Услуг (Приложение № 3 к Договору)</w:t>
      </w:r>
      <w:r>
        <w:rPr>
          <w:rStyle w:val="FootnoteReference"/>
          <w:bCs/>
        </w:rPr>
        <w:footnoteReference w:id="10"/>
      </w:r>
      <w:r>
        <w:rPr>
          <w:bCs/>
        </w:rPr>
        <w:t>.</w:t>
      </w:r>
    </w:p>
    <w:p>
      <w:pPr>
        <w:pStyle w:val="ListParagraph"/>
        <w:numPr>
          <w:ilvl w:val="1"/>
          <w:numId w:val="23"/>
        </w:numPr>
        <w:shd w:val="clear" w:color="auto" w:fill="FFFFFF"/>
        <w:tabs>
          <w:tab w:val="clear" w:pos="709"/>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7"/>
        </w:numPr>
        <w:shd w:val="clear" w:color="auto" w:fill="FFFFFF"/>
        <w:tabs>
          <w:tab w:val="clear" w:pos="709"/>
          <w:tab w:val="left" w:pos="1418" w:leader="none"/>
        </w:tabs>
        <w:ind w:left="0" w:firstLine="709"/>
        <w:jc w:val="both"/>
        <w:rPr>
          <w:highlight w:val="lightGray"/>
        </w:rPr>
      </w:pPr>
      <w:r>
        <w:rPr>
          <w:highlight w:val="lightGray"/>
        </w:rPr>
        <w:t>приобретение материально-технических ресурсов,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17"/>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7"/>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shd w:val="clear" w:color="auto" w:fill="FFFFFF"/>
        <w:tabs>
          <w:tab w:val="clear" w:pos="709"/>
          <w:tab w:val="left" w:pos="1134" w:leader="none"/>
        </w:tabs>
        <w:ind w:left="0" w:firstLine="709"/>
        <w:jc w:val="both"/>
        <w:rPr/>
      </w:pPr>
      <w:bookmarkStart w:id="10" w:name="_Ref361858588"/>
      <w:r>
        <w:rPr/>
        <w:t>Оплата по Договору осуществляется Заказчиком в следующем порядке:</w:t>
      </w:r>
      <w:bookmarkEnd w:id="10"/>
      <w:r>
        <w:rPr/>
        <w:t xml:space="preserve"> </w:t>
      </w:r>
    </w:p>
    <w:p>
      <w:pPr>
        <w:pStyle w:val="ListParagraph"/>
        <w:numPr>
          <w:ilvl w:val="2"/>
          <w:numId w:val="19"/>
        </w:numPr>
        <w:shd w:val="clear" w:color="auto" w:fill="FFFFFF"/>
        <w:tabs>
          <w:tab w:val="clear" w:pos="709"/>
          <w:tab w:val="left" w:pos="1134" w:leader="none"/>
        </w:tabs>
        <w:ind w:left="0" w:firstLine="709"/>
        <w:jc w:val="both"/>
        <w:rPr/>
      </w:pPr>
      <w:bookmarkStart w:id="11" w:name="_Ref373240288"/>
      <w:bookmarkStart w:id="12" w:name="_Ref361834178"/>
      <w:bookmarkEnd w:id="12"/>
      <w: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9"/>
        </w:numPr>
        <w:shd w:val="clear" w:color="auto" w:fill="FFFFFF"/>
        <w:tabs>
          <w:tab w:val="clear" w:pos="709"/>
          <w:tab w:val="left" w:pos="1134" w:leader="none"/>
        </w:tabs>
        <w:ind w:left="0" w:firstLine="709"/>
        <w:jc w:val="both"/>
        <w:rPr/>
      </w:pPr>
      <w:r>
        <w:rPr>
          <w:bCs/>
        </w:rPr>
        <w:t xml:space="preserve">Авансовые платежи </w:t>
      </w:r>
      <w:r>
        <w:rPr/>
        <w:t xml:space="preserve">в размере </w:t>
      </w:r>
      <w:r>
        <w:rPr>
          <w:highlight w:val="lightGray"/>
        </w:rPr>
        <w:t>10  (десяти) процентов</w:t>
      </w:r>
      <w:r>
        <w:rPr/>
        <w:t xml:space="preserve"> от стоимости Этапа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w:t>
      </w:r>
      <w:r>
        <w:rPr>
          <w:highlight w:val="lightGray"/>
        </w:rPr>
        <w:t xml:space="preserve">при условии согласования Сторонами локальных расчетов стоимости по соответствующему Этапу Услуг в соответствии с пунктом </w:t>
      </w:r>
      <w:r>
        <w:rPr>
          <w:highlight w:val="lightGray"/>
        </w:rPr>
        <w:fldChar w:fldCharType="begin"/>
      </w:r>
      <w:r>
        <w:rPr>
          <w:highlight w:val="lightGray"/>
        </w:rPr>
        <w:instrText xml:space="preserve"> REF _Ref361834605 \r \h </w:instrText>
      </w:r>
      <w:r>
        <w:rPr>
          <w:highlight w:val="lightGray"/>
        </w:rPr>
        <w:fldChar w:fldCharType="separate"/>
      </w:r>
      <w:r>
        <w:rPr>
          <w:highlight w:val="lightGray"/>
        </w:rPr>
        <w:t>3.2</w:t>
      </w:r>
      <w:r>
        <w:rPr>
          <w:highlight w:val="lightGray"/>
        </w:rPr>
        <w:fldChar w:fldCharType="end"/>
      </w:r>
      <w:r>
        <w:rPr>
          <w:highlight w:val="lightGray"/>
        </w:rPr>
        <w:t>2 Договора</w:t>
      </w:r>
      <w:r>
        <w:rPr>
          <w:rStyle w:val="FootnoteReference"/>
        </w:rPr>
        <w:footnoteReference w:id="11"/>
      </w:r>
      <w:r>
        <w:rPr/>
        <w:t xml:space="preserve">, но не ранее чем за 30 (тридцать) календарных дней до даты начала оказания Услуг и с учетом пунктов 3.5.1 и 3.5.4 Договора. </w:t>
      </w:r>
      <w:bookmarkEnd w:id="11"/>
    </w:p>
    <w:p>
      <w:pPr>
        <w:pStyle w:val="ListParagraph"/>
        <w:numPr>
          <w:ilvl w:val="2"/>
          <w:numId w:val="19"/>
        </w:numPr>
        <w:shd w:val="clear" w:color="auto" w:fill="FFFFFF"/>
        <w:tabs>
          <w:tab w:val="clear" w:pos="709"/>
          <w:tab w:val="left" w:pos="1134" w:leader="none"/>
        </w:tabs>
        <w:ind w:left="0" w:firstLine="709"/>
        <w:jc w:val="both"/>
        <w:rPr/>
      </w:pPr>
      <w:r>
        <w:rPr/>
        <w:t xml:space="preserve">Последующие платежи в размере разницы между стоимостью Этапа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w:t>
      </w:r>
      <w:r>
        <w:rPr>
          <w:highlight w:val="lightGray"/>
        </w:rPr>
        <w:t>20 (двадцати) календарных дней</w:t>
      </w:r>
      <w:r>
        <w:rPr>
          <w:rStyle w:val="FootnoteReference"/>
          <w:highlight w:val="lightGray"/>
        </w:rPr>
        <w:footnoteReference w:id="12"/>
      </w:r>
      <w:r>
        <w:rPr/>
        <w:t xml:space="preserve"> / </w:t>
      </w:r>
      <w:r>
        <w:rPr>
          <w:highlight w:val="lightGray"/>
        </w:rPr>
        <w:t>45 (сорока пяти) календарных дней</w:t>
      </w:r>
      <w:r>
        <w:rPr>
          <w:rStyle w:val="FootnoteReference"/>
          <w:highlight w:val="lightGray"/>
        </w:rPr>
        <w:footnoteReference w:id="13"/>
      </w:r>
      <w:r>
        <w:rPr/>
        <w:t xml:space="preserve"> / </w:t>
      </w:r>
      <w:r>
        <w:rPr>
          <w:highlight w:val="lightGray"/>
        </w:rPr>
        <w:t>7 (семи) рабочих дней</w:t>
      </w:r>
      <w:r>
        <w:rPr>
          <w:rStyle w:val="FootnoteReference"/>
          <w:highlight w:val="lightGray"/>
        </w:rPr>
        <w:footnoteReference w:id="14"/>
      </w:r>
      <w:r>
        <w:rPr/>
        <w:t xml:space="preserve"> с даты подписания Сторонами документов, указанных в пункте 4.1 Договора по соответствующему Этапу Услуг, на основании счета, выставленного Исполнителем, и с учетом пункта 3.5.4 Договора.</w:t>
      </w:r>
    </w:p>
    <w:p>
      <w:pPr>
        <w:pStyle w:val="ListParagraph"/>
        <w:numPr>
          <w:ilvl w:val="2"/>
          <w:numId w:val="19"/>
        </w:numPr>
        <w:shd w:val="clear" w:color="auto" w:fill="FFFFFF"/>
        <w:tabs>
          <w:tab w:val="clear" w:pos="709"/>
          <w:tab w:val="left" w:pos="1134" w:leader="none"/>
        </w:tabs>
        <w:ind w:left="0" w:firstLine="709"/>
        <w:jc w:val="both"/>
        <w:rPr/>
      </w:pPr>
      <w:bookmarkStart w:id="13" w:name="_Ref372549497"/>
      <w:bookmarkStart w:id="14" w:name="_Ref361834178_Копия_1"/>
      <w:bookmarkEnd w:id="14"/>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3"/>
      <w:r>
        <w:rPr/>
        <w:t xml:space="preserve"> </w:t>
      </w:r>
    </w:p>
    <w:p>
      <w:pPr>
        <w:pStyle w:val="ListParagraph"/>
        <w:numPr>
          <w:ilvl w:val="2"/>
          <w:numId w:val="19"/>
        </w:numPr>
        <w:shd w:val="clear" w:color="auto" w:fill="FFFFFF"/>
        <w:tabs>
          <w:tab w:val="clear" w:pos="709"/>
          <w:tab w:val="left" w:pos="1134" w:leader="none"/>
        </w:tabs>
        <w:ind w:left="0" w:firstLine="709"/>
        <w:jc w:val="both"/>
        <w:rPr/>
      </w:pP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9"/>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9"/>
          <w:tab w:val="left" w:pos="1134" w:leader="none"/>
        </w:tabs>
        <w:ind w:left="0" w:firstLine="709"/>
        <w:jc w:val="both"/>
        <w:rPr/>
      </w:pPr>
      <w: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9"/>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Этапов Услуг в соответствии с расчетом, прилагаемым к Сводному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соответствующих Этапов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19"/>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9"/>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hanging="0"/>
        <w:jc w:val="both"/>
        <w:rPr/>
      </w:pPr>
      <w:r>
        <w:rPr/>
      </w:r>
    </w:p>
    <w:p>
      <w:pPr>
        <w:pStyle w:val="ListParagraph"/>
        <w:numPr>
          <w:ilvl w:val="0"/>
          <w:numId w:val="21"/>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21"/>
        </w:numPr>
        <w:shd w:val="clear" w:color="auto" w:fill="FFFFFF"/>
        <w:tabs>
          <w:tab w:val="clear" w:pos="709"/>
          <w:tab w:val="left" w:pos="284" w:leader="none"/>
          <w:tab w:val="left" w:pos="1134" w:leader="none"/>
        </w:tabs>
        <w:ind w:left="0" w:firstLine="709"/>
        <w:jc w:val="both"/>
        <w:rPr>
          <w:b/>
        </w:rPr>
      </w:pPr>
      <w:r>
        <w:rPr/>
        <w:t xml:space="preserve">По окончании оказания Услуг по каждому Этапу Услуг, указанному в Графике оказания Услуг (Приложение № 2 к Договору), Исполнитель в течение </w:t>
      </w:r>
      <w:r>
        <w:rPr>
          <w:highlight w:val="lightGray"/>
        </w:rPr>
        <w:t>3 (трех) рабочих дней</w:t>
      </w:r>
      <w:r>
        <w:rPr/>
        <w:t xml:space="preserve"> предоставляет Заказчику подписанные со своей стороны в 2 (двух) экземплярах Акты об оказании Услуг по форме Приложения № 5 к Договору/УПД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 и Графиком оказания услуг (Приложение № 2 к Договору).</w:t>
      </w:r>
      <w:r>
        <w:rPr/>
        <w:t xml:space="preserve"> </w:t>
      </w:r>
    </w:p>
    <w:p>
      <w:pPr>
        <w:pStyle w:val="ListParagraph"/>
        <w:numPr>
          <w:ilvl w:val="1"/>
          <w:numId w:val="21"/>
        </w:numPr>
        <w:shd w:val="clear" w:color="auto" w:fill="FFFFFF"/>
        <w:tabs>
          <w:tab w:val="clear" w:pos="709"/>
          <w:tab w:val="left" w:pos="284" w:leader="none"/>
          <w:tab w:val="left" w:pos="1134" w:leader="none"/>
        </w:tabs>
        <w:ind w:left="0" w:firstLine="709"/>
        <w:jc w:val="both"/>
        <w:rPr/>
      </w:pPr>
      <w:bookmarkStart w:id="15" w:name="_Ref372745126"/>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5"/>
      <w:r>
        <w:rPr/>
        <w:t xml:space="preserve"> </w:t>
      </w:r>
    </w:p>
    <w:p>
      <w:pPr>
        <w:pStyle w:val="ListParagraph"/>
        <w:numPr>
          <w:ilvl w:val="1"/>
          <w:numId w:val="21"/>
        </w:numPr>
        <w:shd w:val="clear" w:color="auto" w:fill="FFFFFF"/>
        <w:tabs>
          <w:tab w:val="clear" w:pos="709"/>
          <w:tab w:val="left" w:pos="1134" w:leader="none"/>
        </w:tabs>
        <w:ind w:left="0" w:firstLine="709"/>
        <w:jc w:val="both"/>
        <w:rPr/>
      </w:pPr>
      <w:bookmarkStart w:id="16"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7" w:name="_Ref361337525"/>
      <w:bookmarkEnd w:id="16"/>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Normal"/>
        <w:shd w:val="clear" w:color="auto" w:fill="FFFFFF"/>
        <w:tabs>
          <w:tab w:val="clear" w:pos="709"/>
          <w:tab w:val="left" w:pos="1134" w:leader="none"/>
        </w:tabs>
        <w:ind w:firstLine="709"/>
        <w:jc w:val="both"/>
        <w:rPr>
          <w:lang w:val="ru-RU"/>
        </w:rPr>
      </w:pPr>
      <w:r>
        <w:rPr>
          <w:lang w:val="ru-RU"/>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11"/>
        <w:numPr>
          <w:ilvl w:val="1"/>
          <w:numId w:val="21"/>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Услуг/УПД.</w:t>
      </w:r>
    </w:p>
    <w:p>
      <w:pPr>
        <w:pStyle w:val="ListParagraph"/>
        <w:numPr>
          <w:ilvl w:val="1"/>
          <w:numId w:val="21"/>
        </w:numPr>
        <w:shd w:val="clear" w:color="auto" w:fill="FFFFFF"/>
        <w:tabs>
          <w:tab w:val="clear" w:pos="709"/>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7"/>
    </w:p>
    <w:p>
      <w:pPr>
        <w:pStyle w:val="ListParagraph"/>
        <w:shd w:val="clear" w:color="auto" w:fill="FFFFFF"/>
        <w:tabs>
          <w:tab w:val="clear" w:pos="709"/>
          <w:tab w:val="left" w:pos="1134" w:leader="none"/>
        </w:tabs>
        <w:ind w:left="0" w:hanging="0"/>
        <w:jc w:val="both"/>
        <w:rPr/>
      </w:pPr>
      <w:r>
        <w:rPr/>
      </w:r>
    </w:p>
    <w:p>
      <w:pPr>
        <w:pStyle w:val="ListParagraph"/>
        <w:numPr>
          <w:ilvl w:val="0"/>
          <w:numId w:val="18"/>
        </w:numPr>
        <w:shd w:val="clear" w:color="auto" w:fill="FFFFFF"/>
        <w:tabs>
          <w:tab w:val="clear" w:pos="709"/>
          <w:tab w:val="left" w:pos="284" w:leader="none"/>
        </w:tabs>
        <w:ind w:left="0" w:hanging="0"/>
        <w:jc w:val="center"/>
        <w:rPr>
          <w:b/>
        </w:rPr>
      </w:pPr>
      <w:r>
        <w:rPr>
          <w:b/>
        </w:rPr>
        <w:t>Банковская гарантия</w:t>
      </w:r>
    </w:p>
    <w:p>
      <w:pPr>
        <w:pStyle w:val="ListParagraph"/>
        <w:numPr>
          <w:ilvl w:val="1"/>
          <w:numId w:val="22"/>
        </w:numPr>
        <w:shd w:val="clear" w:color="auto" w:fill="FFFFFF"/>
        <w:tabs>
          <w:tab w:val="clear" w:pos="709"/>
          <w:tab w:val="left" w:pos="1134" w:leader="none"/>
        </w:tabs>
        <w:ind w:left="0" w:firstLine="709"/>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2"/>
        </w:numPr>
        <w:shd w:val="clear" w:color="auto" w:fill="FFFFFF"/>
        <w:tabs>
          <w:tab w:val="clear" w:pos="709"/>
          <w:tab w:val="left" w:pos="1418"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22"/>
        </w:numPr>
        <w:shd w:val="clear" w:color="auto" w:fill="FFFFFF"/>
        <w:tabs>
          <w:tab w:val="clear" w:pos="709"/>
          <w:tab w:val="left" w:pos="1418" w:leader="none"/>
        </w:tabs>
        <w:ind w:left="0" w:firstLine="709"/>
        <w:jc w:val="both"/>
        <w:rPr>
          <w:bCs/>
        </w:rPr>
      </w:pPr>
      <w:r>
        <w:rPr>
          <w:bCs/>
        </w:rPr>
        <w:t>Бенефициар по Банковской гарантии – Заказчик, принципал – Исполнитель;</w:t>
      </w:r>
    </w:p>
    <w:p>
      <w:pPr>
        <w:pStyle w:val="ListParagraph"/>
        <w:numPr>
          <w:ilvl w:val="2"/>
          <w:numId w:val="22"/>
        </w:numPr>
        <w:shd w:val="clear" w:color="auto" w:fill="FFFFFF"/>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22"/>
        </w:numPr>
        <w:shd w:val="clear" w:color="auto" w:fill="FFFFFF"/>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2"/>
        </w:numPr>
        <w:shd w:val="clear" w:color="auto" w:fill="FFFFFF"/>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Исполнителем нарушений, в том числе в случаях:</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2"/>
        </w:numPr>
        <w:tabs>
          <w:tab w:val="clear" w:pos="709"/>
          <w:tab w:val="left" w:pos="1418" w:leader="none"/>
        </w:tabs>
        <w:ind w:left="0" w:firstLine="709"/>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pPr>
        <w:pStyle w:val="Normal"/>
        <w:numPr>
          <w:ilvl w:val="0"/>
          <w:numId w:val="12"/>
        </w:numPr>
        <w:tabs>
          <w:tab w:val="clear" w:pos="709"/>
          <w:tab w:val="left" w:pos="1418" w:leader="none"/>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2"/>
        </w:numPr>
        <w:tabs>
          <w:tab w:val="clear" w:pos="709"/>
          <w:tab w:val="left" w:pos="1418" w:leader="none"/>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pPr>
        <w:pStyle w:val="Normal"/>
        <w:numPr>
          <w:ilvl w:val="0"/>
          <w:numId w:val="12"/>
        </w:numPr>
        <w:tabs>
          <w:tab w:val="clear" w:pos="709"/>
          <w:tab w:val="left" w:pos="1418" w:leader="none"/>
        </w:tabs>
        <w:ind w:left="0" w:firstLine="709"/>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2"/>
        </w:numPr>
        <w:tabs>
          <w:tab w:val="clear" w:pos="709"/>
          <w:tab w:val="left" w:pos="1418" w:leader="none"/>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pPr>
        <w:pStyle w:val="Normal"/>
        <w:numPr>
          <w:ilvl w:val="0"/>
          <w:numId w:val="12"/>
        </w:numPr>
        <w:tabs>
          <w:tab w:val="clear" w:pos="709"/>
          <w:tab w:val="left" w:pos="1418" w:leader="none"/>
        </w:tabs>
        <w:ind w:left="0" w:firstLine="709"/>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ind w:left="0" w:firstLine="709"/>
        <w:jc w:val="both"/>
        <w:rPr>
          <w:bCs/>
        </w:rPr>
      </w:pPr>
      <w:r>
        <w:rPr/>
        <w:t>Вместе с требованием о предъявлении суммы обеспечения к оплате Заказчик направляет Банку-Гаранту копию Банковской гарантии</w:t>
      </w:r>
      <w:r>
        <w:rPr>
          <w:bCs/>
        </w:rPr>
        <w:t>.</w:t>
      </w:r>
    </w:p>
    <w:p>
      <w:pPr>
        <w:pStyle w:val="ListParagraph"/>
        <w:shd w:val="clear" w:color="auto" w:fill="FFFFFF"/>
        <w:tabs>
          <w:tab w:val="clear" w:pos="709"/>
          <w:tab w:val="left" w:pos="1418" w:leader="none"/>
        </w:tabs>
        <w:ind w:left="0" w:firstLine="709"/>
        <w:jc w:val="both"/>
        <w:rPr>
          <w:bCs/>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widowControl/>
        <w:numPr>
          <w:ilvl w:val="0"/>
          <w:numId w:val="0"/>
        </w:numPr>
        <w:shd w:val="clear" w:color="auto" w:fill="FFFFFF"/>
        <w:tabs>
          <w:tab w:val="clear" w:pos="709"/>
          <w:tab w:val="left" w:pos="1418" w:leader="none"/>
        </w:tabs>
        <w:suppressAutoHyphens w:val="true"/>
        <w:bidi w:val="0"/>
        <w:spacing w:lineRule="auto" w:line="240" w:before="0" w:after="0"/>
        <w:ind w:left="0" w:firstLine="709"/>
        <w:contextualSpacing/>
        <w:jc w:val="both"/>
        <w:rPr>
          <w:bCs/>
        </w:rPr>
      </w:pPr>
      <w:r>
        <w:rPr>
          <w:rFonts w:eastAsia="Times New Roman" w:cs="Times New Roman"/>
          <w:bCs/>
          <w:color w:val="000000"/>
          <w:kern w:val="0"/>
          <w:sz w:val="24"/>
          <w:szCs w:val="24"/>
          <w:shd w:fill="auto" w:val="clear"/>
          <w:lang w:val="ru-RU" w:eastAsia="ru-RU" w:bidi="ar-SA"/>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eastAsia="Times New Roman" w:cs="Times New Roman"/>
          <w:bCs/>
          <w:color w:val="auto"/>
          <w:kern w:val="0"/>
          <w:sz w:val="24"/>
          <w:szCs w:val="24"/>
          <w:highlight w:val="none"/>
          <w:shd w:fill="FFFF00" w:val="clear"/>
          <w:lang w:val="ru-RU" w:eastAsia="ru-RU" w:bidi="ar-SA"/>
        </w:rPr>
      </w:pPr>
      <w:r>
        <w:rPr>
          <w:rFonts w:eastAsia="Times New Roman" w:cs="Times New Roman"/>
          <w:bCs/>
          <w:color w:val="000000"/>
          <w:kern w:val="0"/>
          <w:sz w:val="24"/>
          <w:szCs w:val="24"/>
          <w:shd w:fill="auto" w:val="clear"/>
          <w:lang w:val="ru-RU" w:eastAsia="ru-RU" w:bidi="ar-SA"/>
        </w:rPr>
        <w:t xml:space="preserve">Выбор формы направления такого требования осуществляется Бенефициаром самостоятельно. </w:t>
      </w:r>
      <w:r>
        <w:rPr>
          <w:bCs/>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2"/>
        </w:numPr>
        <w:shd w:val="clear" w:color="auto" w:fill="FFFFFF"/>
        <w:tabs>
          <w:tab w:val="clear" w:pos="709"/>
          <w:tab w:val="left" w:pos="1418" w:leader="none"/>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pPr>
        <w:pStyle w:val="ListParagraph"/>
        <w:numPr>
          <w:ilvl w:val="2"/>
          <w:numId w:val="22"/>
        </w:numPr>
        <w:shd w:val="clear" w:color="auto" w:fill="FFFFFF"/>
        <w:tabs>
          <w:tab w:val="clear" w:pos="709"/>
          <w:tab w:val="left" w:pos="1418" w:leader="none"/>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2"/>
        </w:numPr>
        <w:shd w:val="clear" w:color="auto" w:fill="FFFFFF"/>
        <w:tabs>
          <w:tab w:val="clear" w:pos="709"/>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2"/>
        </w:numPr>
        <w:shd w:val="clear" w:color="auto" w:fill="FFFFFF"/>
        <w:tabs>
          <w:tab w:val="clear" w:pos="709"/>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numPr>
          <w:ilvl w:val="2"/>
          <w:numId w:val="22"/>
        </w:numPr>
        <w:shd w:val="clear" w:color="auto" w:fill="FFFFFF"/>
        <w:tabs>
          <w:tab w:val="clear" w:pos="709"/>
          <w:tab w:val="left" w:pos="1418" w:leader="none"/>
        </w:tabs>
        <w:ind w:left="0" w:firstLine="709"/>
        <w:jc w:val="both"/>
        <w:rPr>
          <w:bCs/>
        </w:rPr>
      </w:pPr>
      <w:r>
        <w:rPr/>
        <w:t xml:space="preserve">Банковские гарантии, предусмотренные настоящим разделом Договора, предоставляются (по выбору Заказчика): </w:t>
      </w:r>
    </w:p>
    <w:p>
      <w:pPr>
        <w:pStyle w:val="ListParagraph"/>
        <w:shd w:val="clear" w:color="auto" w:fill="FFFFFF"/>
        <w:tabs>
          <w:tab w:val="clear" w:pos="709"/>
          <w:tab w:val="left" w:pos="1418" w:leader="none"/>
        </w:tabs>
        <w:ind w:left="0" w:firstLine="709"/>
        <w:jc w:val="both"/>
        <w:rPr>
          <w:bCs/>
        </w:rPr>
      </w:pPr>
      <w:r>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shd w:val="clear" w:color="auto" w:fill="FFFFFF"/>
        <w:tabs>
          <w:tab w:val="clear" w:pos="709"/>
          <w:tab w:val="left" w:pos="1418" w:leader="none"/>
        </w:tabs>
        <w:ind w:left="0" w:firstLine="709"/>
        <w:jc w:val="both"/>
        <w:rPr>
          <w:bCs/>
        </w:rPr>
      </w:pPr>
      <w:r>
        <w:rPr/>
        <w:t>- в оригинале на бумажном носителе.</w:t>
      </w:r>
    </w:p>
    <w:p>
      <w:pPr>
        <w:pStyle w:val="Normal"/>
        <w:numPr>
          <w:ilvl w:val="1"/>
          <w:numId w:val="22"/>
        </w:numPr>
        <w:tabs>
          <w:tab w:val="clear" w:pos="709"/>
          <w:tab w:val="left" w:pos="1134" w:leader="none"/>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7 к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2"/>
        </w:numPr>
        <w:shd w:val="clear" w:color="auto" w:fill="FFFFFF"/>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3"/>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bCs/>
        </w:rPr>
      </w:pPr>
      <w:r>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t>.</w:t>
      </w:r>
    </w:p>
    <w:p>
      <w:pPr>
        <w:pStyle w:val="ListParagraph"/>
        <w:numPr>
          <w:ilvl w:val="1"/>
          <w:numId w:val="22"/>
        </w:numPr>
        <w:shd w:val="clear" w:color="auto" w:fill="FFFFFF"/>
        <w:tabs>
          <w:tab w:val="clear" w:pos="709"/>
          <w:tab w:val="left" w:pos="1134" w:leader="none"/>
        </w:tabs>
        <w:ind w:left="0" w:firstLine="709"/>
        <w:jc w:val="both"/>
        <w:rPr>
          <w:bCs/>
        </w:rPr>
      </w:pPr>
      <w:r>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2"/>
        </w:numPr>
        <w:shd w:val="clear" w:color="auto" w:fill="FFFFFF"/>
        <w:tabs>
          <w:tab w:val="clear" w:pos="709"/>
          <w:tab w:val="left" w:pos="1134" w:leader="none"/>
        </w:tabs>
        <w:ind w:left="0" w:firstLine="709"/>
        <w:jc w:val="both"/>
        <w:rPr>
          <w:bCs/>
        </w:rPr>
      </w:pPr>
      <w:r>
        <w:rPr>
          <w:bCs/>
        </w:rPr>
        <w:t xml:space="preserve">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pPr>
        <w:pStyle w:val="ListParagraph"/>
        <w:numPr>
          <w:ilvl w:val="1"/>
          <w:numId w:val="22"/>
        </w:numPr>
        <w:shd w:val="clear" w:color="auto" w:fill="FFFFFF"/>
        <w:tabs>
          <w:tab w:val="clear" w:pos="709"/>
          <w:tab w:val="left" w:pos="1134" w:leader="none"/>
        </w:tabs>
        <w:ind w:left="0" w:firstLine="709"/>
        <w:jc w:val="both"/>
        <w:rPr>
          <w:bCs/>
        </w:rPr>
      </w:pPr>
      <w:r>
        <w:rPr>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highlight w:val="lightGray"/>
        </w:rPr>
        <w:footnoteReference w:id="15"/>
      </w:r>
      <w:r>
        <w:rPr>
          <w:highlight w:val="lightGray"/>
        </w:rPr>
        <w:t>.</w:t>
      </w:r>
    </w:p>
    <w:p>
      <w:pPr>
        <w:pStyle w:val="ListParagraph"/>
        <w:numPr>
          <w:ilvl w:val="1"/>
          <w:numId w:val="22"/>
        </w:numPr>
        <w:shd w:val="clear" w:color="auto" w:fill="FFFFFF"/>
        <w:tabs>
          <w:tab w:val="clear" w:pos="709"/>
          <w:tab w:val="left" w:pos="1134" w:leader="none"/>
        </w:tabs>
        <w:ind w:left="0" w:firstLine="709"/>
        <w:jc w:val="both"/>
        <w:rPr>
          <w:bCs/>
        </w:rPr>
      </w:pPr>
      <w:r>
        <w:rPr/>
        <w:t>Принадлежащее Заказчику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Банковской гарантии.</w:t>
      </w:r>
    </w:p>
    <w:p>
      <w:pPr>
        <w:pStyle w:val="ListParagraph"/>
        <w:numPr>
          <w:ilvl w:val="0"/>
          <w:numId w:val="22"/>
        </w:numPr>
        <w:shd w:val="clear" w:color="auto" w:fill="FFFFFF"/>
        <w:tabs>
          <w:tab w:val="clear" w:pos="709"/>
          <w:tab w:val="left" w:pos="284" w:leader="none"/>
        </w:tabs>
        <w:jc w:val="center"/>
        <w:rPr>
          <w:b/>
        </w:rPr>
      </w:pPr>
      <w:r>
        <w:rPr>
          <w:b/>
        </w:rPr>
        <w:t>Ответственность Сторон</w:t>
      </w:r>
    </w:p>
    <w:p>
      <w:pPr>
        <w:pStyle w:val="ListParagraph"/>
        <w:numPr>
          <w:ilvl w:val="1"/>
          <w:numId w:val="22"/>
        </w:numPr>
        <w:shd w:val="clear" w:color="auto" w:fill="FFFFFF"/>
        <w:tabs>
          <w:tab w:val="clear" w:pos="709"/>
          <w:tab w:val="left" w:pos="1134" w:leader="none"/>
        </w:tabs>
        <w:ind w:left="0" w:firstLine="709"/>
        <w:jc w:val="both"/>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2"/>
        </w:numPr>
        <w:tabs>
          <w:tab w:val="clear" w:pos="709"/>
          <w:tab w:val="left" w:pos="496" w:leader="none"/>
          <w:tab w:val="left" w:pos="1134" w:leader="none"/>
        </w:tabs>
        <w:ind w:left="0" w:firstLine="709"/>
        <w:jc w:val="both"/>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22"/>
        </w:numPr>
        <w:tabs>
          <w:tab w:val="clear" w:pos="709"/>
          <w:tab w:val="left" w:pos="1134" w:leader="none"/>
        </w:tabs>
        <w:ind w:left="0" w:firstLine="709"/>
        <w:jc w:val="both"/>
        <w:rPr>
          <w:lang w:val="ru-RU"/>
        </w:rPr>
      </w:pPr>
      <w:r>
        <w:rPr>
          <w:lang w:val="ru-RU"/>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numPr>
          <w:ilvl w:val="1"/>
          <w:numId w:val="22"/>
        </w:numPr>
        <w:tabs>
          <w:tab w:val="clear" w:pos="709"/>
          <w:tab w:val="left" w:pos="1134" w:leader="none"/>
          <w:tab w:val="left" w:pos="1276" w:leader="none"/>
        </w:tabs>
        <w:ind w:left="0" w:firstLine="709"/>
        <w:jc w:val="both"/>
        <w:rPr>
          <w:lang w:val="ru-RU"/>
        </w:rPr>
      </w:pPr>
      <w:r>
        <w:rPr>
          <w:lang w:val="ru-RU"/>
        </w:rPr>
        <w:t>В случае нарушения Исполнителем обязательств по оказанию Услуг, в том числе сроков оказания Услуг, установленных Графиком оказания Услуг (Приложение № 2 к Договору), а также в случае несвоевременного устранения выявленных недостатков Услуг, Заказчик вправе требовать уплаты Исполнителем:</w:t>
      </w:r>
    </w:p>
    <w:p>
      <w:pPr>
        <w:pStyle w:val="ListParagraph"/>
        <w:numPr>
          <w:ilvl w:val="2"/>
          <w:numId w:val="22"/>
        </w:numPr>
        <w:ind w:left="0" w:firstLine="709"/>
        <w:jc w:val="both"/>
        <w:rPr/>
      </w:pPr>
      <w:r>
        <w:rPr/>
        <w:t>Неустойки в размере 0,1 (ноль целых и одна десятая) процента от стоимости Этапа Услуг за каждый день просрочки;</w:t>
      </w:r>
    </w:p>
    <w:p>
      <w:pPr>
        <w:pStyle w:val="Normal"/>
        <w:numPr>
          <w:ilvl w:val="2"/>
          <w:numId w:val="22"/>
        </w:numPr>
        <w:tabs>
          <w:tab w:val="clear" w:pos="709"/>
          <w:tab w:val="left" w:pos="1134" w:leader="none"/>
        </w:tabs>
        <w:ind w:left="0" w:firstLine="709"/>
        <w:jc w:val="both"/>
        <w:rPr>
          <w:lang w:val="ru-RU"/>
        </w:rPr>
      </w:pPr>
      <w:r>
        <w:rPr>
          <w:lang w:val="ru-RU"/>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 по Договору;</w:t>
      </w:r>
    </w:p>
    <w:p>
      <w:pPr>
        <w:pStyle w:val="ListParagraph"/>
        <w:numPr>
          <w:ilvl w:val="2"/>
          <w:numId w:val="22"/>
        </w:numPr>
        <w:ind w:left="0" w:firstLine="709"/>
        <w:jc w:val="both"/>
        <w:rPr/>
      </w:pPr>
      <w:r>
        <w:rPr/>
        <w:t>Неустойки в размере 0,1 (ноль целых и одна десятая) процента от стоимости Этапа Услуг 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w:t>
      </w:r>
    </w:p>
    <w:p>
      <w:pPr>
        <w:pStyle w:val="ListParagraph"/>
        <w:numPr>
          <w:ilvl w:val="1"/>
          <w:numId w:val="22"/>
        </w:numPr>
        <w:tabs>
          <w:tab w:val="clear" w:pos="709"/>
          <w:tab w:val="left" w:pos="1134" w:leader="none"/>
        </w:tabs>
        <w:ind w:left="-142" w:firstLine="851"/>
        <w:jc w:val="both"/>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2"/>
        </w:numPr>
        <w:tabs>
          <w:tab w:val="clear" w:pos="709"/>
          <w:tab w:val="left" w:pos="1134" w:leader="none"/>
        </w:tabs>
        <w:ind w:left="0" w:firstLine="709"/>
        <w:jc w:val="both"/>
        <w:rPr/>
      </w:pPr>
      <w:r>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w:t>
      </w:r>
      <w:r>
        <w:rPr>
          <w:bCs/>
          <w:shd w:fill="C0C0C0" w:val="clear"/>
        </w:rPr>
        <w:t>экологических, санитарно-</w:t>
      </w:r>
      <w:r>
        <w:rPr>
          <w:rFonts w:eastAsia="Times New Roman" w:cs="Times New Roman"/>
          <w:bCs/>
          <w:color w:val="000000"/>
          <w:kern w:val="0"/>
          <w:sz w:val="24"/>
          <w:szCs w:val="24"/>
          <w:shd w:fill="C0C0C0" w:val="clear"/>
          <w:lang w:val="ru-RU" w:eastAsia="ru-RU" w:bidi="ar-SA"/>
        </w:rPr>
        <w:t>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правовыми актами (документами) Заказчика в области обращения с Отходами на территории Заказчика</w:t>
      </w:r>
      <w:r>
        <w:rPr>
          <w:rStyle w:val="FootnoteReference"/>
          <w:rFonts w:eastAsia="Times New Roman" w:cs="Times New Roman"/>
          <w:bCs/>
          <w:color w:val="000000"/>
          <w:kern w:val="0"/>
          <w:sz w:val="24"/>
          <w:szCs w:val="24"/>
          <w:shd w:fill="C0C0C0" w:val="clear"/>
          <w:lang w:val="ru-RU" w:eastAsia="ru-RU" w:bidi="ar-SA"/>
        </w:rPr>
        <w:footnoteReference w:id="16"/>
      </w:r>
      <w:r>
        <w:rPr>
          <w:rFonts w:eastAsia="Times New Roman" w:cs="Times New Roman"/>
          <w:bCs/>
          <w:color w:val="000000"/>
          <w:kern w:val="0"/>
          <w:sz w:val="24"/>
          <w:szCs w:val="24"/>
          <w:shd w:fill="C0C0C0" w:val="clear"/>
          <w:lang w:val="ru-RU" w:eastAsia="ru-RU" w:bidi="ar-SA"/>
        </w:rPr>
        <w:t>,</w:t>
      </w:r>
      <w:r>
        <w:rPr>
          <w:rFonts w:eastAsia="Times New Roman" w:cs="Times New Roman"/>
          <w:bCs/>
          <w:color w:val="000000"/>
          <w:kern w:val="0"/>
          <w:sz w:val="24"/>
          <w:szCs w:val="24"/>
          <w:shd w:fill="auto" w:val="clear"/>
          <w:lang w:val="ru-RU" w:eastAsia="ru-RU" w:bidi="ar-SA"/>
        </w:rPr>
        <w:t xml:space="preserve"> </w:t>
      </w:r>
      <w:r>
        <w:rPr/>
        <w:t xml:space="preserve">если они зафиксированы Заказчиком или уполномоченным государственным органом, Заказчик, помимо возмещения убытков, </w:t>
      </w:r>
      <w:r>
        <w:rPr>
          <w:bCs/>
          <w:shd w:fill="C0C0C0" w:val="clear"/>
        </w:rPr>
        <w:t xml:space="preserve">включая реальный ущерб в виде возмещения расходов по уплате </w:t>
      </w:r>
      <w:r>
        <w:rPr>
          <w:rFonts w:eastAsia="Times New Roman" w:cs="Times New Roman"/>
          <w:bCs/>
          <w:color w:val="000000"/>
          <w:kern w:val="0"/>
          <w:sz w:val="24"/>
          <w:szCs w:val="24"/>
          <w:shd w:fill="C0C0C0" w:val="clear"/>
          <w:lang w:val="ru-RU" w:eastAsia="ru-RU" w:bidi="ar-SA"/>
        </w:rPr>
        <w:t>соответствующих</w:t>
      </w:r>
      <w:r>
        <w:rPr>
          <w:bCs/>
          <w:shd w:fill="C0C0C0" w:val="clear"/>
        </w:rPr>
        <w:t xml:space="preserve"> административных штрафов</w:t>
      </w:r>
      <w:r>
        <w:rPr>
          <w:rStyle w:val="FootnoteReference"/>
          <w:bCs/>
          <w:shd w:fill="C0C0C0" w:val="clear"/>
        </w:rPr>
        <w:footnoteReference w:id="17"/>
      </w:r>
      <w:r>
        <w:rPr>
          <w:bCs/>
          <w:shd w:fill="C0C0C0" w:val="clear"/>
        </w:rPr>
        <w:t xml:space="preserve">, </w:t>
      </w:r>
      <w:r>
        <w:rPr/>
        <w:t xml:space="preserve">вправе требовать уплаты Исполнителем штрафа в размерах, установленных Приложением № 6 к Договору. </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szCs w:val="28"/>
          <w:highlight w:val="lightGray"/>
        </w:rPr>
        <w:t>В случае если неисполнение / ненадлежащее исполнение Исполнителем обязательств по Договору повлекло за собой нарушение Заказчиком обязательств на оптовом и / или розничных рынках электрической энергии и мощности, Исполнитель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Исполнителем своих обязательств.</w:t>
      </w:r>
    </w:p>
    <w:p>
      <w:pPr>
        <w:pStyle w:val="Normal"/>
        <w:tabs>
          <w:tab w:val="clear" w:pos="709"/>
          <w:tab w:val="left" w:pos="1701" w:leader="none"/>
        </w:tabs>
        <w:ind w:firstLine="709"/>
        <w:jc w:val="both"/>
        <w:rPr>
          <w:szCs w:val="28"/>
          <w:highlight w:val="lightGray"/>
          <w:lang w:val="ru-RU"/>
        </w:rPr>
      </w:pPr>
      <w:r>
        <w:rPr>
          <w:szCs w:val="28"/>
          <w:highlight w:val="lightGray"/>
          <w:lang w:val="ru-RU"/>
        </w:rPr>
        <w:t>Кроме суммы реального ущерба, Исполнитель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tabs>
          <w:tab w:val="clear" w:pos="709"/>
          <w:tab w:val="left" w:pos="1134" w:leader="none"/>
        </w:tabs>
        <w:ind w:firstLine="709"/>
        <w:jc w:val="both"/>
        <w:rPr>
          <w:szCs w:val="28"/>
          <w:highlight w:val="lightGray"/>
          <w:lang w:val="ru-RU"/>
        </w:rPr>
      </w:pPr>
      <w:r>
        <w:rPr>
          <w:szCs w:val="28"/>
          <w:highlight w:val="lightGray"/>
          <w:lang w:val="ru-RU"/>
        </w:rPr>
        <w:t>Размер упущенной выгоды (выручки) подтверждается (по выбору Заказчика):</w:t>
      </w:r>
    </w:p>
    <w:p>
      <w:pPr>
        <w:pStyle w:val="Normal"/>
        <w:numPr>
          <w:ilvl w:val="0"/>
          <w:numId w:val="26"/>
        </w:numPr>
        <w:tabs>
          <w:tab w:val="clear" w:pos="709"/>
          <w:tab w:val="left" w:pos="1134" w:leader="none"/>
        </w:tabs>
        <w:spacing w:lineRule="auto" w:line="259"/>
        <w:ind w:left="0" w:firstLine="709"/>
        <w:jc w:val="both"/>
        <w:rPr>
          <w:szCs w:val="28"/>
          <w:highlight w:val="lightGray"/>
        </w:rPr>
      </w:pPr>
      <w:r>
        <w:rPr>
          <w:sz w:val="24"/>
          <w:szCs w:val="28"/>
          <w:highlight w:val="lightGray"/>
        </w:rPr>
        <w:t>в ценовой зоне оптового рынка:</w:t>
      </w:r>
    </w:p>
    <w:p>
      <w:pPr>
        <w:pStyle w:val="Normal"/>
        <w:tabs>
          <w:tab w:val="clear" w:pos="709"/>
          <w:tab w:val="left" w:pos="1134"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tabs>
          <w:tab w:val="clear" w:pos="709"/>
          <w:tab w:val="left" w:pos="1134" w:leader="none"/>
        </w:tabs>
        <w:ind w:firstLine="709"/>
        <w:jc w:val="both"/>
        <w:rPr>
          <w:szCs w:val="28"/>
          <w:highlight w:val="lightGray"/>
          <w:lang w:val="ru-RU"/>
        </w:rPr>
      </w:pPr>
      <w:r>
        <w:rPr>
          <w:szCs w:val="28"/>
          <w:highlight w:val="lightGray"/>
          <w:lang w:val="ru-RU"/>
        </w:rPr>
        <w:t>и / или</w:t>
      </w:r>
    </w:p>
    <w:p>
      <w:pPr>
        <w:pStyle w:val="Normal"/>
        <w:tabs>
          <w:tab w:val="clear" w:pos="709"/>
          <w:tab w:val="left" w:pos="1134" w:leader="none"/>
        </w:tabs>
        <w:ind w:firstLine="709"/>
        <w:jc w:val="both"/>
        <w:rPr>
          <w:szCs w:val="28"/>
          <w:highlight w:val="lightGray"/>
        </w:rPr>
      </w:pPr>
      <w:r>
        <w:rPr>
          <w:szCs w:val="28"/>
          <w:highlight w:val="lightGray"/>
          <w:lang w:val="ru-RU"/>
        </w:rPr>
        <w:t xml:space="preserve">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w:t>
      </w:r>
      <w:r>
        <w:rPr>
          <w:szCs w:val="28"/>
          <w:highlight w:val="lightGray"/>
        </w:rPr>
        <w:t>(далее – Ассоциация «НП Совета рынка»).</w:t>
      </w:r>
    </w:p>
    <w:p>
      <w:pPr>
        <w:pStyle w:val="Normal"/>
        <w:numPr>
          <w:ilvl w:val="0"/>
          <w:numId w:val="26"/>
        </w:numPr>
        <w:tabs>
          <w:tab w:val="clear" w:pos="709"/>
          <w:tab w:val="left" w:pos="1134" w:leader="none"/>
        </w:tabs>
        <w:spacing w:lineRule="auto" w:line="259"/>
        <w:ind w:left="0" w:firstLine="709"/>
        <w:jc w:val="both"/>
        <w:rPr>
          <w:szCs w:val="28"/>
          <w:highlight w:val="lightGray"/>
          <w:lang w:val="ru-RU"/>
        </w:rPr>
      </w:pPr>
      <w:r>
        <w:rPr>
          <w:rFonts w:eastAsia="Times New Roman" w:cs="Times New Roman"/>
          <w:color w:val="auto"/>
          <w:kern w:val="0"/>
          <w:sz w:val="24"/>
          <w:szCs w:val="24"/>
          <w:highlight w:val="lightGray"/>
          <w:lang w:val="ru-RU" w:eastAsia="ru-RU" w:bidi="ar-SA"/>
        </w:rPr>
        <w:t>в о</w:t>
      </w:r>
      <w:r>
        <w:rPr>
          <w:sz w:val="24"/>
          <w:szCs w:val="28"/>
          <w:highlight w:val="lightGray"/>
          <w:lang w:val="ru-RU"/>
        </w:rPr>
        <w:t xml:space="preserve">тдельной территории ценовой зоны оптового рынка, ранее относившейся к  неценовой зоне оптового рынка Дальнего Востока: </w:t>
      </w:r>
    </w:p>
    <w:p>
      <w:pPr>
        <w:pStyle w:val="Normal"/>
        <w:tabs>
          <w:tab w:val="clear" w:pos="709"/>
          <w:tab w:val="left" w:pos="1134" w:leader="none"/>
        </w:tabs>
        <w:ind w:firstLine="709"/>
        <w:jc w:val="both"/>
        <w:rPr>
          <w:szCs w:val="28"/>
          <w:highlight w:val="lightGray"/>
          <w:lang w:val="ru-RU"/>
        </w:rPr>
      </w:pPr>
      <w:r>
        <w:rPr>
          <w:szCs w:val="28"/>
          <w:highlight w:val="lightGray"/>
          <w:lang w:val="ru-RU"/>
        </w:rPr>
        <w:t>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Методики (Приложение № 9 к Договору);</w:t>
      </w:r>
    </w:p>
    <w:p>
      <w:pPr>
        <w:pStyle w:val="Normal"/>
        <w:tabs>
          <w:tab w:val="clear" w:pos="709"/>
          <w:tab w:val="left" w:pos="1134" w:leader="none"/>
        </w:tabs>
        <w:ind w:firstLine="709"/>
        <w:jc w:val="both"/>
        <w:rPr>
          <w:szCs w:val="28"/>
          <w:highlight w:val="lightGray"/>
          <w:lang w:val="ru-RU"/>
        </w:rPr>
      </w:pPr>
      <w:r>
        <w:rPr>
          <w:szCs w:val="28"/>
          <w:highlight w:val="lightGray"/>
          <w:lang w:val="ru-RU"/>
        </w:rPr>
        <w: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t>
      </w:r>
    </w:p>
    <w:p>
      <w:pPr>
        <w:pStyle w:val="Normal"/>
        <w:tabs>
          <w:tab w:val="clear" w:pos="709"/>
          <w:tab w:val="left" w:pos="1134"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tabs>
          <w:tab w:val="clear" w:pos="709"/>
          <w:tab w:val="left" w:pos="1134" w:leader="none"/>
        </w:tabs>
        <w:ind w:firstLine="709"/>
        <w:jc w:val="both"/>
        <w:rPr>
          <w:szCs w:val="28"/>
          <w:highlight w:val="lightGray"/>
          <w:lang w:val="ru-RU"/>
        </w:rPr>
      </w:pPr>
      <w:r>
        <w:rPr>
          <w:szCs w:val="28"/>
          <w:highlight w:val="lightGray"/>
          <w:lang w:val="ru-RU"/>
        </w:rPr>
        <w:t>и / или</w:t>
      </w:r>
    </w:p>
    <w:p>
      <w:pPr>
        <w:pStyle w:val="Normal"/>
        <w:tabs>
          <w:tab w:val="clear" w:pos="709"/>
          <w:tab w:val="left" w:pos="1134" w:leader="none"/>
        </w:tabs>
        <w:ind w:firstLine="709"/>
        <w:jc w:val="both"/>
        <w:rPr>
          <w:szCs w:val="28"/>
          <w:highlight w:val="lightGray"/>
          <w:lang w:val="ru-RU"/>
        </w:rPr>
      </w:pPr>
      <w:r>
        <w:rPr>
          <w:szCs w:val="28"/>
          <w:highlight w:val="lightGray"/>
          <w:lang w:val="ru-RU"/>
        </w:rPr>
        <w:t>расчетом, подготовленным Заказчиком на основании методики, утвержденной Наблюдательным советом Ассоциации «НП Совет рынка».</w:t>
      </w:r>
    </w:p>
    <w:p>
      <w:pPr>
        <w:pStyle w:val="Normal"/>
        <w:tabs>
          <w:tab w:val="clear" w:pos="709"/>
          <w:tab w:val="left" w:pos="1701" w:leader="none"/>
        </w:tabs>
        <w:ind w:firstLine="709"/>
        <w:jc w:val="both"/>
        <w:rPr>
          <w:szCs w:val="28"/>
          <w:highlight w:val="lightGray"/>
          <w:lang w:val="ru-RU"/>
        </w:rPr>
      </w:pPr>
      <w:r>
        <w:rPr>
          <w:szCs w:val="28"/>
          <w:highlight w:val="lightGray"/>
          <w:lang w:val="ru-RU"/>
        </w:rPr>
        <w:t>В отношении вновь вводимого оборудования ГЭС / ГАЭС – объектов ДПМ, ДПМ ВИЭ в ценовых зонах ОРЭМ Исполнитель дополнительно компенсирует Заказчику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tabs>
          <w:tab w:val="clear" w:pos="709"/>
          <w:tab w:val="left" w:pos="1701" w:leader="none"/>
        </w:tabs>
        <w:ind w:firstLine="709"/>
        <w:jc w:val="both"/>
        <w:rPr>
          <w:szCs w:val="28"/>
          <w:highlight w:val="lightGray"/>
          <w:lang w:val="ru-RU"/>
        </w:rPr>
      </w:pPr>
      <w:r>
        <w:rPr>
          <w:szCs w:val="28"/>
          <w:highlight w:val="lightGray"/>
          <w:lang w:val="ru-RU"/>
        </w:rPr>
        <w:t>В отношении</w:t>
      </w:r>
      <w:r>
        <w:rPr>
          <w:sz w:val="24"/>
          <w:szCs w:val="28"/>
          <w:highlight w:val="lightGray"/>
          <w:lang w:val="ru-RU"/>
        </w:rPr>
        <w:t xml:space="preserve"> </w:t>
      </w:r>
      <w:r>
        <w:rPr>
          <w:sz w:val="24"/>
          <w:szCs w:val="24"/>
          <w:highlight w:val="lightGray"/>
          <w:lang w:val="ru-RU"/>
        </w:rPr>
        <w:t xml:space="preserve">вновь вводимого (модернизируемого) оборудования ТЭС в отдельной территории ценовой зоны оптового рынка, ранее относившейся к неценовой зоне </w:t>
      </w:r>
      <w:r>
        <w:rPr>
          <w:bCs/>
          <w:color w:val="000000"/>
          <w:sz w:val="24"/>
          <w:szCs w:val="24"/>
          <w:highlight w:val="lightGray"/>
          <w:shd w:fill="CCCCCC" w:val="clear"/>
          <w:lang w:val="ru-RU"/>
        </w:rPr>
        <w:t xml:space="preserve">оптового рынка </w:t>
      </w:r>
      <w:r>
        <w:rPr>
          <w:sz w:val="24"/>
          <w:szCs w:val="24"/>
          <w:highlight w:val="lightGray"/>
          <w:lang w:val="ru-RU"/>
        </w:rPr>
        <w:t xml:space="preserve">Дальнего Востока Подрядчик дополнительно компенсирует Заказчику упущенную выгоду (выручку) в </w:t>
      </w:r>
      <w:r>
        <w:rPr>
          <w:szCs w:val="28"/>
          <w:highlight w:val="lightGray"/>
          <w:lang w:val="ru-RU"/>
        </w:rPr>
        <w:t xml:space="preserve">связи: </w:t>
      </w:r>
    </w:p>
    <w:p>
      <w:pPr>
        <w:pStyle w:val="ListParagraph"/>
        <w:numPr>
          <w:ilvl w:val="2"/>
          <w:numId w:val="22"/>
        </w:numPr>
        <w:tabs>
          <w:tab w:val="clear" w:pos="709"/>
          <w:tab w:val="left" w:pos="1134" w:leader="none"/>
        </w:tabs>
        <w:ind w:left="0" w:firstLine="709"/>
        <w:jc w:val="both"/>
        <w:rPr>
          <w:szCs w:val="28"/>
          <w:highlight w:val="lightGray"/>
        </w:rPr>
      </w:pPr>
      <w:r>
        <w:rPr>
          <w:szCs w:val="28"/>
          <w:highlight w:val="lightGray"/>
        </w:rPr>
        <w:t>С неоплатой мощности из-за просрочки исполнения обязательства по поставке мощности от модернизированного объекта.</w:t>
      </w:r>
    </w:p>
    <w:p>
      <w:pPr>
        <w:pStyle w:val="Normal"/>
        <w:tabs>
          <w:tab w:val="clear" w:pos="709"/>
          <w:tab w:val="left" w:pos="1134" w:leader="none"/>
        </w:tabs>
        <w:ind w:firstLine="709"/>
        <w:jc w:val="both"/>
        <w:rPr>
          <w:szCs w:val="28"/>
          <w:highlight w:val="lightGray"/>
          <w:lang w:val="ru-RU"/>
        </w:rPr>
      </w:pPr>
      <w:r>
        <w:rPr>
          <w:szCs w:val="28"/>
          <w:highlight w:val="lightGray"/>
          <w:lang w:val="ru-RU"/>
        </w:rPr>
        <w:t xml:space="preserve">Размер упущенной выгоды для каждого месяца просрочки определяется </w:t>
      </w:r>
      <w:r>
        <w:rPr>
          <w:sz w:val="24"/>
          <w:szCs w:val="24"/>
          <w:highlight w:val="lightGray"/>
          <w:lang w:val="ru-RU"/>
        </w:rPr>
        <w:t>в соответствии с Правилами ОРЭМ.</w:t>
      </w:r>
    </w:p>
    <w:p>
      <w:pPr>
        <w:pStyle w:val="ListParagraph"/>
        <w:numPr>
          <w:ilvl w:val="2"/>
          <w:numId w:val="22"/>
        </w:numPr>
        <w:tabs>
          <w:tab w:val="clear" w:pos="709"/>
          <w:tab w:val="left" w:pos="1134" w:leader="none"/>
        </w:tabs>
        <w:ind w:left="0" w:firstLine="709"/>
        <w:jc w:val="both"/>
        <w:rPr>
          <w:szCs w:val="28"/>
          <w:highlight w:val="lightGray"/>
        </w:rPr>
      </w:pPr>
      <w:r>
        <w:rPr>
          <w:szCs w:val="28"/>
          <w:highlight w:val="lightGray"/>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t>
      </w:r>
    </w:p>
    <w:p>
      <w:pPr>
        <w:pStyle w:val="Normal"/>
        <w:tabs>
          <w:tab w:val="clear" w:pos="709"/>
          <w:tab w:val="left" w:pos="1134" w:leader="none"/>
        </w:tabs>
        <w:ind w:firstLine="709"/>
        <w:jc w:val="both"/>
        <w:rPr>
          <w:szCs w:val="28"/>
          <w:highlight w:val="lightGray"/>
          <w:lang w:val="ru-RU"/>
        </w:rPr>
      </w:pPr>
      <w:r>
        <w:rPr>
          <w:szCs w:val="28"/>
          <w:highlight w:val="lightGray"/>
          <w:lang w:val="ru-RU"/>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pPr>
        <w:pStyle w:val="ListParagraph"/>
        <w:numPr>
          <w:ilvl w:val="2"/>
          <w:numId w:val="22"/>
        </w:numPr>
        <w:tabs>
          <w:tab w:val="clear" w:pos="709"/>
          <w:tab w:val="left" w:pos="1134" w:leader="none"/>
        </w:tabs>
        <w:ind w:left="0" w:firstLine="709"/>
        <w:jc w:val="both"/>
        <w:rPr>
          <w:szCs w:val="28"/>
          <w:highlight w:val="lightGray"/>
        </w:rPr>
      </w:pPr>
      <w:r>
        <w:rPr>
          <w:szCs w:val="28"/>
          <w:highlight w:val="lightGray"/>
        </w:rPr>
        <w:t>С применением</w:t>
      </w:r>
      <w:r>
        <w:rPr>
          <w:sz w:val="24"/>
          <w:szCs w:val="28"/>
          <w:highlight w:val="lightGray"/>
        </w:rPr>
        <w:t xml:space="preserve">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w:t>
      </w:r>
      <w:r>
        <w:rPr>
          <w:szCs w:val="28"/>
          <w:highlight w:val="lightGray"/>
        </w:rPr>
        <w:t>ОРЭМ</w:t>
      </w:r>
      <w:r>
        <w:rPr>
          <w:rStyle w:val="FootnoteReference"/>
          <w:szCs w:val="28"/>
          <w:highlight w:val="lightGray"/>
        </w:rPr>
        <w:footnoteReference w:id="18"/>
      </w:r>
      <w:r>
        <w:rPr>
          <w:szCs w:val="28"/>
          <w:highlight w:val="lightGray"/>
        </w:rPr>
        <w:t>.</w:t>
      </w:r>
    </w:p>
    <w:p>
      <w:pPr>
        <w:pStyle w:val="Normal"/>
        <w:tabs>
          <w:tab w:val="clear" w:pos="709"/>
          <w:tab w:val="left" w:pos="1701" w:leader="none"/>
        </w:tabs>
        <w:ind w:firstLine="709"/>
        <w:jc w:val="both"/>
        <w:rPr>
          <w:szCs w:val="28"/>
          <w:highlight w:val="lightGray"/>
          <w:lang w:val="ru-RU"/>
        </w:rPr>
      </w:pPr>
      <w:r>
        <w:rPr>
          <w:highlight w:val="lightGray"/>
          <w:lang w:val="ru-RU"/>
        </w:rPr>
        <w:t>Методика</w:t>
      </w:r>
      <w:r>
        <w:rPr>
          <w:sz w:val="24"/>
          <w:szCs w:val="28"/>
          <w:highlight w:val="lightGray"/>
          <w:lang w:val="ru-RU"/>
        </w:rPr>
        <w: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t>
      </w:r>
      <w:r>
        <w:rPr>
          <w:bCs/>
          <w:color w:val="000000"/>
          <w:sz w:val="24"/>
          <w:szCs w:val="24"/>
          <w:highlight w:val="lightGray"/>
          <w:shd w:fill="auto" w:val="clear"/>
          <w:lang w:val="ru-RU"/>
        </w:rPr>
        <w:t xml:space="preserve">оптового рынка </w:t>
      </w:r>
      <w:r>
        <w:rPr>
          <w:sz w:val="24"/>
          <w:szCs w:val="28"/>
          <w:highlight w:val="lightGray"/>
          <w:lang w:val="ru-RU"/>
        </w:rPr>
        <w:t xml:space="preserve">Дальнего Востока изложена в </w:t>
      </w:r>
      <w:r>
        <w:rPr>
          <w:highlight w:val="lightGray"/>
          <w:lang w:val="ru-RU"/>
        </w:rPr>
        <w:t>Приложении № 9 к Договору</w:t>
      </w:r>
      <w:r>
        <w:rPr>
          <w:bCs/>
          <w:highlight w:val="lightGray"/>
          <w:lang w:val="ru-RU"/>
        </w:rPr>
        <w:t>.</w:t>
      </w:r>
    </w:p>
    <w:p>
      <w:pPr>
        <w:pStyle w:val="ListParagraph"/>
        <w:numPr>
          <w:ilvl w:val="1"/>
          <w:numId w:val="22"/>
        </w:numPr>
        <w:tabs>
          <w:tab w:val="clear" w:pos="709"/>
          <w:tab w:val="left" w:pos="1276" w:leader="none"/>
        </w:tabs>
        <w:ind w:left="0" w:firstLine="709"/>
        <w:jc w:val="both"/>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2"/>
        </w:numPr>
        <w:tabs>
          <w:tab w:val="clear" w:pos="709"/>
          <w:tab w:val="left" w:pos="1276" w:leader="none"/>
        </w:tabs>
        <w:ind w:left="0" w:firstLine="709"/>
        <w:jc w:val="both"/>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2"/>
        </w:numPr>
        <w:tabs>
          <w:tab w:val="clear" w:pos="709"/>
          <w:tab w:val="left" w:pos="1276" w:leader="none"/>
        </w:tabs>
        <w:ind w:left="0" w:firstLine="709"/>
        <w:jc w:val="both"/>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2"/>
        </w:numPr>
        <w:tabs>
          <w:tab w:val="clear" w:pos="709"/>
          <w:tab w:val="left" w:pos="1276" w:leader="none"/>
        </w:tabs>
        <w:ind w:left="0" w:firstLine="709"/>
        <w:jc w:val="both"/>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2"/>
        </w:numPr>
        <w:tabs>
          <w:tab w:val="clear" w:pos="709"/>
          <w:tab w:val="left" w:pos="1276" w:leader="none"/>
        </w:tabs>
        <w:ind w:left="0" w:firstLine="709"/>
        <w:jc w:val="both"/>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rPr>
      </w:pPr>
      <w:r>
        <w:rPr>
          <w:b/>
        </w:rPr>
      </w:r>
    </w:p>
    <w:p>
      <w:pPr>
        <w:pStyle w:val="ListParagraph"/>
        <w:numPr>
          <w:ilvl w:val="0"/>
          <w:numId w:val="22"/>
        </w:numPr>
        <w:shd w:val="clear" w:color="auto" w:fill="FFFFFF"/>
        <w:tabs>
          <w:tab w:val="clear" w:pos="709"/>
          <w:tab w:val="left" w:pos="284" w:leader="none"/>
        </w:tabs>
        <w:ind w:left="0" w:hanging="0"/>
        <w:jc w:val="center"/>
        <w:rPr>
          <w:b/>
        </w:rPr>
      </w:pPr>
      <w:r>
        <w:rPr>
          <w:b/>
        </w:rPr>
        <w:t>Исключительные права и патенты</w:t>
      </w:r>
    </w:p>
    <w:p>
      <w:pPr>
        <w:pStyle w:val="ListParagraph"/>
        <w:numPr>
          <w:ilvl w:val="1"/>
          <w:numId w:val="22"/>
        </w:numPr>
        <w:shd w:val="clear" w:color="auto" w:fill="FFFFFF"/>
        <w:tabs>
          <w:tab w:val="clear" w:pos="709"/>
          <w:tab w:val="left" w:pos="1134" w:leader="none"/>
        </w:tabs>
        <w:ind w:left="0" w:firstLine="709"/>
        <w:jc w:val="both"/>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2"/>
        </w:numPr>
        <w:shd w:val="clear" w:color="auto" w:fill="FFFFFF"/>
        <w:tabs>
          <w:tab w:val="clear" w:pos="709"/>
          <w:tab w:val="left" w:pos="1134" w:leader="none"/>
        </w:tabs>
        <w:ind w:left="0" w:firstLine="709"/>
        <w:jc w:val="both"/>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2"/>
        </w:numPr>
        <w:shd w:val="clear" w:color="auto" w:fill="FFFFFF"/>
        <w:tabs>
          <w:tab w:val="clear" w:pos="709"/>
          <w:tab w:val="left" w:pos="1134" w:leader="none"/>
        </w:tabs>
        <w:ind w:left="0" w:firstLine="709"/>
        <w:jc w:val="both"/>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2"/>
        </w:numPr>
        <w:shd w:val="clear" w:color="auto" w:fill="FFFFFF"/>
        <w:tabs>
          <w:tab w:val="clear" w:pos="709"/>
          <w:tab w:val="left" w:pos="1134" w:leader="none"/>
        </w:tabs>
        <w:ind w:left="0" w:firstLine="709"/>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2"/>
        </w:numPr>
        <w:shd w:val="clear" w:color="auto" w:fill="FFFFFF"/>
        <w:tabs>
          <w:tab w:val="clear" w:pos="709"/>
          <w:tab w:val="left" w:pos="1134" w:leader="none"/>
        </w:tabs>
        <w:ind w:left="0" w:firstLine="709"/>
        <w:jc w:val="both"/>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2"/>
        </w:numPr>
        <w:shd w:val="clear" w:color="auto" w:fill="FFFFFF"/>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2"/>
        </w:numPr>
        <w:shd w:val="clear" w:color="auto" w:fill="FFFFFF"/>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слуг/УПД.</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22"/>
        </w:numPr>
        <w:shd w:val="clear" w:color="auto" w:fill="FFFFFF"/>
        <w:tabs>
          <w:tab w:val="clear" w:pos="709"/>
          <w:tab w:val="left" w:pos="426" w:leader="none"/>
        </w:tabs>
        <w:ind w:left="0" w:hanging="360"/>
        <w:jc w:val="center"/>
        <w:rPr>
          <w:b/>
          <w:bCs/>
        </w:rPr>
      </w:pPr>
      <w:r>
        <w:rPr>
          <w:b/>
          <w:bCs/>
        </w:rPr>
        <w:t>Конфиденциальность</w:t>
      </w:r>
    </w:p>
    <w:p>
      <w:pPr>
        <w:pStyle w:val="ListParagraph"/>
        <w:numPr>
          <w:ilvl w:val="1"/>
          <w:numId w:val="22"/>
        </w:numPr>
        <w:shd w:val="clear" w:color="auto" w:fill="FFFFFF"/>
        <w:tabs>
          <w:tab w:val="clear" w:pos="709"/>
          <w:tab w:val="left" w:pos="1134" w:leader="none"/>
        </w:tabs>
        <w:ind w:left="0" w:firstLine="709"/>
        <w:jc w:val="both"/>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2"/>
        </w:numPr>
        <w:shd w:val="clear" w:color="auto" w:fill="FFFFFF"/>
        <w:tabs>
          <w:tab w:val="clear" w:pos="709"/>
          <w:tab w:val="left" w:pos="1134" w:leader="none"/>
        </w:tabs>
        <w:ind w:left="0" w:firstLine="709"/>
        <w:jc w:val="both"/>
        <w:rPr>
          <w:bCs/>
        </w:rPr>
      </w:pPr>
      <w:bookmarkStart w:id="18"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8"/>
      <w:r>
        <w:rPr>
          <w:bCs/>
        </w:rPr>
        <w:t xml:space="preserve"> </w:t>
      </w:r>
    </w:p>
    <w:p>
      <w:pPr>
        <w:pStyle w:val="ListParagraph"/>
        <w:shd w:val="clear" w:color="auto" w:fill="FFFFFF"/>
        <w:tabs>
          <w:tab w:val="clear" w:pos="709"/>
          <w:tab w:val="left" w:pos="1418" w:leader="none"/>
        </w:tabs>
        <w:ind w:left="0" w:firstLine="709"/>
        <w:jc w:val="both"/>
        <w:rPr>
          <w:bCs/>
        </w:rPr>
      </w:pPr>
      <w:r>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shd w:val="clear" w:color="auto" w:fill="FFFFFF"/>
        <w:tabs>
          <w:tab w:val="clear" w:pos="709"/>
          <w:tab w:val="left" w:pos="1418" w:leader="none"/>
        </w:tabs>
        <w:ind w:left="0" w:firstLine="709"/>
        <w:jc w:val="both"/>
        <w:rPr>
          <w:bCs/>
        </w:rPr>
      </w:pPr>
      <w:r>
        <w:rPr>
          <w:bCs/>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shd w:val="clear" w:color="auto" w:fill="FFFFFF"/>
        <w:tabs>
          <w:tab w:val="clear" w:pos="709"/>
          <w:tab w:val="left" w:pos="1418" w:leader="none"/>
        </w:tabs>
        <w:ind w:left="0" w:firstLine="709"/>
        <w:jc w:val="both"/>
        <w:rPr>
          <w:bCs/>
        </w:rPr>
      </w:pPr>
      <w:r>
        <w:rPr>
          <w:bCs/>
        </w:rPr>
        <w:t xml:space="preserve">8.6.3. использовать Информацию исключительно для целей, для которых она была предоставлена; </w:t>
      </w:r>
    </w:p>
    <w:p>
      <w:pPr>
        <w:pStyle w:val="ListParagraph"/>
        <w:shd w:val="clear" w:color="auto" w:fill="FFFFFF"/>
        <w:tabs>
          <w:tab w:val="clear" w:pos="709"/>
          <w:tab w:val="left" w:pos="1418" w:leader="none"/>
        </w:tabs>
        <w:ind w:left="0" w:firstLine="709"/>
        <w:jc w:val="both"/>
        <w:rPr>
          <w:bCs/>
        </w:rPr>
      </w:pPr>
      <w:r>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shd w:val="clear" w:color="auto" w:fill="FFFFFF"/>
        <w:tabs>
          <w:tab w:val="clear" w:pos="709"/>
          <w:tab w:val="left" w:pos="1418" w:leader="none"/>
        </w:tabs>
        <w:ind w:left="0" w:firstLine="709"/>
        <w:jc w:val="both"/>
        <w:rPr>
          <w:bCs/>
        </w:rPr>
      </w:pPr>
      <w:r>
        <w:rPr>
          <w:bCs/>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shd w:val="clear" w:color="auto" w:fill="FFFFFF"/>
        <w:tabs>
          <w:tab w:val="clear" w:pos="709"/>
          <w:tab w:val="left" w:pos="1418" w:leader="none"/>
        </w:tabs>
        <w:ind w:left="0" w:firstLine="709"/>
        <w:jc w:val="both"/>
        <w:rPr>
          <w:bCs/>
        </w:rPr>
      </w:pPr>
      <w:r>
        <w:rPr>
          <w:bCs/>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shd w:val="clear" w:color="auto" w:fill="FFFFFF"/>
        <w:tabs>
          <w:tab w:val="clear" w:pos="709"/>
          <w:tab w:val="left" w:pos="1418" w:leader="none"/>
        </w:tabs>
        <w:ind w:left="0" w:firstLine="709"/>
        <w:jc w:val="both"/>
        <w:rPr>
          <w:bCs/>
        </w:rPr>
      </w:pPr>
      <w:bookmarkStart w:id="19" w:name="_Ref361337832"/>
      <w:r>
        <w:rPr>
          <w:bCs/>
        </w:rPr>
        <w:t>8.6.7.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9"/>
    </w:p>
    <w:p>
      <w:pPr>
        <w:pStyle w:val="ListParagraph"/>
        <w:shd w:val="clear" w:color="auto" w:fill="FFFFFF"/>
        <w:tabs>
          <w:tab w:val="clear" w:pos="709"/>
          <w:tab w:val="left" w:pos="1418" w:leader="none"/>
        </w:tabs>
        <w:ind w:left="0" w:firstLine="709"/>
        <w:jc w:val="both"/>
        <w:rPr>
          <w:bCs/>
        </w:rPr>
      </w:pPr>
      <w:r>
        <w:rPr>
          <w:bCs/>
        </w:rPr>
        <w:t>8.6.8. не разглашать третьим лицам факты передачи или получения Информации.</w:t>
      </w:r>
    </w:p>
    <w:p>
      <w:pPr>
        <w:pStyle w:val="ListParagraph"/>
        <w:numPr>
          <w:ilvl w:val="1"/>
          <w:numId w:val="22"/>
        </w:numPr>
        <w:shd w:val="clear" w:color="auto" w:fill="FFFFFF"/>
        <w:tabs>
          <w:tab w:val="clear" w:pos="709"/>
          <w:tab w:val="left" w:pos="1134" w:leader="none"/>
        </w:tabs>
        <w:ind w:left="0" w:firstLine="709"/>
        <w:jc w:val="both"/>
        <w:rPr>
          <w:bCs/>
        </w:rPr>
      </w:pPr>
      <w:bookmarkStart w:id="2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0"/>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22"/>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22"/>
        </w:numPr>
        <w:shd w:val="clear" w:color="auto" w:fill="FFFFFF"/>
        <w:tabs>
          <w:tab w:val="clear" w:pos="709"/>
          <w:tab w:val="left" w:pos="1134" w:leader="none"/>
          <w:tab w:val="left" w:pos="1418"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shd w:val="clear" w:color="auto" w:fill="FFFFFF"/>
        <w:tabs>
          <w:tab w:val="clear" w:pos="709"/>
          <w:tab w:val="left" w:pos="1134" w:leader="none"/>
          <w:tab w:val="left" w:pos="1418" w:leader="none"/>
        </w:tabs>
        <w:ind w:left="0" w:firstLine="709"/>
        <w:jc w:val="both"/>
        <w:rPr>
          <w:bCs/>
        </w:rPr>
      </w:pPr>
      <w:r>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rStyle w:val="FootnoteReference"/>
          <w:bCs/>
          <w:sz w:val="24"/>
          <w:szCs w:val="24"/>
          <w:highlight w:val="lightGray"/>
          <w:shd w:fill="auto" w:val="clear"/>
        </w:rPr>
        <w:footnoteReference w:id="19"/>
      </w:r>
      <w:r>
        <w:rPr>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15.8</w:t>
      </w:r>
      <w:r>
        <w:rPr>
          <w:bCs/>
        </w:rPr>
        <w:t xml:space="preserve">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shd w:val="clear" w:color="auto" w:fill="FFFFFF"/>
        <w:tabs>
          <w:tab w:val="clear" w:pos="709"/>
          <w:tab w:val="left" w:pos="1134" w:leader="none"/>
          <w:tab w:val="left" w:pos="1418"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22"/>
        </w:numPr>
        <w:shd w:val="clear" w:color="auto" w:fill="FFFFFF"/>
        <w:tabs>
          <w:tab w:val="clear" w:pos="709"/>
          <w:tab w:val="left" w:pos="426" w:leader="none"/>
        </w:tabs>
        <w:ind w:left="0" w:hanging="0"/>
        <w:jc w:val="center"/>
        <w:rPr>
          <w:b/>
        </w:rPr>
      </w:pPr>
      <w:r>
        <w:rPr>
          <w:b/>
          <w:bCs/>
        </w:rPr>
        <w:t>Антикоррупционная оговорка</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ПАО </w:t>
      </w:r>
      <w:r>
        <w:rPr>
          <w:rFonts w:eastAsia="Times New Roman" w:cs="Times New Roman"/>
          <w:color w:val="auto"/>
          <w:kern w:val="0"/>
          <w:sz w:val="24"/>
          <w:szCs w:val="24"/>
          <w:lang w:val="ru-RU" w:eastAsia="ru-RU" w:bidi="ar-SA"/>
        </w:rPr>
        <w:t>«РусГидро»</w:t>
      </w:r>
      <w:r>
        <w:rPr>
          <w:lang w:val="ru-RU"/>
        </w:rPr>
        <w:t xml:space="preserve">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left" w:pos="709" w:leader="none"/>
          <w:tab w:val="left" w:pos="1418" w:leader="none"/>
        </w:tabs>
        <w:ind w:left="0" w:firstLine="709"/>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left" w:pos="709" w:leader="none"/>
          <w:tab w:val="left" w:pos="1418" w:leader="none"/>
        </w:tabs>
        <w:ind w:left="0" w:firstLine="709"/>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left" w:pos="709" w:leader="none"/>
          <w:tab w:val="left" w:pos="1418" w:leader="none"/>
        </w:tabs>
        <w:ind w:left="0" w:firstLine="709"/>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left" w:pos="709" w:leader="none"/>
          <w:tab w:val="left" w:pos="1418" w:leader="none"/>
        </w:tabs>
        <w:ind w:left="0" w:firstLine="709"/>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left" w:pos="709" w:leader="none"/>
          <w:tab w:val="left" w:pos="1418" w:leader="none"/>
        </w:tabs>
        <w:ind w:left="0" w:firstLine="709"/>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22"/>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2"/>
        </w:numPr>
        <w:shd w:val="clear" w:color="auto" w:fill="FFFFFF"/>
        <w:tabs>
          <w:tab w:val="clear" w:pos="709"/>
          <w:tab w:val="left" w:pos="1134" w:leader="none"/>
        </w:tabs>
        <w:ind w:left="0" w:firstLine="709"/>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21"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22"/>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22"/>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15.8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right="23" w:firstLine="709"/>
        <w:jc w:val="both"/>
        <w:rPr/>
      </w:pPr>
      <w:r>
        <w:rPr/>
        <w:t>нарушение Исполнителем начального и конечного сроков оказания Услуг по Договору, а также промежуточных сроков оказания Услуг, установленных Графиком оказания Услуг (Приложение № 2 к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 xml:space="preserve">вывезти с места оказания Услуг оборудование и персонал Исполнителя; </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hanging="0"/>
        <w:jc w:val="both"/>
        <w:rPr/>
      </w:pPr>
      <w:r>
        <w:rPr/>
      </w:r>
    </w:p>
    <w:p>
      <w:pPr>
        <w:pStyle w:val="ListParagraph"/>
        <w:numPr>
          <w:ilvl w:val="0"/>
          <w:numId w:val="22"/>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2"/>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20"/>
      </w:r>
      <w:r>
        <w:rPr>
          <w:highlight w:val="lightGray"/>
          <w:lang w:val="ru-RU" w:eastAsia="en-US"/>
        </w:rPr>
        <w:t>.</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15.7</w:t>
      </w:r>
      <w:r>
        <w:rPr/>
        <w:t xml:space="preserve">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15.8</w:t>
      </w:r>
      <w:r>
        <w:rPr/>
        <w:t xml:space="preserve">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w:t>
      </w:r>
      <w:r>
        <w:rPr>
          <w:highlight w:val="lightGray"/>
        </w:rPr>
        <w:t>15.8</w:t>
      </w:r>
      <w:r>
        <w:rPr/>
        <w:t xml:space="preserve"> Договора. </w:t>
      </w:r>
    </w:p>
    <w:p>
      <w:pPr>
        <w:pStyle w:val="ListParagraph"/>
        <w:numPr>
          <w:ilvl w:val="1"/>
          <w:numId w:val="22"/>
        </w:numPr>
        <w:shd w:val="clear" w:color="auto" w:fill="FFFFFF"/>
        <w:tabs>
          <w:tab w:val="clear" w:pos="709"/>
          <w:tab w:val="left" w:pos="1418" w:leader="none"/>
          <w:tab w:val="left" w:pos="1560" w:leader="none"/>
        </w:tabs>
        <w:ind w:left="0" w:firstLine="709"/>
        <w:jc w:val="both"/>
        <w:rPr/>
      </w:pPr>
      <w:r>
        <w:rPr/>
        <w:t>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pPr>
        <w:pStyle w:val="ListParagraph"/>
        <w:shd w:val="clear" w:color="auto" w:fill="FFFFFF"/>
        <w:tabs>
          <w:tab w:val="clear" w:pos="709"/>
          <w:tab w:val="left" w:pos="1418" w:leader="none"/>
          <w:tab w:val="left" w:pos="1560" w:leader="none"/>
        </w:tabs>
        <w:ind w:left="0" w:firstLine="709"/>
        <w:jc w:val="both"/>
        <w:rPr>
          <w:bCs/>
        </w:rPr>
      </w:pPr>
      <w:r>
        <w:rPr>
          <w:bCs/>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 w:val="left" w:pos="1560" w:leader="none"/>
        </w:tabs>
        <w:ind w:left="0" w:firstLine="709"/>
        <w:jc w:val="both"/>
        <w:rPr/>
      </w:pPr>
      <w:r>
        <w:rPr>
          <w:bCs/>
        </w:rPr>
        <w:t xml:space="preserve">15.8.2.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15.8.3.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134"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15.8.1. – 15.8.2.</w:t>
      </w:r>
      <w:r>
        <w:rPr>
          <w:bCs/>
        </w:rPr>
        <w:t xml:space="preserve"> Договора.</w:t>
      </w:r>
    </w:p>
    <w:p>
      <w:pPr>
        <w:pStyle w:val="ListParagraph"/>
        <w:numPr>
          <w:ilvl w:val="1"/>
          <w:numId w:val="22"/>
        </w:numPr>
        <w:shd w:val="clear" w:color="auto" w:fill="FFFFFF"/>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r>
        <w:rPr/>
        <w:t xml:space="preserve"> </w:t>
      </w:r>
    </w:p>
    <w:p>
      <w:pPr>
        <w:pStyle w:val="ListParagraph"/>
        <w:numPr>
          <w:ilvl w:val="1"/>
          <w:numId w:val="22"/>
        </w:numPr>
        <w:shd w:val="clear" w:color="auto" w:fill="FFFFFF"/>
        <w:tabs>
          <w:tab w:val="clear" w:pos="709"/>
          <w:tab w:val="left" w:pos="1418"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clear" w:pos="709"/>
          <w:tab w:val="left" w:pos="1418"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21"/>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2"/>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Приложение № 2 – График оказания Услуг;</w:t>
      </w:r>
    </w:p>
    <w:p>
      <w:pPr>
        <w:pStyle w:val="Normal"/>
        <w:tabs>
          <w:tab w:val="clear" w:pos="709"/>
          <w:tab w:val="left" w:pos="2127" w:leader="none"/>
          <w:tab w:val="left" w:pos="2410" w:leader="none"/>
        </w:tabs>
        <w:jc w:val="both"/>
        <w:rPr>
          <w:lang w:val="ru-RU" w:eastAsia="en-US"/>
        </w:rPr>
      </w:pPr>
      <w:r>
        <w:rPr>
          <w:lang w:val="ru-RU"/>
        </w:rPr>
        <w:t xml:space="preserve">Приложение № 3 – </w:t>
      </w:r>
      <w:r>
        <w:rPr>
          <w:highlight w:val="lightGray"/>
          <w:lang w:val="ru-RU"/>
        </w:rPr>
        <w:t xml:space="preserve">Сводный расчет стоимости Услуг с приложениями / </w:t>
      </w:r>
      <w:r>
        <w:rPr>
          <w:highlight w:val="lightGray"/>
          <w:lang w:val="ru-RU" w:eastAsia="en-US"/>
        </w:rPr>
        <w:t>Расчет стоимости Услуг</w:t>
      </w:r>
      <w:r>
        <w:rPr>
          <w:lang w:val="ru-RU"/>
        </w:rPr>
        <w:t>;</w:t>
      </w:r>
    </w:p>
    <w:p>
      <w:pPr>
        <w:pStyle w:val="Normal"/>
        <w:tabs>
          <w:tab w:val="clear" w:pos="709"/>
          <w:tab w:val="left" w:pos="2127" w:leader="none"/>
          <w:tab w:val="left" w:pos="2410" w:leader="none"/>
        </w:tabs>
        <w:jc w:val="both"/>
        <w:rPr>
          <w:bCs/>
          <w:lang w:val="ru-RU"/>
        </w:rPr>
      </w:pPr>
      <w:r>
        <w:rPr>
          <w:lang w:val="ru-RU"/>
        </w:rPr>
        <w:t>Приложение № 4 – Форма Акта сдачи-приемки технической и иной документации</w:t>
      </w:r>
      <w:r>
        <w:rPr>
          <w:bCs/>
          <w:lang w:val="ru-RU"/>
        </w:rPr>
        <w:t>;</w:t>
      </w:r>
    </w:p>
    <w:p>
      <w:pPr>
        <w:pStyle w:val="Normal"/>
        <w:tabs>
          <w:tab w:val="clear" w:pos="709"/>
          <w:tab w:val="left" w:pos="2127" w:leader="none"/>
          <w:tab w:val="left" w:pos="2410" w:leader="none"/>
        </w:tabs>
        <w:jc w:val="both"/>
        <w:rPr>
          <w:lang w:val="ru-RU"/>
        </w:rPr>
      </w:pPr>
      <w:r>
        <w:rPr>
          <w:lang w:val="ru-RU"/>
        </w:rPr>
        <w:t>Приложение № 5 – Форма Акта об оказании Услуг;</w:t>
      </w:r>
    </w:p>
    <w:p>
      <w:pPr>
        <w:pStyle w:val="ListParagraph"/>
        <w:shd w:val="clear" w:color="auto" w:fill="FFFFFF"/>
        <w:tabs>
          <w:tab w:val="clear" w:pos="709"/>
          <w:tab w:val="left" w:pos="1134" w:leader="none"/>
          <w:tab w:val="left" w:pos="2127" w:leader="none"/>
          <w:tab w:val="left" w:pos="2410" w:leader="none"/>
        </w:tabs>
        <w:ind w:left="0" w:hanging="0"/>
        <w:jc w:val="both"/>
        <w:rPr>
          <w:lang w:eastAsia="en-US"/>
        </w:rPr>
      </w:pPr>
      <w:r>
        <w:rPr>
          <w:bCs/>
        </w:rPr>
        <w:t xml:space="preserve">Приложение № 6 </w:t>
      </w:r>
      <w:r>
        <w:rPr/>
        <w:t>–</w:t>
      </w:r>
      <w:r>
        <w:rPr>
          <w:bCs/>
        </w:rPr>
        <w:t xml:space="preserve">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jc w:val="both"/>
        <w:rPr>
          <w:lang w:val="ru-RU"/>
        </w:rPr>
      </w:pPr>
      <w:r>
        <w:rPr>
          <w:bCs/>
          <w:lang w:val="ru-RU"/>
        </w:rPr>
        <w:t>П</w:t>
      </w:r>
      <w:r>
        <w:rPr>
          <w:lang w:val="ru-RU" w:eastAsia="en-US"/>
        </w:rPr>
        <w:t xml:space="preserve">риложение № 7 – </w:t>
      </w:r>
      <w:r>
        <w:rPr>
          <w:bCs/>
          <w:lang w:val="ru-RU"/>
        </w:rPr>
        <w:t>Критерии отбора Банков-Гарантов.</w:t>
      </w:r>
      <w:r>
        <w:rPr>
          <w:lang w:val="ru-RU" w:eastAsia="en-US"/>
        </w:rPr>
        <w:t xml:space="preserve"> </w:t>
      </w:r>
    </w:p>
    <w:p>
      <w:pPr>
        <w:pStyle w:val="Normal"/>
        <w:jc w:val="both"/>
        <w:rPr>
          <w:lang w:val="ru-RU"/>
        </w:rPr>
      </w:pPr>
      <w:r>
        <w:rPr>
          <w:lang w:val="ru-RU"/>
        </w:rPr>
        <w:t xml:space="preserve">Приложение № 8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Normal"/>
        <w:jc w:val="both"/>
        <w:rPr>
          <w:lang w:val="ru-RU"/>
        </w:rPr>
      </w:pPr>
      <w:r>
        <w:rPr>
          <w:highlight w:val="lightGray"/>
          <w:lang w:val="ru-RU"/>
        </w:rPr>
        <w:t xml:space="preserve">Приложение № 9 – Методика </w:t>
      </w:r>
      <w:r>
        <w:rPr>
          <w:bCs/>
          <w:sz w:val="24"/>
          <w:szCs w:val="24"/>
          <w:highlight w:val="lightGray"/>
          <w:lang w:val="ru-RU"/>
        </w:rPr>
        <w:t>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numPr>
          <w:ilvl w:val="0"/>
          <w:numId w:val="22"/>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b/>
              </w:rPr>
            </w:pPr>
            <w:r>
              <w:rPr>
                <w:b/>
              </w:rPr>
              <w:t>ЗАКАЗЧИК:</w:t>
            </w:r>
          </w:p>
        </w:tc>
        <w:tc>
          <w:tcPr>
            <w:tcW w:w="4643" w:type="dxa"/>
            <w:tcBorders/>
            <w:shd w:color="auto" w:fill="auto" w:val="clear"/>
          </w:tcPr>
          <w:p>
            <w:pPr>
              <w:pStyle w:val="Normal"/>
              <w:widowControl w:val="false"/>
              <w:rPr>
                <w:b/>
              </w:rPr>
            </w:pPr>
            <w:r>
              <w:rPr>
                <w:b/>
                <w:lang w:val="ru-RU"/>
              </w:rPr>
              <w:t>ИСПОЛНИТЕЛЬ</w:t>
            </w:r>
            <w:r>
              <w:rPr>
                <w:b/>
              </w:rPr>
              <w:t>:</w:t>
            </w:r>
          </w:p>
        </w:tc>
      </w:tr>
      <w:tr>
        <w:trPr/>
        <w:tc>
          <w:tcPr>
            <w:tcW w:w="4643" w:type="dxa"/>
            <w:tcBorders/>
            <w:shd w:color="auto" w:fill="auto" w:val="clear"/>
          </w:tcPr>
          <w:p>
            <w:pPr>
              <w:pStyle w:val="Normal"/>
              <w:widowControl w:val="false"/>
              <w:rPr>
                <w:b/>
                <w:lang w:val="ru-RU"/>
              </w:rPr>
            </w:pPr>
            <w:r>
              <w:rPr>
                <w:b/>
                <w:lang w:val="ru-RU"/>
              </w:rPr>
              <w:t>Публичное акционерное общество</w:t>
            </w:r>
          </w:p>
          <w:p>
            <w:pPr>
              <w:pStyle w:val="Normal"/>
              <w:widowControl w:val="false"/>
              <w:rPr>
                <w:b/>
                <w:lang w:val="ru-RU"/>
              </w:rPr>
            </w:pPr>
            <w:r>
              <w:rPr>
                <w:b/>
                <w:lang w:val="ru-RU"/>
              </w:rPr>
              <w:t>«Федеральная гидрогенерирующая компания - РусГидро» (ПАО «РусГидро»)</w:t>
            </w:r>
          </w:p>
          <w:p>
            <w:pPr>
              <w:pStyle w:val="Normal"/>
              <w:widowControl w:val="false"/>
              <w:rPr>
                <w:lang w:val="ru-RU"/>
              </w:rPr>
            </w:pPr>
            <w:r>
              <w:rPr>
                <w:lang w:val="ru-RU"/>
              </w:rPr>
            </w:r>
          </w:p>
          <w:p>
            <w:pPr>
              <w:pStyle w:val="Normal"/>
              <w:widowControl w:val="false"/>
              <w:spacing w:lineRule="auto" w:line="240"/>
              <w:ind w:hanging="0"/>
              <w:jc w:val="left"/>
              <w:rPr>
                <w:sz w:val="24"/>
                <w:szCs w:val="24"/>
              </w:rPr>
            </w:pPr>
            <w:r>
              <w:rPr>
                <w:sz w:val="24"/>
                <w:szCs w:val="24"/>
              </w:rPr>
              <w:t>Юридический/Почтовый адрес: 660049, Красноярский край, г.о. город Красноярск,</w:t>
            </w:r>
          </w:p>
          <w:p>
            <w:pPr>
              <w:pStyle w:val="Normal"/>
              <w:widowControl w:val="false"/>
              <w:spacing w:lineRule="auto" w:line="240"/>
              <w:ind w:hanging="0"/>
              <w:jc w:val="left"/>
              <w:rPr>
                <w:sz w:val="24"/>
                <w:szCs w:val="24"/>
              </w:rPr>
            </w:pPr>
            <w:r>
              <w:rPr>
                <w:sz w:val="24"/>
                <w:szCs w:val="24"/>
              </w:rPr>
              <w:t>г. Красноярск, ул. Перенсона, зд.2, пом.1</w:t>
            </w:r>
          </w:p>
          <w:p>
            <w:pPr>
              <w:pStyle w:val="Normal"/>
              <w:widowControl w:val="false"/>
              <w:rPr>
                <w:lang w:val="ru-RU"/>
              </w:rPr>
            </w:pPr>
            <w:r>
              <w:rPr>
                <w:lang w:val="ru-RU"/>
              </w:rPr>
            </w:r>
          </w:p>
          <w:p>
            <w:pPr>
              <w:pStyle w:val="Normal"/>
              <w:widowControl w:val="false"/>
              <w:rPr>
                <w:lang w:val="ru-RU"/>
              </w:rPr>
            </w:pPr>
            <w:r>
              <w:rPr>
                <w:lang w:val="ru-RU"/>
              </w:rPr>
              <w:t>ОГРН 1042401810494,</w:t>
            </w:r>
          </w:p>
          <w:p>
            <w:pPr>
              <w:pStyle w:val="Normal"/>
              <w:widowControl w:val="false"/>
              <w:rPr>
                <w:lang w:val="ru-RU"/>
              </w:rPr>
            </w:pPr>
            <w:r>
              <w:rPr>
                <w:lang w:val="ru-RU"/>
              </w:rPr>
              <w:t>ИНН 2460066195 / КПП 997650001</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rFonts w:eastAsia="Times New Roman" w:cs="Times New Roman"/>
                <w:color w:val="auto"/>
                <w:kern w:val="0"/>
                <w:sz w:val="24"/>
                <w:szCs w:val="24"/>
                <w:lang w:val="ru-RU" w:eastAsia="ru-RU" w:bidi="ar-SA"/>
              </w:rPr>
              <w:t>Юридический</w:t>
            </w:r>
            <w:r>
              <w:rPr>
                <w:sz w:val="24"/>
                <w:szCs w:val="24"/>
                <w:lang w:val="ru-RU"/>
              </w:rPr>
              <w:t xml:space="preserve"> адрес</w:t>
            </w:r>
            <w:r>
              <w:rPr>
                <w:lang w:val="ru-RU"/>
              </w:rPr>
              <w:t>:</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jc w:val="right"/>
        <w:rPr>
          <w:lang w:val="ru-RU"/>
        </w:rPr>
      </w:pPr>
      <w:r>
        <w:rPr>
          <w:lang w:val="ru-RU"/>
        </w:rPr>
      </w:r>
      <w:r>
        <w:br w:type="page"/>
      </w:r>
    </w:p>
    <w:p>
      <w:pPr>
        <w:pStyle w:val="Normal"/>
        <w:ind w:firstLine="709"/>
        <w:jc w:val="right"/>
        <w:rPr>
          <w:sz w:val="22"/>
          <w:szCs w:val="22"/>
          <w:lang w:val="ru-RU"/>
        </w:rPr>
      </w:pPr>
      <w:r>
        <w:rPr>
          <w:sz w:val="22"/>
          <w:szCs w:val="22"/>
          <w:lang w:val="ru-RU"/>
        </w:rPr>
        <w:t xml:space="preserve">Приложение № 1 </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ind w:left="6379" w:hanging="0"/>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b/>
        </w:rPr>
      </w:pPr>
      <w:r>
        <w:rPr>
          <w:b/>
        </w:rPr>
      </w:r>
    </w:p>
    <w:p>
      <w:pPr>
        <w:pStyle w:val="Normal"/>
        <w:jc w:val="center"/>
        <w:rPr>
          <w:b/>
        </w:rPr>
      </w:pPr>
      <w:r>
        <w:rPr>
          <w:b/>
        </w:rPr>
      </w:r>
    </w:p>
    <w:p>
      <w:pPr>
        <w:pStyle w:val="Normal"/>
        <w:jc w:val="center"/>
        <w:rPr>
          <w:b/>
        </w:rPr>
      </w:pPr>
      <w:r>
        <w:rPr>
          <w:b/>
        </w:rPr>
      </w:r>
    </w:p>
    <w:p>
      <w:pPr>
        <w:pStyle w:val="Normal"/>
        <w:jc w:val="center"/>
        <w:rPr/>
      </w:pPr>
      <w:r>
        <w:rPr>
          <w:b/>
          <w:lang w:val="ru-RU"/>
        </w:rPr>
        <w:t>График оказания Услуг</w:t>
      </w:r>
    </w:p>
    <w:p>
      <w:pPr>
        <w:pStyle w:val="Normal"/>
        <w:rPr/>
      </w:pPr>
      <w:r>
        <w:rPr/>
      </w:r>
    </w:p>
    <w:tbl>
      <w:tblPr>
        <w:tblW w:w="9720"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694"/>
        <w:gridCol w:w="1511"/>
        <w:gridCol w:w="1842"/>
        <w:gridCol w:w="1495"/>
        <w:gridCol w:w="1262"/>
        <w:gridCol w:w="856"/>
        <w:gridCol w:w="853"/>
        <w:gridCol w:w="1205"/>
      </w:tblGrid>
      <w:tr>
        <w:trPr>
          <w:trHeight w:val="239" w:hRule="atLeast"/>
        </w:trPr>
        <w:tc>
          <w:tcPr>
            <w:tcW w:w="69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 xml:space="preserve">№ </w:t>
            </w:r>
            <w:r>
              <w:rPr>
                <w:sz w:val="20"/>
                <w:szCs w:val="20"/>
              </w:rPr>
              <w:t>этапа</w:t>
            </w:r>
          </w:p>
        </w:tc>
        <w:tc>
          <w:tcPr>
            <w:tcW w:w="151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 xml:space="preserve">Наименование этапа (состав </w:t>
            </w:r>
            <w:r>
              <w:rPr>
                <w:sz w:val="20"/>
                <w:szCs w:val="20"/>
                <w:lang w:val="ru-RU"/>
              </w:rPr>
              <w:t>Услуг</w:t>
            </w:r>
            <w:r>
              <w:rPr>
                <w:sz w:val="20"/>
                <w:szCs w:val="20"/>
              </w:rPr>
              <w:t>)</w:t>
            </w:r>
          </w:p>
        </w:tc>
        <w:tc>
          <w:tcPr>
            <w:tcW w:w="184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Отчетные документы</w:t>
            </w:r>
          </w:p>
          <w:p>
            <w:pPr>
              <w:pStyle w:val="Normal"/>
              <w:widowControl w:val="false"/>
              <w:jc w:val="center"/>
              <w:rPr>
                <w:sz w:val="20"/>
                <w:szCs w:val="20"/>
              </w:rPr>
            </w:pPr>
            <w:r>
              <w:rPr>
                <w:sz w:val="20"/>
                <w:szCs w:val="20"/>
              </w:rPr>
            </w:r>
          </w:p>
        </w:tc>
        <w:tc>
          <w:tcPr>
            <w:tcW w:w="275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Период выполнения этапа</w:t>
            </w:r>
          </w:p>
        </w:tc>
        <w:tc>
          <w:tcPr>
            <w:tcW w:w="85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Цена этапа, руб. без НДС</w:t>
            </w:r>
          </w:p>
        </w:tc>
        <w:tc>
          <w:tcPr>
            <w:tcW w:w="85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Сумма НДС</w:t>
            </w:r>
          </w:p>
          <w:p>
            <w:pPr>
              <w:pStyle w:val="Normal"/>
              <w:widowControl w:val="false"/>
              <w:jc w:val="center"/>
              <w:rPr>
                <w:sz w:val="20"/>
                <w:szCs w:val="20"/>
              </w:rPr>
            </w:pPr>
            <w:r>
              <w:rPr>
                <w:sz w:val="20"/>
                <w:szCs w:val="20"/>
              </w:rPr>
              <w:t>(__ %)</w:t>
            </w:r>
            <w:r>
              <w:rPr>
                <w:sz w:val="20"/>
                <w:szCs w:val="20"/>
                <w:lang w:val="ru-RU"/>
              </w:rPr>
              <w:t>,</w:t>
            </w:r>
            <w:r>
              <w:rPr>
                <w:sz w:val="20"/>
                <w:szCs w:val="20"/>
              </w:rPr>
              <w:t xml:space="preserve"> руб.*</w:t>
            </w:r>
          </w:p>
        </w:tc>
        <w:tc>
          <w:tcPr>
            <w:tcW w:w="12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Стоимость этапа, руб. с НДС*</w:t>
            </w:r>
          </w:p>
        </w:tc>
      </w:tr>
      <w:tr>
        <w:trPr>
          <w:trHeight w:val="972" w:hRule="atLeast"/>
        </w:trPr>
        <w:tc>
          <w:tcPr>
            <w:tcW w:w="69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51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84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4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Начало</w:t>
            </w:r>
          </w:p>
        </w:tc>
        <w:tc>
          <w:tcPr>
            <w:tcW w:w="12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Окончание</w:t>
            </w:r>
          </w:p>
        </w:tc>
        <w:tc>
          <w:tcPr>
            <w:tcW w:w="85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0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77" w:hRule="atLeast"/>
        </w:trPr>
        <w:tc>
          <w:tcPr>
            <w:tcW w:w="6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t>1.</w:t>
            </w:r>
          </w:p>
        </w:tc>
        <w:tc>
          <w:tcPr>
            <w:tcW w:w="15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6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lang w:val="ru-RU"/>
              </w:rPr>
              <w:t>2</w:t>
            </w:r>
            <w:r>
              <w:rPr/>
              <w:t>.</w:t>
            </w:r>
          </w:p>
        </w:tc>
        <w:tc>
          <w:tcPr>
            <w:tcW w:w="15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6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
          </w:p>
        </w:tc>
        <w:tc>
          <w:tcPr>
            <w:tcW w:w="7819"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2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r>
      <w:tr>
        <w:trPr>
          <w:trHeight w:val="290" w:hRule="atLeast"/>
        </w:trPr>
        <w:tc>
          <w:tcPr>
            <w:tcW w:w="8513"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rPr>
            </w:pPr>
            <w:r>
              <w:rPr>
                <w:b/>
              </w:rPr>
              <w:t>Всего по Договору:</w:t>
            </w:r>
          </w:p>
        </w:tc>
        <w:tc>
          <w:tcPr>
            <w:tcW w:w="12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rPr>
            </w:pPr>
            <w:r>
              <w:rPr>
                <w:b/>
              </w:rPr>
            </w:r>
          </w:p>
        </w:tc>
      </w:tr>
    </w:tbl>
    <w:p>
      <w:pPr>
        <w:pStyle w:val="Normal"/>
        <w:widowControl/>
        <w:bidi w:val="0"/>
        <w:spacing w:lineRule="auto" w:line="240" w:before="0" w:after="0"/>
        <w:ind w:left="0" w:right="0" w:hanging="0"/>
        <w:jc w:val="both"/>
        <w:rPr>
          <w:sz w:val="20"/>
          <w:szCs w:val="20"/>
        </w:rPr>
      </w:pPr>
      <w:r>
        <w:rPr>
          <w:i/>
          <w:iCs/>
          <w:sz w:val="20"/>
          <w:szCs w:val="20"/>
          <w:shd w:fill="auto" w:val="clear"/>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rPr/>
      </w:pPr>
      <w:r>
        <w:rPr/>
      </w:r>
    </w:p>
    <w:p>
      <w:pPr>
        <w:pStyle w:val="Normal"/>
        <w:rPr/>
      </w:pPr>
      <w:r>
        <w:rPr/>
      </w:r>
    </w:p>
    <w:tbl>
      <w:tblPr>
        <w:tblW w:w="957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81" w:charSpace="0"/>
        </w:sectPr>
      </w:pP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eastAsia="en-US"/>
        </w:rPr>
      </w:pPr>
      <w:r>
        <w:rPr>
          <w:b/>
          <w:lang w:val="ru-RU"/>
        </w:rPr>
        <w:t xml:space="preserve">Сводный расчет </w:t>
      </w:r>
      <w:r>
        <w:rPr>
          <w:b/>
          <w:highlight w:val="lightGray"/>
          <w:lang w:val="ru-RU"/>
        </w:rPr>
        <w:t>стоимости Услуг</w:t>
      </w:r>
      <w:r>
        <w:rPr>
          <w:b/>
          <w:highlight w:val="lightGray"/>
          <w:lang w:val="ru-RU" w:eastAsia="en-US"/>
        </w:rPr>
        <w:t xml:space="preserve"> / </w:t>
      </w:r>
      <w:r>
        <w:rPr>
          <w:b/>
          <w:highlight w:val="lightGray"/>
          <w:lang w:val="ru-RU"/>
        </w:rPr>
        <w:t>Расчет стоимости Услуг</w:t>
      </w: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highlight w:val="lightGray"/>
          <w:lang w:val="ru-RU"/>
        </w:rPr>
      </w:pPr>
      <w:r>
        <w:br w:type="page"/>
      </w:r>
      <w:r>
        <w:rPr>
          <w:sz w:val="22"/>
          <w:szCs w:val="22"/>
          <w:highlight w:val="lightGray"/>
          <w:lang w:val="ru-RU"/>
        </w:rPr>
        <w:t>Приложение № 4</w:t>
      </w:r>
    </w:p>
    <w:p>
      <w:pPr>
        <w:pStyle w:val="Normal"/>
        <w:jc w:val="right"/>
        <w:rPr>
          <w:sz w:val="22"/>
          <w:szCs w:val="22"/>
          <w:highlight w:val="lightGray"/>
          <w:lang w:val="ru-RU"/>
        </w:rPr>
      </w:pPr>
      <w:r>
        <w:rPr>
          <w:sz w:val="22"/>
          <w:szCs w:val="22"/>
          <w:highlight w:val="lightGray"/>
          <w:lang w:val="ru-RU"/>
        </w:rPr>
        <w:t xml:space="preserve">            </w:t>
      </w:r>
      <w:r>
        <w:rPr>
          <w:sz w:val="22"/>
          <w:szCs w:val="22"/>
          <w:highlight w:val="lightGray"/>
          <w:lang w:val="ru-RU"/>
        </w:rPr>
        <w:t>к Договору возмездного оказания услуг</w:t>
      </w:r>
    </w:p>
    <w:p>
      <w:pPr>
        <w:pStyle w:val="Normal"/>
        <w:jc w:val="right"/>
        <w:rPr>
          <w:sz w:val="22"/>
          <w:szCs w:val="22"/>
          <w:lang w:val="ru-RU"/>
        </w:rPr>
      </w:pPr>
      <w:r>
        <w:rPr>
          <w:sz w:val="22"/>
          <w:szCs w:val="22"/>
          <w:highlight w:val="lightGray"/>
          <w:lang w:val="ru-RU"/>
        </w:rPr>
        <w:t xml:space="preserve">              </w:t>
      </w:r>
      <w:r>
        <w:rPr>
          <w:sz w:val="22"/>
          <w:szCs w:val="22"/>
          <w:highlight w:val="lightGray"/>
          <w:lang w:val="ru-RU"/>
        </w:rPr>
        <w:t>от «____» ________ 20 _ г. №_______</w:t>
      </w:r>
    </w:p>
    <w:p>
      <w:pPr>
        <w:pStyle w:val="Normal"/>
        <w:rPr>
          <w:highlight w:val="lightGray"/>
          <w:lang w:val="ru-RU"/>
        </w:rPr>
      </w:pPr>
      <w:r>
        <w:rPr>
          <w:highlight w:val="lightGray"/>
          <w:lang w:val="ru-RU"/>
        </w:rPr>
      </w:r>
    </w:p>
    <w:p>
      <w:pPr>
        <w:pStyle w:val="Title"/>
        <w:jc w:val="both"/>
        <w:rPr>
          <w:highlight w:val="lightGray"/>
          <w:lang w:val="ru-RU"/>
        </w:rPr>
      </w:pPr>
      <w:r>
        <w:rPr>
          <w:highlight w:val="lightGray"/>
          <w:lang w:val="ru-RU"/>
        </w:rPr>
      </w:r>
    </w:p>
    <w:p>
      <w:pPr>
        <w:pStyle w:val="Title"/>
        <w:rPr>
          <w:b w:val="false"/>
          <w:bCs w:val="false"/>
          <w:highlight w:val="lightGray"/>
        </w:rPr>
      </w:pPr>
      <w:r>
        <w:rPr>
          <w:iCs/>
          <w:highlight w:val="lightGray"/>
        </w:rPr>
        <w:t>ФОРМА</w:t>
      </w:r>
    </w:p>
    <w:p>
      <w:pPr>
        <w:pStyle w:val="Title"/>
        <w:rPr>
          <w:i/>
          <w:i/>
          <w:iCs/>
          <w:highlight w:val="lightGray"/>
        </w:rPr>
      </w:pPr>
      <w:r>
        <w:rPr>
          <w:bCs w:val="false"/>
          <w:highlight w:val="lightGray"/>
        </w:rPr>
        <w:t xml:space="preserve">Акта сдачи-приемки технической и иной документации </w:t>
      </w:r>
    </w:p>
    <w:p>
      <w:pPr>
        <w:pStyle w:val="Normal"/>
        <w:rPr>
          <w:highlight w:val="lightGray"/>
          <w:lang w:val="ru-RU"/>
        </w:rPr>
      </w:pPr>
      <w:r>
        <w:rPr>
          <w:highlight w:val="lightGray"/>
          <w:lang w:val="ru-RU"/>
        </w:rPr>
      </w:r>
    </w:p>
    <w:tbl>
      <w:tblPr>
        <w:tblW w:w="9606"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rPr>
                <w:b w:val="false"/>
                <w:bCs w:val="false"/>
                <w:highlight w:val="lightGray"/>
                <w:lang w:val="ru-RU" w:eastAsia="ru-RU"/>
              </w:rPr>
            </w:pPr>
            <w:r>
              <w:rPr>
                <w:b w:val="false"/>
                <w:bCs w:val="false"/>
                <w:highlight w:val="lightGray"/>
                <w:lang w:val="ru-RU" w:eastAsia="ru-RU"/>
              </w:rPr>
              <w:t>Акт</w:t>
            </w:r>
          </w:p>
          <w:p>
            <w:pPr>
              <w:pStyle w:val="Title"/>
              <w:widowControl w:val="false"/>
              <w:rPr>
                <w:i/>
                <w:i/>
                <w:iCs/>
                <w:highlight w:val="lightGray"/>
                <w:lang w:val="ru-RU" w:eastAsia="ru-RU"/>
              </w:rPr>
            </w:pPr>
            <w:r>
              <w:rPr>
                <w:b w:val="false"/>
                <w:bCs w:val="false"/>
                <w:highlight w:val="lightGray"/>
                <w:lang w:val="ru-RU" w:eastAsia="ru-RU"/>
              </w:rPr>
              <w:t>сдачи-приемки технической и иной документации</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г.___________                                                                                  «_____» _________20_г.</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highlight w:val="lightGray"/>
                <w:lang w:val="ru-RU"/>
              </w:rPr>
            </w:pPr>
            <w:r>
              <w:rPr>
                <w:highlight w:val="lightGray"/>
                <w:lang w:val="ru-RU"/>
              </w:rPr>
              <w:t>Заказчик передал Исполнителю, а Исполнитель принял</w:t>
            </w:r>
            <w:r>
              <w:rPr>
                <w:bCs/>
                <w:highlight w:val="lightGray"/>
                <w:lang w:val="ru-RU"/>
              </w:rPr>
              <w:t xml:space="preserve"> следующую </w:t>
            </w:r>
            <w:r>
              <w:rPr>
                <w:highlight w:val="lightGray"/>
                <w:lang w:val="ru-RU"/>
              </w:rPr>
              <w:t>техническую и иную документацию для оказания Услуг по Договору</w:t>
            </w:r>
            <w:r>
              <w:rPr>
                <w:bCs/>
                <w:highlight w:val="lightGray"/>
                <w:lang w:val="ru-RU"/>
              </w:rPr>
              <w:t xml:space="preserve"> №______ от 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 xml:space="preserve">Документация передана </w:t>
            </w:r>
            <w:r>
              <w:rPr>
                <w:highlight w:val="lightGray"/>
                <w:lang w:val="ru-RU"/>
              </w:rPr>
              <w:t>Исполнителю</w:t>
            </w:r>
            <w:r>
              <w:rPr>
                <w:bCs/>
                <w:highlight w:val="lightGray"/>
                <w:lang w:val="ru-RU"/>
              </w:rPr>
              <w:t xml:space="preserve"> в установленный Договором срок.</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r>
          </w:p>
          <w:tbl>
            <w:tblPr>
              <w:tblW w:w="93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95"/>
              <w:gridCol w:w="4694"/>
            </w:tblGrid>
            <w:tr>
              <w:trPr/>
              <w:tc>
                <w:tcPr>
                  <w:tcW w:w="4695" w:type="dxa"/>
                  <w:tcBorders/>
                </w:tcPr>
                <w:p>
                  <w:pPr>
                    <w:pStyle w:val="Normal"/>
                    <w:widowControl w:val="false"/>
                    <w:rPr>
                      <w:bCs/>
                      <w:highlight w:val="lightGray"/>
                    </w:rPr>
                  </w:pPr>
                  <w:r>
                    <w:rPr>
                      <w:bCs/>
                      <w:highlight w:val="lightGray"/>
                    </w:rPr>
                    <w:t>Заказчик:</w:t>
                  </w:r>
                </w:p>
              </w:tc>
              <w:tc>
                <w:tcPr>
                  <w:tcW w:w="4694" w:type="dxa"/>
                  <w:tcBorders/>
                </w:tcPr>
                <w:p>
                  <w:pPr>
                    <w:pStyle w:val="Normal"/>
                    <w:widowControl w:val="false"/>
                    <w:rPr>
                      <w:bCs/>
                      <w:highlight w:val="lightGray"/>
                    </w:rPr>
                  </w:pPr>
                  <w:r>
                    <w:rPr>
                      <w:bCs/>
                      <w:highlight w:val="lightGray"/>
                      <w:lang w:val="ru-RU"/>
                    </w:rPr>
                    <w:t>Исполнитель</w:t>
                  </w:r>
                  <w:r>
                    <w:rPr>
                      <w:bCs/>
                      <w:highlight w:val="lightGray"/>
                    </w:rPr>
                    <w:t>:</w:t>
                  </w:r>
                </w:p>
              </w:tc>
            </w:tr>
            <w:tr>
              <w:trPr/>
              <w:tc>
                <w:tcPr>
                  <w:tcW w:w="4695"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_______________ / _______________</w:t>
                  </w:r>
                </w:p>
                <w:p>
                  <w:pPr>
                    <w:pStyle w:val="Normal"/>
                    <w:widowControl w:val="false"/>
                    <w:rPr>
                      <w:highlight w:val="lightGray"/>
                    </w:rPr>
                  </w:pPr>
                  <w:r>
                    <w:rPr>
                      <w:highlight w:val="lightGray"/>
                    </w:rPr>
                  </w:r>
                </w:p>
              </w:tc>
              <w:tc>
                <w:tcPr>
                  <w:tcW w:w="4694"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_______________ / _______________</w:t>
                  </w:r>
                </w:p>
                <w:p>
                  <w:pPr>
                    <w:pStyle w:val="Normal"/>
                    <w:widowControl w:val="false"/>
                    <w:rPr>
                      <w:highlight w:val="lightGray"/>
                    </w:rPr>
                  </w:pPr>
                  <w:r>
                    <w:rPr>
                      <w:highlight w:val="lightGray"/>
                    </w:rPr>
                  </w:r>
                </w:p>
              </w:tc>
            </w:tr>
          </w:tbl>
          <w:p>
            <w:pPr>
              <w:pStyle w:val="Title"/>
              <w:widowControl w:val="false"/>
              <w:jc w:val="left"/>
              <w:rPr>
                <w:i/>
                <w:i/>
                <w:iCs/>
                <w:highlight w:val="lightGray"/>
                <w:lang w:val="ru-RU" w:eastAsia="ru-RU"/>
              </w:rPr>
            </w:pPr>
            <w:r>
              <w:rPr>
                <w:i/>
                <w:iCs/>
                <w:highlight w:val="lightGray"/>
                <w:lang w:val="ru-RU" w:eastAsia="ru-RU"/>
              </w:rPr>
            </w:r>
          </w:p>
          <w:p>
            <w:pPr>
              <w:pStyle w:val="Title"/>
              <w:widowControl w:val="false"/>
              <w:spacing w:before="0" w:after="120"/>
              <w:jc w:val="left"/>
              <w:rPr>
                <w:i/>
                <w:i/>
                <w:iCs/>
                <w:highlight w:val="lightGray"/>
                <w:lang w:val="ru-RU" w:eastAsia="ru-RU"/>
              </w:rPr>
            </w:pPr>
            <w:r>
              <w:rPr>
                <w:i/>
                <w:iCs/>
                <w:highlight w:val="lightGray"/>
                <w:lang w:val="ru-RU" w:eastAsia="ru-RU"/>
              </w:rPr>
            </w:r>
          </w:p>
        </w:tc>
      </w:tr>
    </w:tbl>
    <w:p>
      <w:pPr>
        <w:pStyle w:val="Title"/>
        <w:jc w:val="left"/>
        <w:rPr>
          <w:i/>
          <w:i/>
          <w:iCs/>
          <w:highlight w:val="lightGray"/>
        </w:rPr>
      </w:pPr>
      <w:r>
        <w:rPr>
          <w:i/>
          <w:iCs/>
          <w:highlight w:val="lightGray"/>
        </w:rPr>
      </w:r>
    </w:p>
    <w:p>
      <w:pPr>
        <w:pStyle w:val="Title"/>
        <w:jc w:val="left"/>
        <w:rPr>
          <w:i/>
          <w:i/>
          <w:iCs/>
          <w:highlight w:val="lightGray"/>
        </w:rPr>
      </w:pPr>
      <w:r>
        <w:rPr>
          <w:i/>
          <w:iCs/>
          <w:highlight w:val="lightGray"/>
        </w:rPr>
      </w:r>
    </w:p>
    <w:p>
      <w:pPr>
        <w:pStyle w:val="Normal"/>
        <w:rPr>
          <w:highlight w:val="lightGray"/>
        </w:rPr>
      </w:pPr>
      <w:r>
        <w:rPr>
          <w:highlight w:val="lightGray"/>
        </w:rPr>
      </w:r>
    </w:p>
    <w:p>
      <w:pPr>
        <w:pStyle w:val="Normal"/>
        <w:rPr>
          <w:highlight w:val="lightGray"/>
        </w:rPr>
      </w:pPr>
      <w:r>
        <w:rPr>
          <w:highlight w:val="lightGray"/>
        </w:rPr>
      </w:r>
    </w:p>
    <w:p>
      <w:pPr>
        <w:pStyle w:val="Normal"/>
        <w:rPr>
          <w:highlight w:val="lightGray"/>
        </w:rPr>
      </w:pPr>
      <w:r>
        <w:rPr>
          <w:highlight w:val="lightGray"/>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highlight w:val="lightGray"/>
              </w:rPr>
            </w:pPr>
            <w:r>
              <w:rPr>
                <w:b/>
                <w:highlight w:val="lightGray"/>
              </w:rPr>
              <w:t>Заказчик:</w:t>
            </w:r>
          </w:p>
        </w:tc>
        <w:tc>
          <w:tcPr>
            <w:tcW w:w="4785" w:type="dxa"/>
            <w:tcBorders/>
          </w:tcPr>
          <w:p>
            <w:pPr>
              <w:pStyle w:val="Normal"/>
              <w:widowControl w:val="false"/>
              <w:rPr>
                <w:b/>
                <w:highlight w:val="lightGray"/>
              </w:rPr>
            </w:pPr>
            <w:r>
              <w:rPr>
                <w:b/>
                <w:highlight w:val="lightGray"/>
                <w:lang w:val="ru-RU"/>
              </w:rPr>
              <w:t>Исполнитель</w:t>
            </w:r>
            <w:r>
              <w:rPr>
                <w:b/>
                <w:highlight w:val="lightGray"/>
              </w:rPr>
              <w:t>:</w:t>
            </w:r>
          </w:p>
        </w:tc>
      </w:tr>
      <w:tr>
        <w:trPr/>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_______________ / _______________</w:t>
            </w:r>
          </w:p>
          <w:p>
            <w:pPr>
              <w:pStyle w:val="Normal"/>
              <w:widowControl w:val="false"/>
              <w:rPr>
                <w:highlight w:val="lightGray"/>
              </w:rPr>
            </w:pPr>
            <w:r>
              <w:rPr>
                <w:highlight w:val="lightGray"/>
              </w:rPr>
            </w:r>
          </w:p>
        </w:tc>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lang w:val="ru-RU"/>
              </w:rPr>
            </w:pPr>
            <w:r>
              <w:rPr>
                <w:highlight w:val="lightGray"/>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lang w:val="ru-RU"/>
        </w:rPr>
        <w:t xml:space="preserve"> </w:t>
      </w:r>
      <w:r>
        <w:rPr>
          <w:sz w:val="22"/>
          <w:szCs w:val="22"/>
          <w:lang w:val="ru-RU"/>
        </w:rPr>
        <w:t>Приложение № 5</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 xml:space="preserve">об оказании </w:t>
      </w:r>
      <w:r>
        <w:rPr>
          <w:iCs/>
        </w:rPr>
        <w:t>Услуг</w:t>
      </w:r>
      <w:r>
        <w:rPr>
          <w:rStyle w:val="FootnoteReference"/>
          <w:b/>
          <w:bCs/>
          <w:iCs/>
          <w:sz w:val="24"/>
          <w:szCs w:val="24"/>
        </w:rPr>
        <w:footnoteReference w:id="22"/>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lang w:val="ru-RU"/>
              </w:rPr>
            </w:pPr>
            <w:r>
              <w:rPr>
                <w:iCs/>
                <w:lang w:val="ru-RU" w:eastAsia="ru-RU"/>
              </w:rPr>
              <w:t xml:space="preserve">АКТ </w:t>
            </w:r>
            <w:r>
              <w:rPr>
                <w:lang w:val="ru-RU"/>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highlight w:val="lightGray"/>
                <w:lang w:val="ru-RU"/>
              </w:rPr>
              <w:t xml:space="preserve"> ______________</w:t>
            </w:r>
            <w:r>
              <w:rPr>
                <w:highlight w:val="lightGray"/>
                <w:lang w:val="ru-RU"/>
              </w:rPr>
              <w:t>Этапу Услуг.</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lang w:val="ru-RU"/>
              </w:rPr>
              <w:tab/>
            </w:r>
            <w:r>
              <w:rPr>
                <w:highlight w:val="lightGray"/>
                <w:lang w:val="ru-RU"/>
              </w:rPr>
              <w:t>Отчет об оказанных Услугах,</w:t>
            </w:r>
            <w:r>
              <w:rPr>
                <w:highlight w:val="lightGray"/>
                <w:u w:val="single"/>
                <w:lang w:val="ru-RU"/>
              </w:rPr>
              <w:t xml:space="preserve"> </w:t>
            </w:r>
            <w:r>
              <w:rPr>
                <w:highlight w:val="lightGray"/>
                <w:lang w:val="ru-RU"/>
              </w:rPr>
              <w:t>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tabs>
                <w:tab w:val="left" w:pos="709" w:leader="none"/>
                <w:tab w:val="left" w:pos="4111" w:leader="none"/>
              </w:tabs>
              <w:jc w:val="both"/>
              <w:rPr>
                <w:b/>
                <w:bCs/>
                <w:lang w:val="ru-RU"/>
              </w:rPr>
            </w:pPr>
            <w:r>
              <w:rPr>
                <w:b/>
                <w:bCs/>
                <w:lang w:val="ru-RU"/>
              </w:rPr>
              <w:t>______________________________________________________________.</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spacing w:lineRule="auto" w:line="240"/>
              <w:ind w:left="0" w:right="0" w:hanging="0"/>
              <w:jc w:val="both"/>
              <w:rPr>
                <w:i/>
                <w:i/>
                <w:iCs/>
                <w:sz w:val="16"/>
                <w:szCs w:val="20"/>
              </w:rPr>
            </w:pPr>
            <w:r>
              <w:rPr>
                <w:i w:val="false"/>
                <w:iCs w:val="false"/>
                <w:sz w:val="16"/>
                <w:szCs w:val="20"/>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6</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4067"/>
        <w:gridCol w:w="5503"/>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r>
              <w:rPr>
                <w:color w:val="000000"/>
                <w:sz w:val="24"/>
                <w:shd w:fill="C0C0C0" w:val="clear"/>
                <w:lang w:val="ru-RU"/>
              </w:rPr>
              <w:t xml:space="preserve">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 а также </w:t>
            </w:r>
            <w:r>
              <w:rPr>
                <w:rFonts w:eastAsia="Times New Roman" w:cs="Times New Roman"/>
                <w:color w:val="000000"/>
                <w:kern w:val="0"/>
                <w:sz w:val="24"/>
                <w:szCs w:val="28"/>
                <w:shd w:fill="C0C0C0" w:val="clear"/>
                <w:lang w:val="ru-RU" w:eastAsia="ru-RU" w:bidi="ar-SA"/>
              </w:rPr>
              <w:t>требований</w:t>
            </w:r>
            <w:r>
              <w:rPr>
                <w:color w:val="000000"/>
                <w:sz w:val="24"/>
                <w:shd w:fill="C0C0C0" w:val="clear"/>
                <w:lang w:val="ru-RU"/>
              </w:rPr>
              <w:t>, установленных локальными нормативными актами (документами) Заказчика в области обращения с Отходами на территории Заказчика.</w:t>
            </w:r>
            <w:r>
              <w:rPr>
                <w:rStyle w:val="FootnoteReference"/>
                <w:color w:val="000000"/>
                <w:sz w:val="24"/>
                <w:shd w:fill="C0C0C0" w:val="clear"/>
                <w:lang w:val="ru-RU"/>
              </w:rPr>
              <w:footnoteReference w:id="23"/>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- 500 (пятьсот) рублей в случае утраты или приведения в негодность электронного пропуска, выданного Заказчиком;</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1375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176"/>
        <w:gridCol w:w="4608"/>
        <w:gridCol w:w="4182"/>
      </w:tblGrid>
      <w:tr>
        <w:trPr/>
        <w:tc>
          <w:tcPr>
            <w:tcW w:w="4961" w:type="dxa"/>
            <w:gridSpan w:val="2"/>
            <w:tcBorders/>
          </w:tcPr>
          <w:p>
            <w:pPr>
              <w:pStyle w:val="Normal"/>
              <w:widowControl w:val="false"/>
              <w:rPr>
                <w:b/>
                <w:lang w:val="ru-RU"/>
              </w:rPr>
            </w:pPr>
            <w:r>
              <w:rPr>
                <w:b/>
                <w:lang w:val="ru-RU"/>
              </w:rPr>
            </w:r>
          </w:p>
        </w:tc>
        <w:tc>
          <w:tcPr>
            <w:tcW w:w="8790" w:type="dxa"/>
            <w:gridSpan w:val="2"/>
            <w:tcBorders/>
          </w:tcPr>
          <w:p>
            <w:pPr>
              <w:pStyle w:val="Normal"/>
              <w:widowControl w:val="false"/>
              <w:rPr>
                <w:b/>
                <w:lang w:val="ru-RU"/>
              </w:rPr>
            </w:pPr>
            <w:r>
              <w:rPr>
                <w:b/>
                <w:lang w:val="ru-RU"/>
              </w:rPr>
            </w:r>
          </w:p>
        </w:tc>
      </w:tr>
      <w:tr>
        <w:trPr/>
        <w:tc>
          <w:tcPr>
            <w:tcW w:w="4785" w:type="dxa"/>
            <w:tcBorders/>
          </w:tcPr>
          <w:p>
            <w:pPr>
              <w:pStyle w:val="Normal"/>
              <w:widowControl w:val="false"/>
              <w:rPr>
                <w:b/>
              </w:rPr>
            </w:pPr>
            <w:r>
              <w:rPr>
                <w:b/>
              </w:rPr>
              <w:t>Заказчик:</w:t>
            </w:r>
          </w:p>
        </w:tc>
        <w:tc>
          <w:tcPr>
            <w:tcW w:w="4784" w:type="dxa"/>
            <w:gridSpan w:val="2"/>
            <w:tcBorders/>
          </w:tcPr>
          <w:p>
            <w:pPr>
              <w:pStyle w:val="Normal"/>
              <w:widowControl w:val="false"/>
              <w:rPr>
                <w:b/>
              </w:rPr>
            </w:pPr>
            <w:r>
              <w:rPr>
                <w:b/>
                <w:lang w:val="ru-RU"/>
              </w:rPr>
              <w:t>Исполнитель</w:t>
            </w:r>
            <w:r>
              <w:rPr>
                <w:b/>
              </w:rPr>
              <w:t>:</w:t>
            </w:r>
          </w:p>
        </w:tc>
        <w:tc>
          <w:tcPr>
            <w:tcW w:w="4182" w:type="dxa"/>
            <w:tcBorders/>
          </w:tcPr>
          <w:p>
            <w:pPr>
              <w:pStyle w:val="Normal"/>
              <w:widowControl w:val="false"/>
              <w:rPr/>
            </w:pPr>
            <w:r>
              <w:rPr/>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_______________ / _______________</w:t>
            </w:r>
          </w:p>
          <w:p>
            <w:pPr>
              <w:pStyle w:val="Normal"/>
              <w:widowControl w:val="false"/>
              <w:rPr>
                <w:sz w:val="22"/>
                <w:szCs w:val="22"/>
              </w:rPr>
            </w:pPr>
            <w:r>
              <w:rPr>
                <w:sz w:val="22"/>
                <w:szCs w:val="22"/>
              </w:rPr>
            </w:r>
          </w:p>
        </w:tc>
        <w:tc>
          <w:tcPr>
            <w:tcW w:w="4784" w:type="dxa"/>
            <w:gridSpan w:val="2"/>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_______________ / _______________</w:t>
            </w:r>
          </w:p>
          <w:p>
            <w:pPr>
              <w:pStyle w:val="Normal"/>
              <w:widowControl w:val="false"/>
              <w:rPr>
                <w:sz w:val="22"/>
                <w:szCs w:val="22"/>
              </w:rPr>
            </w:pPr>
            <w:r>
              <w:rPr>
                <w:sz w:val="22"/>
                <w:szCs w:val="22"/>
              </w:rPr>
            </w:r>
          </w:p>
        </w:tc>
        <w:tc>
          <w:tcPr>
            <w:tcW w:w="4182" w:type="dxa"/>
            <w:tcBorders/>
          </w:tcPr>
          <w:p>
            <w:pPr>
              <w:pStyle w:val="Normal"/>
              <w:widowControl w:val="false"/>
              <w:rPr/>
            </w:pPr>
            <w:r>
              <w:rPr/>
            </w:r>
          </w:p>
        </w:tc>
      </w:tr>
    </w:tbl>
    <w:p>
      <w:pPr>
        <w:pStyle w:val="Normal"/>
        <w:ind w:left="6379" w:hanging="0"/>
        <w:rPr>
          <w:lang w:val="ru-RU"/>
        </w:rPr>
      </w:pPr>
      <w:r>
        <w:rPr>
          <w:lang w:val="ru-RU"/>
        </w:rPr>
      </w:r>
    </w:p>
    <w:p>
      <w:pPr>
        <w:pStyle w:val="Normal"/>
        <w:ind w:left="6379" w:hanging="0"/>
        <w:rPr>
          <w:lang w:val="ru-RU"/>
        </w:rPr>
      </w:pPr>
      <w:r>
        <w:rPr>
          <w:lang w:val="ru-RU"/>
        </w:rPr>
      </w:r>
    </w:p>
    <w:p>
      <w:pPr>
        <w:pStyle w:val="Normal"/>
        <w:ind w:left="6379" w:hanging="0"/>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lang w:val="ru-RU"/>
        </w:rPr>
      </w:pPr>
      <w:r>
        <w:rPr>
          <w:lang w:val="ru-RU"/>
        </w:rPr>
      </w:r>
    </w:p>
    <w:p>
      <w:pPr>
        <w:pStyle w:val="Normal"/>
        <w:ind w:firstLine="709"/>
        <w:jc w:val="right"/>
        <w:rPr>
          <w:sz w:val="22"/>
          <w:szCs w:val="22"/>
          <w:lang w:val="ru-RU"/>
        </w:rPr>
      </w:pPr>
      <w:r>
        <w:rPr>
          <w:sz w:val="22"/>
          <w:szCs w:val="22"/>
          <w:lang w:val="ru-RU"/>
        </w:rPr>
        <w:t>Приложение № 7</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w:t>
      </w:r>
    </w:p>
    <w:p>
      <w:pPr>
        <w:pStyle w:val="Normal"/>
        <w:rPr>
          <w:lang w:val="ru-RU"/>
        </w:rPr>
      </w:pPr>
      <w:r>
        <w:rPr>
          <w:lang w:val="ru-RU"/>
        </w:rPr>
      </w:r>
    </w:p>
    <w:p>
      <w:pPr>
        <w:pStyle w:val="Normal"/>
        <w:jc w:val="center"/>
        <w:rPr>
          <w:b/>
          <w:lang w:val="ru-RU"/>
        </w:rPr>
      </w:pPr>
      <w:r>
        <w:rPr>
          <w:b/>
          <w:lang w:val="ru-RU"/>
        </w:rPr>
        <w:t>Критерии отбора Банков-Гарантов</w:t>
      </w:r>
    </w:p>
    <w:p>
      <w:pPr>
        <w:pStyle w:val="Normal"/>
        <w:jc w:val="center"/>
        <w:rPr>
          <w:b/>
          <w:lang w:val="ru-RU"/>
        </w:rPr>
      </w:pPr>
      <w:r>
        <w:rPr>
          <w:b/>
          <w:lang w:val="ru-RU"/>
        </w:rPr>
      </w:r>
    </w:p>
    <w:p>
      <w:pPr>
        <w:pStyle w:val="Normal"/>
        <w:tabs>
          <w:tab w:val="clear" w:pos="709"/>
          <w:tab w:val="left" w:pos="1134" w:leader="none"/>
        </w:tabs>
        <w:ind w:firstLine="709"/>
        <w:jc w:val="both"/>
        <w:rPr>
          <w:lang w:val="ru-RU"/>
        </w:rPr>
      </w:pPr>
      <w:r>
        <w:rPr>
          <w:lang w:val="ru-RU"/>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24"/>
      </w:r>
      <w:r>
        <w:rPr>
          <w:lang w:val="ru-RU"/>
        </w:rPr>
        <w:t>, а также соответствовать следующим критериям:</w:t>
      </w:r>
    </w:p>
    <w:p>
      <w:pPr>
        <w:pStyle w:val="Normal"/>
        <w:numPr>
          <w:ilvl w:val="1"/>
          <w:numId w:val="27"/>
        </w:numPr>
        <w:tabs>
          <w:tab w:val="clear" w:pos="709"/>
          <w:tab w:val="left" w:pos="1134" w:leader="none"/>
        </w:tabs>
        <w:ind w:left="0" w:firstLine="710"/>
        <w:jc w:val="both"/>
        <w:rPr>
          <w:lang w:val="ru-RU"/>
        </w:rPr>
      </w:pPr>
      <w:r>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27"/>
        </w:numPr>
        <w:tabs>
          <w:tab w:val="clear" w:pos="709"/>
          <w:tab w:val="left" w:pos="1134" w:leader="none"/>
        </w:tabs>
        <w:ind w:left="0" w:firstLine="710"/>
        <w:jc w:val="both"/>
        <w:rPr>
          <w:lang w:val="ru-RU"/>
        </w:rPr>
      </w:pPr>
      <w:r>
        <w:rPr>
          <w:lang w:val="ru-RU"/>
        </w:rPr>
        <w:t>Присутствовать в Перечне кредитных организаций, соответствующих требованиям, установленным ч. 1 ст. 2 Федерального закона от 21.07.2014 №</w:t>
      </w:r>
      <w:r>
        <w:rPr/>
        <w:t> </w:t>
      </w:r>
      <w:r>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27"/>
        </w:numPr>
        <w:tabs>
          <w:tab w:val="clear" w:pos="709"/>
          <w:tab w:val="left" w:pos="1134" w:leader="none"/>
        </w:tabs>
        <w:ind w:left="0" w:firstLine="710"/>
        <w:jc w:val="both"/>
        <w:rPr>
          <w:lang w:val="ru-RU"/>
        </w:rPr>
      </w:pPr>
      <w:r>
        <w:rPr>
          <w:sz w:val="24"/>
          <w:szCs w:val="24"/>
          <w:lang w:val="ru-RU"/>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w:t>
      </w:r>
      <w:r>
        <w:rPr>
          <w:rFonts w:eastAsia="Times New Roman" w:cs="Times New Roman"/>
          <w:color w:val="auto"/>
          <w:kern w:val="0"/>
          <w:sz w:val="24"/>
          <w:szCs w:val="24"/>
          <w:lang w:val="ru-RU" w:eastAsia="ru-RU" w:bidi="ar-SA"/>
        </w:rPr>
        <w:t xml:space="preserve">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w:t>
      </w:r>
      <w:r>
        <w:rPr>
          <w:sz w:val="24"/>
          <w:szCs w:val="24"/>
          <w:lang w:val="ru-RU"/>
        </w:rPr>
        <w:t>, опубликованной в информационно-телекоммуникационной сети «Интернет» (</w:t>
      </w:r>
      <w:hyperlink r:id="rId8">
        <w:r>
          <w:rPr>
            <w:rStyle w:val="Hyperlink"/>
            <w:rFonts w:eastAsia="Times New Roman" w:cs="Times New Roman"/>
            <w:color w:val="auto"/>
            <w:sz w:val="24"/>
            <w:szCs w:val="24"/>
            <w:lang w:val="ru-RU" w:eastAsia="ru-RU" w:bidi="ar-SA"/>
          </w:rPr>
          <w:t>www.cbr.ru</w:t>
        </w:r>
      </w:hyperlink>
      <w:r>
        <w:rPr>
          <w:sz w:val="24"/>
          <w:szCs w:val="24"/>
          <w:lang w:val="ru-RU"/>
        </w:rPr>
        <w:t xml:space="preserve">) на официальных сайтах ЦБ РФ и/ или кредитной организации либо представленной кредитной </w:t>
      </w:r>
      <w:r>
        <w:rPr>
          <w:rFonts w:eastAsia="Times New Roman" w:cs="Times New Roman"/>
          <w:color w:val="auto"/>
          <w:kern w:val="0"/>
          <w:sz w:val="24"/>
          <w:szCs w:val="24"/>
          <w:lang w:val="ru-RU" w:eastAsia="ru-RU" w:bidi="ar-SA"/>
        </w:rPr>
        <w:t>организации</w:t>
      </w:r>
      <w:r>
        <w:rPr>
          <w:sz w:val="24"/>
          <w:szCs w:val="24"/>
          <w:lang w:val="ru-RU"/>
        </w:rPr>
        <w:t xml:space="preserve"> Заказчику. </w:t>
      </w:r>
    </w:p>
    <w:p>
      <w:pPr>
        <w:pStyle w:val="Normal"/>
        <w:numPr>
          <w:ilvl w:val="1"/>
          <w:numId w:val="27"/>
        </w:numPr>
        <w:tabs>
          <w:tab w:val="clear" w:pos="709"/>
          <w:tab w:val="left" w:pos="1134" w:leader="none"/>
        </w:tabs>
        <w:ind w:left="0" w:firstLine="710"/>
        <w:jc w:val="both"/>
        <w:rPr>
          <w:lang w:val="ru-RU"/>
        </w:rPr>
      </w:pPr>
      <w:r>
        <w:rPr>
          <w:lang w:val="ru-RU"/>
        </w:rPr>
        <w:t>Иметь кредитный рейтинг по национальной шкале не ниже уровня «</w:t>
      </w:r>
      <w:r>
        <w:rPr/>
        <w:t>BBB</w:t>
      </w:r>
      <w:r>
        <w:rPr>
          <w:lang w:val="ru-RU"/>
        </w:rPr>
        <w:t>» рейтингового агентства АКРА или не ниже уровня «</w:t>
      </w:r>
      <w:r>
        <w:rPr/>
        <w:t>ruBBB</w:t>
      </w:r>
      <w:r>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t>Fitch</w:t>
      </w:r>
      <w:r>
        <w:rPr>
          <w:lang w:val="ru-RU"/>
        </w:rPr>
        <w:t>-</w:t>
      </w:r>
      <w:r>
        <w:rPr/>
        <w:t>Ratings</w:t>
      </w:r>
      <w:r>
        <w:rPr>
          <w:lang w:val="ru-RU"/>
        </w:rPr>
        <w:t>» или «</w:t>
      </w:r>
      <w:r>
        <w:rPr/>
        <w:t>Standard</w:t>
      </w:r>
      <w:r>
        <w:rPr>
          <w:lang w:val="ru-RU"/>
        </w:rPr>
        <w:t xml:space="preserve"> &amp; </w:t>
      </w:r>
      <w:r>
        <w:rPr/>
        <w:t>Poor</w:t>
      </w:r>
      <w:r>
        <w:rPr>
          <w:lang w:val="ru-RU"/>
        </w:rPr>
        <w:t>'</w:t>
      </w:r>
      <w:r>
        <w:rPr/>
        <w:t>s</w:t>
      </w:r>
      <w:r>
        <w:rPr>
          <w:lang w:val="ru-RU"/>
        </w:rPr>
        <w:t>» либо уровня «</w:t>
      </w:r>
      <w:r>
        <w:rPr/>
        <w:t>B</w:t>
      </w:r>
      <w:r>
        <w:rPr>
          <w:lang w:val="ru-RU"/>
        </w:rPr>
        <w:t>а2» по классификации рейтингового агентства «</w:t>
      </w:r>
      <w:r>
        <w:rPr/>
        <w:t>Moody</w:t>
      </w:r>
      <w:r>
        <w:rPr>
          <w:lang w:val="ru-RU"/>
        </w:rPr>
        <w:t>'</w:t>
      </w:r>
      <w:r>
        <w:rPr/>
        <w:t>s</w:t>
      </w:r>
      <w:r>
        <w:rPr>
          <w:lang w:val="ru-RU"/>
        </w:rPr>
        <w:t xml:space="preserve"> </w:t>
      </w:r>
      <w:r>
        <w:rPr/>
        <w:t>Investors</w:t>
      </w:r>
      <w:r>
        <w:rPr>
          <w:lang w:val="ru-RU"/>
        </w:rPr>
        <w:t xml:space="preserve"> </w:t>
      </w:r>
      <w:r>
        <w:rPr/>
        <w:t>Service</w:t>
      </w:r>
      <w:r>
        <w:rPr>
          <w:lang w:val="ru-RU"/>
        </w:rPr>
        <w:t>»</w:t>
      </w:r>
      <w:r>
        <w:rPr>
          <w:rStyle w:val="FootnoteReference"/>
        </w:rPr>
        <w:footnoteReference w:id="25"/>
      </w:r>
      <w:r>
        <w:rPr>
          <w:lang w:val="ru-RU"/>
        </w:rPr>
        <w:t xml:space="preserve">. </w:t>
      </w:r>
    </w:p>
    <w:p>
      <w:pPr>
        <w:pStyle w:val="Normal"/>
        <w:numPr>
          <w:ilvl w:val="1"/>
          <w:numId w:val="27"/>
        </w:numPr>
        <w:tabs>
          <w:tab w:val="clear" w:pos="709"/>
          <w:tab w:val="left" w:pos="1134" w:leader="none"/>
        </w:tabs>
        <w:ind w:left="0" w:firstLine="710"/>
        <w:jc w:val="both"/>
        <w:rPr>
          <w:lang w:val="ru-RU"/>
        </w:rPr>
      </w:pPr>
      <w:r>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Pr/>
        <w:t> </w:t>
      </w:r>
      <w:r>
        <w:rPr>
          <w:lang w:val="ru-RU"/>
        </w:rPr>
        <w:t>177-ФЗ «О страховании вкладов в банках Российской Федерации»</w:t>
      </w:r>
      <w:r>
        <w:rPr>
          <w:rStyle w:val="FootnoteReference"/>
        </w:rPr>
        <w:footnoteReference w:id="26"/>
      </w:r>
      <w:r>
        <w:rPr>
          <w:lang w:val="ru-RU"/>
        </w:rPr>
        <w:t>.</w:t>
      </w:r>
    </w:p>
    <w:p>
      <w:pPr>
        <w:pStyle w:val="Normal"/>
        <w:numPr>
          <w:ilvl w:val="1"/>
          <w:numId w:val="27"/>
        </w:numPr>
        <w:tabs>
          <w:tab w:val="clear" w:pos="709"/>
          <w:tab w:val="left" w:pos="1134" w:leader="none"/>
        </w:tabs>
        <w:ind w:left="0" w:firstLine="710"/>
        <w:jc w:val="both"/>
        <w:rPr>
          <w:lang w:val="ru-RU"/>
        </w:rPr>
      </w:pPr>
      <w:r>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t>http</w:t>
      </w:r>
      <w:r>
        <w:rPr>
          <w:lang w:val="ru-RU"/>
        </w:rPr>
        <w:t>://</w:t>
      </w:r>
      <w:r>
        <w:rPr/>
        <w:t>www</w:t>
      </w:r>
      <w:r>
        <w:rPr>
          <w:lang w:val="ru-RU"/>
        </w:rPr>
        <w:t>.</w:t>
      </w:r>
      <w:r>
        <w:rPr/>
        <w:t>asv</w:t>
      </w:r>
      <w:r>
        <w:rPr>
          <w:lang w:val="ru-RU"/>
        </w:rPr>
        <w:t>.</w:t>
      </w:r>
      <w:r>
        <w:rPr/>
        <w:t>org</w:t>
      </w:r>
      <w:r>
        <w:rPr>
          <w:lang w:val="ru-RU"/>
        </w:rPr>
        <w:t>.</w:t>
      </w:r>
      <w:r>
        <w:rPr/>
        <w:t>ru</w:t>
      </w:r>
      <w:r>
        <w:rPr>
          <w:lang w:val="ru-RU"/>
        </w:rPr>
        <w:t>))».</w:t>
      </w:r>
    </w:p>
    <w:p>
      <w:pPr>
        <w:pStyle w:val="Normal"/>
        <w:numPr>
          <w:ilvl w:val="1"/>
          <w:numId w:val="27"/>
        </w:numPr>
        <w:tabs>
          <w:tab w:val="clear" w:pos="709"/>
          <w:tab w:val="left" w:pos="1134" w:leader="none"/>
        </w:tabs>
        <w:ind w:left="0" w:firstLine="710"/>
        <w:jc w:val="both"/>
        <w:rPr>
          <w:lang w:val="ru-RU"/>
        </w:rPr>
      </w:pPr>
      <w:r>
        <w:rPr>
          <w:lang w:val="ru-RU"/>
        </w:rPr>
        <w:t>Не иметь просроченную задолженность перед Обществом и компаниями Группы РусГидро.</w:t>
      </w:r>
    </w:p>
    <w:p>
      <w:pPr>
        <w:pStyle w:val="Normal"/>
        <w:numPr>
          <w:ilvl w:val="1"/>
          <w:numId w:val="27"/>
        </w:numPr>
        <w:tabs>
          <w:tab w:val="clear" w:pos="709"/>
          <w:tab w:val="left" w:pos="1134" w:leader="none"/>
        </w:tabs>
        <w:ind w:left="0" w:firstLine="710"/>
        <w:jc w:val="both"/>
        <w:rPr>
          <w:lang w:val="ru-RU"/>
        </w:rPr>
      </w:pPr>
      <w:r>
        <w:rPr>
          <w:lang w:val="ru-RU"/>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rPr>
        <w:footnoteReference w:id="27"/>
      </w:r>
      <w:r>
        <w:rPr>
          <w:lang w:val="ru-RU"/>
        </w:rPr>
        <w:t>.</w:t>
      </w:r>
    </w:p>
    <w:p>
      <w:pPr>
        <w:pStyle w:val="Normal"/>
        <w:numPr>
          <w:ilvl w:val="1"/>
          <w:numId w:val="27"/>
        </w:numPr>
        <w:tabs>
          <w:tab w:val="clear" w:pos="709"/>
          <w:tab w:val="left" w:pos="1134" w:leader="none"/>
        </w:tabs>
        <w:ind w:left="0" w:firstLine="710"/>
        <w:jc w:val="both"/>
        <w:rPr>
          <w:lang w:val="ru-RU"/>
        </w:rPr>
      </w:pPr>
      <w:r>
        <w:rPr>
          <w:lang w:val="ru-RU"/>
        </w:rPr>
        <w:t>Требования, установленные пунктами 2 – 4 настоящих Критериев, не распространяются на кредитные организации:</w:t>
      </w:r>
    </w:p>
    <w:p>
      <w:pPr>
        <w:pStyle w:val="Normal"/>
        <w:numPr>
          <w:ilvl w:val="1"/>
          <w:numId w:val="28"/>
        </w:numPr>
        <w:tabs>
          <w:tab w:val="clear" w:pos="709"/>
          <w:tab w:val="left" w:pos="1134" w:leader="none"/>
        </w:tabs>
        <w:ind w:left="0" w:firstLine="709"/>
        <w:jc w:val="both"/>
        <w:rPr>
          <w:lang w:val="ru-RU"/>
        </w:rPr>
      </w:pPr>
      <w:r>
        <w:rPr>
          <w:lang w:val="ru-RU"/>
        </w:rPr>
        <w:t xml:space="preserve"> </w:t>
      </w:r>
      <w:r>
        <w:rPr>
          <w:lang w:val="ru-RU"/>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28"/>
        </w:numPr>
        <w:tabs>
          <w:tab w:val="clear" w:pos="709"/>
          <w:tab w:val="left" w:pos="1134" w:leader="none"/>
        </w:tabs>
        <w:ind w:left="0" w:firstLine="709"/>
        <w:jc w:val="both"/>
        <w:rPr>
          <w:lang w:val="ru-RU"/>
        </w:rPr>
      </w:pPr>
      <w:r>
        <w:rPr>
          <w:lang w:val="ru-RU"/>
        </w:rPr>
        <w:t xml:space="preserve"> </w:t>
      </w:r>
      <w:r>
        <w:rPr>
          <w:lang w:val="ru-RU"/>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28"/>
        </w:numPr>
        <w:tabs>
          <w:tab w:val="clear" w:pos="709"/>
          <w:tab w:val="left" w:pos="1134" w:leader="none"/>
        </w:tabs>
        <w:ind w:left="0" w:firstLine="709"/>
        <w:jc w:val="both"/>
        <w:rPr>
          <w:lang w:val="ru-RU"/>
        </w:rPr>
      </w:pPr>
      <w:r>
        <w:rPr>
          <w:lang w:val="ru-RU"/>
        </w:rPr>
        <w:t xml:space="preserve"> </w:t>
      </w:r>
      <w:r>
        <w:rPr>
          <w:lang w:val="ru-RU"/>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28"/>
        </w:numPr>
        <w:tabs>
          <w:tab w:val="clear" w:pos="709"/>
          <w:tab w:val="left" w:pos="1134" w:leader="none"/>
        </w:tabs>
        <w:ind w:left="0" w:firstLine="709"/>
        <w:jc w:val="both"/>
        <w:rPr/>
      </w:pPr>
      <w:r>
        <w:rPr>
          <w:lang w:val="ru-RU"/>
        </w:rPr>
        <w:t xml:space="preserve"> </w:t>
      </w:r>
      <w:r>
        <w:rPr/>
        <w:t>ВЭБ.РФ.</w:t>
      </w:r>
    </w:p>
    <w:p>
      <w:pPr>
        <w:pStyle w:val="Normal"/>
        <w:numPr>
          <w:ilvl w:val="1"/>
          <w:numId w:val="28"/>
        </w:numPr>
        <w:tabs>
          <w:tab w:val="clear" w:pos="709"/>
          <w:tab w:val="left" w:pos="1134" w:leader="none"/>
        </w:tabs>
        <w:spacing w:lineRule="auto" w:line="240"/>
        <w:ind w:left="0" w:firstLine="709"/>
        <w:rPr>
          <w:sz w:val="24"/>
          <w:szCs w:val="24"/>
        </w:rPr>
      </w:pPr>
      <w:r>
        <w:rPr>
          <w:sz w:val="24"/>
          <w:szCs w:val="24"/>
          <w:lang w:val="en-GB"/>
        </w:rPr>
        <w:t>Нерезидентов Российской Федерации.</w:t>
      </w:r>
    </w:p>
    <w:p>
      <w:pPr>
        <w:pStyle w:val="Normal"/>
        <w:numPr>
          <w:ilvl w:val="1"/>
          <w:numId w:val="27"/>
        </w:numPr>
        <w:tabs>
          <w:tab w:val="clear" w:pos="709"/>
          <w:tab w:val="left" w:pos="1134" w:leader="none"/>
        </w:tabs>
        <w:ind w:left="0" w:firstLine="710"/>
        <w:jc w:val="both"/>
        <w:rPr>
          <w:lang w:val="ru-RU"/>
        </w:rPr>
      </w:pPr>
      <w:r>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numPr>
          <w:ilvl w:val="0"/>
          <w:numId w:val="0"/>
        </w:numPr>
        <w:tabs>
          <w:tab w:val="clear" w:pos="709"/>
          <w:tab w:val="left" w:pos="1134" w:leader="none"/>
        </w:tabs>
        <w:ind w:left="0" w:hanging="0"/>
        <w:jc w:val="both"/>
        <w:rPr>
          <w:lang w:val="ru-RU"/>
        </w:rPr>
      </w:pPr>
      <w:r>
        <w:rPr>
          <w:lang w:val="ru-RU"/>
        </w:rPr>
      </w:r>
    </w:p>
    <w:p>
      <w:pPr>
        <w:pStyle w:val="Normal"/>
        <w:tabs>
          <w:tab w:val="clear" w:pos="709"/>
          <w:tab w:val="left" w:pos="1134" w:leader="none"/>
        </w:tabs>
        <w:ind w:firstLine="709"/>
        <w:jc w:val="center"/>
        <w:rPr/>
      </w:pPr>
      <w:r>
        <w:rPr>
          <w:b/>
          <w:i/>
        </w:rPr>
        <w:t>Lim</w:t>
      </w:r>
      <w:r>
        <w:rPr>
          <w:b/>
          <w:i/>
          <w:vertAlign w:val="subscript"/>
        </w:rPr>
        <w:t>Ai</w:t>
      </w:r>
      <w:r>
        <w:rPr>
          <w:b/>
          <w:i/>
        </w:rPr>
        <w:t xml:space="preserve">  = r</w:t>
      </w:r>
      <w:r>
        <w:rPr>
          <w:b/>
          <w:i/>
          <w:vertAlign w:val="subscript"/>
        </w:rPr>
        <w:t>i</w:t>
      </w:r>
      <w:r>
        <w:rPr>
          <w:b/>
          <w:i/>
        </w:rPr>
        <w:t xml:space="preserve"> × СK</w:t>
      </w:r>
      <w:r>
        <w:rPr>
          <w:b/>
          <w:i/>
          <w:vertAlign w:val="subscript"/>
        </w:rPr>
        <w:t>i</w:t>
      </w:r>
      <w:r>
        <w:rPr/>
        <w:t>, где</w:t>
      </w:r>
    </w:p>
    <w:p>
      <w:pPr>
        <w:pStyle w:val="Normal"/>
        <w:tabs>
          <w:tab w:val="clear" w:pos="709"/>
          <w:tab w:val="left" w:pos="1134" w:leader="none"/>
        </w:tabs>
        <w:ind w:firstLine="709"/>
        <w:jc w:val="center"/>
        <w:rPr/>
      </w:pPr>
      <w:r>
        <w:rPr/>
      </w:r>
    </w:p>
    <w:tbl>
      <w:tblPr>
        <w:tblW w:w="9606"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left="0" w:right="-108" w:hanging="0"/>
              <w:rPr>
                <w:color w:val="000000"/>
                <w:sz w:val="24"/>
                <w:szCs w:val="24"/>
              </w:rPr>
            </w:pPr>
            <w:r>
              <w:rPr>
                <w:b/>
                <w:i/>
                <w:color w:val="000000"/>
                <w:sz w:val="24"/>
                <w:szCs w:val="24"/>
              </w:rPr>
              <w:t>Lim</w:t>
            </w:r>
            <w:r>
              <w:rPr>
                <w:b/>
                <w:i/>
                <w:color w:val="000000"/>
                <w:sz w:val="24"/>
                <w:szCs w:val="24"/>
                <w:vertAlign w:val="subscript"/>
                <w:lang w:val="en-US"/>
              </w:rPr>
              <w:t>Ai</w:t>
            </w:r>
          </w:p>
        </w:tc>
        <w:tc>
          <w:tcPr>
            <w:tcW w:w="280" w:type="dxa"/>
            <w:tcBorders/>
            <w:shd w:color="auto" w:fill="auto" w:val="clear"/>
          </w:tcPr>
          <w:p>
            <w:pPr>
              <w:pStyle w:val="Normal"/>
              <w:widowControl w:val="false"/>
              <w:spacing w:lineRule="auto" w:line="240"/>
              <w:ind w:left="317" w:right="-108" w:hanging="317"/>
              <w:rPr>
                <w:color w:val="000000"/>
                <w:sz w:val="24"/>
                <w:szCs w:val="24"/>
              </w:rPr>
            </w:pPr>
            <w:r>
              <w:rPr>
                <w:sz w:val="24"/>
                <w:szCs w:val="24"/>
              </w:rPr>
              <w:t>-</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Лимит риска для i-ой кредитной организации</w:t>
            </w:r>
            <w:r>
              <w:rPr>
                <w:rStyle w:val="FootnoteReference"/>
                <w:rFonts w:eastAsia="Times New Roman" w:cs="Times New Roman"/>
                <w:sz w:val="24"/>
                <w:szCs w:val="24"/>
                <w:lang w:eastAsia="ru-RU"/>
              </w:rPr>
              <w:footnoteReference w:id="28"/>
            </w:r>
            <w:r>
              <w:rPr>
                <w:rFonts w:eastAsia="Times New Roman" w:cs="Times New Roman"/>
                <w:sz w:val="24"/>
                <w:szCs w:val="24"/>
                <w:lang w:eastAsia="ru-RU"/>
              </w:rPr>
              <w:t>.</w:t>
            </w:r>
          </w:p>
        </w:tc>
      </w:tr>
      <w:tr>
        <w:trPr>
          <w:trHeight w:val="280" w:hRule="atLeast"/>
        </w:trPr>
        <w:tc>
          <w:tcPr>
            <w:tcW w:w="817" w:type="dxa"/>
            <w:tcBorders/>
            <w:shd w:color="auto" w:fill="auto" w:val="clear"/>
          </w:tcPr>
          <w:p>
            <w:pPr>
              <w:pStyle w:val="Normal"/>
              <w:widowControl w:val="false"/>
              <w:spacing w:lineRule="auto" w:line="240"/>
              <w:ind w:left="0"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left="0"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left="0" w:right="-108" w:hanging="0"/>
              <w:rPr>
                <w:color w:val="000000"/>
                <w:sz w:val="24"/>
                <w:szCs w:val="24"/>
              </w:rPr>
            </w:pPr>
            <w:r>
              <w:rPr>
                <w:sz w:val="24"/>
                <w:szCs w:val="24"/>
              </w:rPr>
              <w:t>-</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9">
              <w:r>
                <w:rPr>
                  <w:rStyle w:val="Hyperlink"/>
                  <w:rFonts w:eastAsia="Times New Roman" w:cs="Times New Roman"/>
                  <w:sz w:val="24"/>
                  <w:szCs w:val="24"/>
                  <w:lang w:eastAsia="ru-RU"/>
                </w:rPr>
                <w:t>www.cbr.ru</w:t>
              </w:r>
            </w:hyperlink>
            <w:r>
              <w:rPr>
                <w:rFonts w:eastAsia="Times New Roman" w:cs="Times New Roman"/>
                <w:sz w:val="24"/>
                <w:szCs w:val="24"/>
                <w:lang w:eastAsia="ru-RU"/>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spacing w:lineRule="auto" w:line="240"/>
              <w:ind w:left="0"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left="0"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suppressAutoHyphens w:val="true"/>
              <w:overflowPunct w:val="true"/>
              <w:bidi w:val="0"/>
              <w:spacing w:lineRule="auto" w:line="240" w:before="0" w:after="0"/>
              <w:ind w:left="680" w:right="0" w:hanging="0"/>
              <w:jc w:val="both"/>
              <w:rPr/>
            </w:pPr>
            <w:r>
              <w:rPr>
                <w:rFonts w:eastAsia="Times New Roman" w:cs="Times New Roman"/>
                <w:sz w:val="24"/>
                <w:szCs w:val="24"/>
                <w:lang w:eastAsia="ru-RU"/>
              </w:rPr>
              <w:t>рейтинговый коэффициент</w:t>
            </w:r>
            <w:r>
              <w:rPr>
                <w:rStyle w:val="FootnoteReference"/>
                <w:rFonts w:eastAsia="Times New Roman" w:cs="Times New Roman"/>
                <w:sz w:val="24"/>
                <w:szCs w:val="24"/>
                <w:lang w:eastAsia="ru-RU"/>
              </w:rPr>
              <w:footnoteReference w:id="29"/>
            </w:r>
            <w:r>
              <w:rPr>
                <w:rFonts w:eastAsia="Times New Roman" w:cs="Times New Roman"/>
                <w:sz w:val="24"/>
                <w:szCs w:val="24"/>
                <w:lang w:eastAsia="ru-RU"/>
              </w:rPr>
              <w:t xml:space="preserve"> для i-ой кредитной организации, равный:</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0,075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«АА-»</w:t>
            </w:r>
            <w:r>
              <w:rPr>
                <w:rFonts w:eastAsia="Times New Roman" w:cs="Times New Roman"/>
                <w:sz w:val="24"/>
                <w:szCs w:val="24"/>
                <w:lang w:eastAsia="ru-RU"/>
              </w:rPr>
              <w:t xml:space="preserve">по классификации рейтингового агентства АКРА или не ниже уровня </w:t>
            </w:r>
            <w:r>
              <w:rPr>
                <w:rFonts w:eastAsia="Times New Roman" w:cs="Times New Roman"/>
                <w:b/>
                <w:sz w:val="24"/>
                <w:szCs w:val="24"/>
                <w:lang w:eastAsia="ru-RU"/>
              </w:rPr>
              <w:t>«</w:t>
            </w:r>
            <w:r>
              <w:rPr>
                <w:rFonts w:eastAsia="Times New Roman" w:cs="Times New Roman"/>
                <w:b/>
                <w:sz w:val="24"/>
                <w:szCs w:val="24"/>
                <w:lang w:val="en-US" w:eastAsia="ru-RU"/>
              </w:rPr>
              <w:t>ru</w:t>
            </w:r>
            <w:r>
              <w:rPr>
                <w:rFonts w:eastAsia="Times New Roman" w:cs="Times New Roman"/>
                <w:b/>
                <w:sz w:val="24"/>
                <w:szCs w:val="24"/>
                <w:lang w:eastAsia="ru-RU"/>
              </w:rPr>
              <w:t>А</w:t>
            </w:r>
            <w:r>
              <w:rPr>
                <w:rFonts w:eastAsia="Times New Roman" w:cs="Times New Roman"/>
                <w:b/>
                <w:sz w:val="24"/>
                <w:szCs w:val="24"/>
                <w:lang w:val="en-US" w:eastAsia="ru-RU"/>
              </w:rPr>
              <w:t>A</w:t>
            </w:r>
            <w:r>
              <w:rPr>
                <w:rFonts w:eastAsia="Times New Roman" w:cs="Times New Roman"/>
                <w:b/>
                <w:sz w:val="24"/>
                <w:szCs w:val="24"/>
                <w:lang w:eastAsia="ru-RU"/>
              </w:rPr>
              <w:t>-»</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b/>
                <w:sz w:val="24"/>
                <w:szCs w:val="24"/>
                <w:lang w:eastAsia="ru-RU"/>
              </w:rPr>
              <w:t>«ruA-»</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clear" w:pos="709"/>
                <w:tab w:val="left" w:pos="7130" w:leader="none"/>
              </w:tabs>
              <w:spacing w:lineRule="auto" w:line="240"/>
              <w:ind w:left="0" w:right="-108" w:firstLine="567"/>
              <w:rPr>
                <w:sz w:val="24"/>
                <w:szCs w:val="24"/>
              </w:rPr>
            </w:pPr>
            <w:r>
              <w:rPr>
                <w:rFonts w:eastAsia="Times New Roman" w:cs="Times New Roman"/>
                <w:b/>
                <w:sz w:val="24"/>
                <w:szCs w:val="24"/>
                <w:lang w:eastAsia="ru-RU"/>
              </w:rPr>
              <w:t>0,025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w:t>
            </w:r>
            <w:r>
              <w:rPr>
                <w:rFonts w:eastAsia="Times New Roman" w:cs="Times New Roman"/>
                <w:b/>
                <w:sz w:val="24"/>
                <w:szCs w:val="24"/>
                <w:lang w:val="en-US" w:eastAsia="ru-RU"/>
              </w:rPr>
              <w:t>BB</w:t>
            </w:r>
            <w:r>
              <w:rPr>
                <w:rFonts w:eastAsia="Times New Roman" w:cs="Times New Roman"/>
                <w:b/>
                <w:sz w:val="24"/>
                <w:szCs w:val="24"/>
                <w:lang w:eastAsia="ru-RU"/>
              </w:rPr>
              <w:t>В»</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sz w:val="24"/>
                <w:szCs w:val="24"/>
                <w:lang w:val="en-US" w:eastAsia="ru-RU"/>
              </w:rPr>
              <w:t>ruBB</w:t>
            </w:r>
            <w:r>
              <w:rPr>
                <w:rFonts w:eastAsia="Times New Roman" w:cs="Times New Roman"/>
                <w:sz w:val="24"/>
                <w:szCs w:val="24"/>
                <w:lang w:eastAsia="ru-RU"/>
              </w:rPr>
              <w:t>В» по классификации рейтингового агентства Эксперт РА, а также находится в процессе финансового оздоровления (санации).</w:t>
            </w:r>
          </w:p>
        </w:tc>
      </w:tr>
    </w:tbl>
    <w:p>
      <w:pPr>
        <w:pStyle w:val="Normal"/>
        <w:tabs>
          <w:tab w:val="clear" w:pos="709"/>
          <w:tab w:val="left" w:pos="1134" w:leader="none"/>
        </w:tabs>
        <w:ind w:firstLine="709"/>
        <w:jc w:val="center"/>
        <w:rPr/>
      </w:pPr>
      <w:r>
        <w:rPr/>
      </w:r>
    </w:p>
    <w:p>
      <w:pPr>
        <w:pStyle w:val="Normal"/>
        <w:tabs>
          <w:tab w:val="clear" w:pos="709"/>
          <w:tab w:val="left" w:pos="1425" w:leader="none"/>
        </w:tabs>
        <w:rPr>
          <w:lang w:val="ru-RU"/>
        </w:rPr>
      </w:pPr>
      <w:r>
        <w:rPr>
          <w:lang w:val="ru-RU"/>
        </w:rPr>
        <w:tab/>
      </w:r>
    </w:p>
    <w:tbl>
      <w:tblPr>
        <w:tblW w:w="1375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rPr>
            </w:pPr>
            <w:r>
              <w:rPr>
                <w:b/>
              </w:rPr>
              <w:t>Заказчик:</w:t>
            </w:r>
          </w:p>
        </w:tc>
        <w:tc>
          <w:tcPr>
            <w:tcW w:w="8789" w:type="dxa"/>
            <w:tcBorders/>
          </w:tcPr>
          <w:p>
            <w:pPr>
              <w:pStyle w:val="Normal"/>
              <w:widowControl w:val="false"/>
              <w:rPr>
                <w:b/>
              </w:rPr>
            </w:pPr>
            <w:r>
              <w:rPr>
                <w:b/>
                <w:lang w:val="ru-RU"/>
              </w:rPr>
              <w:t>Исполнитель</w:t>
            </w:r>
            <w:r>
              <w:rPr>
                <w:b/>
              </w:rPr>
              <w:t>:</w:t>
            </w:r>
          </w:p>
        </w:tc>
      </w:tr>
      <w:tr>
        <w:trPr/>
        <w:tc>
          <w:tcPr>
            <w:tcW w:w="4961"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tc>
        <w:tc>
          <w:tcPr>
            <w:tcW w:w="87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p>
            <w:pPr>
              <w:pStyle w:val="Normal"/>
              <w:widowControl w:val="false"/>
              <w:rPr>
                <w:sz w:val="22"/>
                <w:szCs w:val="22"/>
              </w:rPr>
            </w:pPr>
            <w:r>
              <w:rPr>
                <w:sz w:val="22"/>
                <w:szCs w:val="22"/>
              </w:rPr>
            </w:r>
          </w:p>
        </w:tc>
      </w:tr>
    </w:tbl>
    <w:p>
      <w:pPr>
        <w:sectPr>
          <w:headerReference w:type="default" r:id="rId10"/>
          <w:headerReference w:type="first" r:id="rId11"/>
          <w:footerReference w:type="default" r:id="rId12"/>
          <w:footerReference w:type="first" r:id="rId13"/>
          <w:footnotePr>
            <w:numFmt w:val="decimal"/>
          </w:footnotePr>
          <w:type w:val="nextPage"/>
          <w:pgSz w:w="11906" w:h="16838"/>
          <w:pgMar w:left="1418" w:right="851" w:gutter="0" w:header="709" w:top="1134" w:footer="709" w:bottom="1134"/>
          <w:pgNumType w:fmt="decimal"/>
          <w:formProt w:val="false"/>
          <w:textDirection w:val="lrTb"/>
          <w:docGrid w:type="default" w:linePitch="360" w:charSpace="0"/>
        </w:sectPr>
      </w:pPr>
    </w:p>
    <w:p>
      <w:pPr>
        <w:pStyle w:val="Normal"/>
        <w:tabs>
          <w:tab w:val="clear" w:pos="709"/>
          <w:tab w:val="left" w:pos="8222" w:leader="none"/>
        </w:tabs>
        <w:ind w:firstLine="3402"/>
        <w:jc w:val="right"/>
        <w:rPr>
          <w:sz w:val="22"/>
          <w:szCs w:val="22"/>
          <w:lang w:val="ru-RU"/>
        </w:rPr>
      </w:pPr>
      <w:r>
        <w:rPr>
          <w:sz w:val="22"/>
          <w:szCs w:val="22"/>
          <w:lang w:val="ru-RU"/>
        </w:rPr>
        <w:t xml:space="preserve">Приложение № 8 </w:t>
      </w:r>
    </w:p>
    <w:p>
      <w:pPr>
        <w:pStyle w:val="Normal"/>
        <w:tabs>
          <w:tab w:val="clear" w:pos="709"/>
          <w:tab w:val="left" w:pos="8222" w:leader="none"/>
        </w:tabs>
        <w:ind w:firstLine="3402"/>
        <w:jc w:val="right"/>
        <w:rPr>
          <w:sz w:val="22"/>
          <w:szCs w:val="22"/>
          <w:lang w:val="ru-RU"/>
        </w:rPr>
      </w:pPr>
      <w:r>
        <w:rPr>
          <w:sz w:val="22"/>
          <w:szCs w:val="22"/>
          <w:lang w:val="ru-RU"/>
        </w:rPr>
        <w:t xml:space="preserve">к Договору возмездного оказания услуг </w:t>
      </w:r>
    </w:p>
    <w:p>
      <w:pPr>
        <w:pStyle w:val="Normal"/>
        <w:tabs>
          <w:tab w:val="clear" w:pos="709"/>
          <w:tab w:val="left" w:pos="8222" w:leader="none"/>
        </w:tabs>
        <w:ind w:firstLine="3402"/>
        <w:jc w:val="right"/>
        <w:rPr>
          <w:sz w:val="22"/>
          <w:szCs w:val="22"/>
          <w:lang w:val="ru-RU"/>
        </w:rPr>
      </w:pPr>
      <w:r>
        <w:rPr>
          <w:sz w:val="22"/>
          <w:szCs w:val="22"/>
          <w:lang w:val="ru-RU"/>
        </w:rPr>
        <w:t>от «____» __________ 20 _ г. № ____</w:t>
      </w:r>
    </w:p>
    <w:p>
      <w:pPr>
        <w:pStyle w:val="Normal"/>
        <w:jc w:val="center"/>
        <w:rPr>
          <w:b/>
          <w:bCs/>
          <w:color w:val="000000"/>
          <w:lang w:val="ru-RU"/>
        </w:rPr>
      </w:pPr>
      <w:r>
        <w:rPr>
          <w:b/>
          <w:bCs/>
          <w:color w:val="000000"/>
          <w:lang w:val="ru-RU"/>
        </w:rPr>
      </w:r>
    </w:p>
    <w:p>
      <w:pPr>
        <w:pStyle w:val="Normal"/>
        <w:jc w:val="center"/>
        <w:rPr>
          <w:b/>
          <w:bCs/>
          <w:color w:val="000000"/>
          <w:lang w:val="ru-RU"/>
        </w:rPr>
      </w:pPr>
      <w:r>
        <w:rPr>
          <w:b/>
          <w:bCs/>
          <w:color w:val="000000"/>
          <w:lang w:val="ru-RU"/>
        </w:rPr>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62"/>
        <w:gridCol w:w="781"/>
        <w:gridCol w:w="1149"/>
        <w:gridCol w:w="1377"/>
        <w:gridCol w:w="2338"/>
        <w:gridCol w:w="2886"/>
        <w:gridCol w:w="2752"/>
        <w:gridCol w:w="976"/>
        <w:gridCol w:w="2046"/>
      </w:tblGrid>
      <w:tr>
        <w:trPr>
          <w:trHeight w:val="1327" w:hRule="atLeast"/>
        </w:trPr>
        <w:tc>
          <w:tcPr>
            <w:tcW w:w="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3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w:t>
            </w:r>
            <w:r>
              <w:rPr>
                <w:bCs/>
                <w:sz w:val="16"/>
                <w:szCs w:val="16"/>
                <w:lang w:val="ru-RU"/>
              </w:rPr>
              <w:t xml:space="preserve">Если договором предусмотрена поставка товара, предусмотренного одним из перечней в соответствии с Постановлением Правительства РФ от 23.12.2024 № 1875 либо иного нормативно-правового акта, устанавливающего защитные меры в соответствии с законодательством о Национальном режиме, данный товар заполняется отдельной строкой </w:t>
            </w:r>
            <w:r>
              <w:rPr>
                <w:sz w:val="16"/>
                <w:szCs w:val="16"/>
                <w:lang w:val="ru-RU"/>
              </w:rPr>
              <w:t>)</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0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3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0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0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14" w:type="dxa"/>
        <w:tblLayout w:type="fixed"/>
        <w:tblCellMar>
          <w:top w:w="0" w:type="dxa"/>
          <w:left w:w="28" w:type="dxa"/>
          <w:bottom w:w="0" w:type="dxa"/>
          <w:right w:w="28" w:type="dxa"/>
        </w:tblCellMar>
        <w:tblLook w:val="04a0" w:noHBand="0" w:noVBand="1" w:firstColumn="1" w:lastRow="0" w:lastColumn="0" w:firstRow="1"/>
      </w:tblPr>
      <w:tblGrid>
        <w:gridCol w:w="1391"/>
        <w:gridCol w:w="1663"/>
        <w:gridCol w:w="1111"/>
        <w:gridCol w:w="1110"/>
        <w:gridCol w:w="1250"/>
        <w:gridCol w:w="2080"/>
        <w:gridCol w:w="1805"/>
        <w:gridCol w:w="1250"/>
        <w:gridCol w:w="2907"/>
      </w:tblGrid>
      <w:tr>
        <w:trPr>
          <w:trHeight w:val="1289" w:hRule="atLeast"/>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30"/>
              <w:t></w:t>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29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6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8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29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6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14" w:type="dxa"/>
        <w:tblLayout w:type="fixed"/>
        <w:tblCellMar>
          <w:top w:w="0" w:type="dxa"/>
          <w:left w:w="28" w:type="dxa"/>
          <w:bottom w:w="0" w:type="dxa"/>
          <w:right w:w="28" w:type="dxa"/>
        </w:tblCellMar>
        <w:tblLook w:val="04a0" w:noHBand="0" w:noVBand="1" w:firstColumn="1" w:lastRow="0" w:lastColumn="0" w:firstRow="1"/>
      </w:tblPr>
      <w:tblGrid>
        <w:gridCol w:w="1451"/>
        <w:gridCol w:w="1746"/>
        <w:gridCol w:w="1164"/>
        <w:gridCol w:w="1163"/>
        <w:gridCol w:w="1310"/>
        <w:gridCol w:w="1162"/>
        <w:gridCol w:w="1891"/>
        <w:gridCol w:w="1019"/>
        <w:gridCol w:w="1164"/>
        <w:gridCol w:w="871"/>
        <w:gridCol w:w="727"/>
        <w:gridCol w:w="900"/>
      </w:tblGrid>
      <w:tr>
        <w:trPr>
          <w:trHeight w:val="566" w:hRule="atLeast"/>
        </w:trPr>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7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18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7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1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18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sectPr>
          <w:headerReference w:type="default" r:id="rId14"/>
          <w:headerReference w:type="first" r:id="rId15"/>
          <w:footerReference w:type="default" r:id="rId16"/>
          <w:footerReference w:type="first" r:id="rId17"/>
          <w:footnotePr>
            <w:numFmt w:val="decimal"/>
          </w:footnotePr>
          <w:type w:val="nextPage"/>
          <w:pgSz w:orient="landscape" w:w="16838" w:h="11906"/>
          <w:pgMar w:left="1418" w:right="851" w:gutter="0" w:header="567" w:top="1134" w:footer="709" w:bottom="1134"/>
          <w:pgNumType w:fmt="decimal"/>
          <w:formProt w:val="false"/>
          <w:textDirection w:val="lrTb"/>
          <w:docGrid w:type="default" w:linePitch="360" w:charSpace="0"/>
        </w:sectPr>
      </w:pPr>
    </w:p>
    <w:p>
      <w:pPr>
        <w:pStyle w:val="Normal"/>
        <w:tabs>
          <w:tab w:val="clear" w:pos="709"/>
          <w:tab w:val="left" w:pos="8222" w:leader="none"/>
        </w:tabs>
        <w:ind w:firstLine="3402"/>
        <w:jc w:val="right"/>
        <w:rPr>
          <w:sz w:val="22"/>
          <w:szCs w:val="22"/>
          <w:lang w:val="ru-RU"/>
        </w:rPr>
      </w:pPr>
      <w:r>
        <w:rPr>
          <w:sz w:val="22"/>
          <w:szCs w:val="22"/>
          <w:lang w:val="ru-RU"/>
        </w:rPr>
        <w:t xml:space="preserve">Приложение № 9 </w:t>
      </w:r>
    </w:p>
    <w:p>
      <w:pPr>
        <w:pStyle w:val="Normal"/>
        <w:tabs>
          <w:tab w:val="clear" w:pos="709"/>
          <w:tab w:val="left" w:pos="8222" w:leader="none"/>
        </w:tabs>
        <w:ind w:firstLine="3402"/>
        <w:jc w:val="right"/>
        <w:rPr>
          <w:sz w:val="22"/>
          <w:szCs w:val="22"/>
          <w:lang w:val="ru-RU"/>
        </w:rPr>
      </w:pPr>
      <w:r>
        <w:rPr>
          <w:sz w:val="22"/>
          <w:szCs w:val="22"/>
          <w:lang w:val="ru-RU"/>
        </w:rPr>
        <w:t xml:space="preserve">к Договору возмездного оказания услуг </w:t>
      </w:r>
    </w:p>
    <w:p>
      <w:pPr>
        <w:pStyle w:val="Normal"/>
        <w:tabs>
          <w:tab w:val="clear" w:pos="709"/>
          <w:tab w:val="left" w:pos="8222" w:leader="none"/>
        </w:tabs>
        <w:ind w:firstLine="3402"/>
        <w:jc w:val="right"/>
        <w:rPr>
          <w:sz w:val="22"/>
          <w:szCs w:val="22"/>
          <w:lang w:val="ru-RU"/>
        </w:rPr>
      </w:pPr>
      <w:r>
        <w:rPr>
          <w:sz w:val="22"/>
          <w:szCs w:val="22"/>
          <w:lang w:val="ru-RU"/>
        </w:rPr>
        <w:t>от «____» __________ 20 _ г. № ____</w:t>
      </w:r>
    </w:p>
    <w:p>
      <w:pPr>
        <w:pStyle w:val="Normal"/>
        <w:spacing w:before="20" w:after="20"/>
        <w:ind w:firstLine="709"/>
        <w:jc w:val="both"/>
        <w:rPr>
          <w:lang w:val="ru-RU"/>
        </w:rPr>
      </w:pPr>
      <w:r>
        <w:rPr>
          <w:lang w:val="ru-RU"/>
        </w:rPr>
      </w:r>
    </w:p>
    <w:p>
      <w:pPr>
        <w:pStyle w:val="Normal"/>
        <w:spacing w:before="20" w:after="20"/>
        <w:ind w:firstLine="709"/>
        <w:jc w:val="center"/>
        <w:rPr>
          <w:lang w:val="ru-RU"/>
        </w:rPr>
      </w:pPr>
      <w:bookmarkStart w:id="22" w:name="_Toc122678954_Копия_5"/>
      <w:r>
        <w:rPr>
          <w:b/>
          <w:sz w:val="24"/>
          <w:szCs w:val="24"/>
          <w:lang w:val="ru-RU"/>
        </w:rPr>
        <w:t>Методика расчета упущенной выгоды (выручки)</w:t>
      </w:r>
      <w:bookmarkEnd w:id="22"/>
      <w:r>
        <w:rPr>
          <w:b/>
          <w:sz w:val="24"/>
          <w:szCs w:val="24"/>
          <w:lang w:val="ru-RU"/>
        </w:rPr>
        <w:t xml:space="preserve"> </w:t>
      </w:r>
    </w:p>
    <w:p>
      <w:pPr>
        <w:pStyle w:val="Normal"/>
        <w:spacing w:before="20" w:after="20"/>
        <w:ind w:firstLine="709"/>
        <w:jc w:val="center"/>
        <w:rPr>
          <w:lang w:val="ru-RU"/>
        </w:rPr>
      </w:pPr>
      <w:r>
        <w:rPr>
          <w:b/>
          <w:sz w:val="24"/>
          <w:szCs w:val="24"/>
          <w:lang w:val="ru-RU"/>
        </w:rPr>
        <w:t>и дополнительных обязательств участника ОРЭМ от недопоставки электрической энергии и мощности на ОРЭМ в</w:t>
      </w:r>
      <w:r>
        <w:rPr>
          <w:rFonts w:eastAsia="Times New Roman" w:cs="Times New Roman"/>
          <w:b/>
          <w:color w:val="auto"/>
          <w:kern w:val="0"/>
          <w:sz w:val="24"/>
          <w:szCs w:val="24"/>
          <w:lang w:val="ru-RU" w:eastAsia="ru-RU" w:bidi="ar-SA"/>
        </w:rPr>
        <w:t xml:space="preserve"> отдельной территории ценовой зоны оптового рынка, ранее относившейся к</w:t>
      </w:r>
      <w:r>
        <w:rPr>
          <w:b/>
          <w:sz w:val="24"/>
          <w:szCs w:val="24"/>
          <w:lang w:val="ru-RU"/>
        </w:rPr>
        <w:t> неценовой зоне отпового рынка Дальнего Востока</w:t>
      </w:r>
    </w:p>
    <w:p>
      <w:pPr>
        <w:pStyle w:val="Normal"/>
        <w:spacing w:before="20" w:after="20"/>
        <w:ind w:firstLine="709"/>
        <w:jc w:val="center"/>
        <w:rPr>
          <w:lang w:val="ru-RU"/>
        </w:rPr>
      </w:pPr>
      <w:r>
        <w:rPr>
          <w:lang w:val="ru-RU"/>
        </w:rPr>
      </w:r>
    </w:p>
    <w:p>
      <w:pPr>
        <w:pStyle w:val="Normal"/>
        <w:spacing w:before="20" w:after="20"/>
        <w:ind w:firstLine="709"/>
        <w:jc w:val="both"/>
        <w:rPr>
          <w:lang w:val="ru-RU"/>
        </w:rPr>
      </w:pPr>
      <w:r>
        <w:rPr>
          <w:lang w:val="ru-RU"/>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spacing w:before="120" w:after="20"/>
        <w:ind w:firstLine="709"/>
        <w:jc w:val="both"/>
        <w:rPr>
          <w:lang w:val="ru-RU"/>
        </w:rPr>
      </w:pPr>
      <w:r>
        <w:rPr>
          <w:lang w:val="ru-RU"/>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spacing w:before="20" w:after="20"/>
        <w:ind w:firstLine="709"/>
        <w:jc w:val="both"/>
        <w:rPr>
          <w:lang w:val="ru-RU"/>
        </w:rPr>
      </w:pPr>
      <w:r>
        <w:rPr>
          <w:lang w:val="ru-RU"/>
        </w:rPr>
        <w:t xml:space="preserve"> </w:t>
      </w:r>
      <w:r>
        <w:rPr>
          <w:lang w:val="ru-RU"/>
        </w:rPr>
        <w:t xml:space="preserve">В заявках должны быть указаны: </w:t>
      </w:r>
    </w:p>
    <w:p>
      <w:pPr>
        <w:pStyle w:val="Normal"/>
        <w:numPr>
          <w:ilvl w:val="0"/>
          <w:numId w:val="29"/>
        </w:numPr>
        <w:ind w:left="0" w:firstLine="709"/>
        <w:jc w:val="both"/>
        <w:rPr>
          <w:bCs/>
        </w:rPr>
      </w:pPr>
      <w:r>
        <w:rPr>
          <w:bCs/>
        </w:rPr>
        <w:t>номер заявки;</w:t>
      </w:r>
    </w:p>
    <w:p>
      <w:pPr>
        <w:pStyle w:val="Normal"/>
        <w:numPr>
          <w:ilvl w:val="0"/>
          <w:numId w:val="29"/>
        </w:numPr>
        <w:ind w:left="0" w:firstLine="709"/>
        <w:jc w:val="both"/>
        <w:rPr>
          <w:bCs/>
        </w:rPr>
      </w:pPr>
      <w:r>
        <w:rPr>
          <w:bCs/>
        </w:rPr>
        <w:t>подающее предприятие;</w:t>
      </w:r>
    </w:p>
    <w:p>
      <w:pPr>
        <w:pStyle w:val="Normal"/>
        <w:numPr>
          <w:ilvl w:val="0"/>
          <w:numId w:val="29"/>
        </w:numPr>
        <w:ind w:left="0" w:firstLine="709"/>
        <w:jc w:val="both"/>
        <w:rPr>
          <w:bCs/>
          <w:lang w:val="ru-RU"/>
        </w:rPr>
      </w:pPr>
      <w:r>
        <w:rPr>
          <w:bCs/>
          <w:lang w:val="ru-RU"/>
        </w:rPr>
        <w:t>оборудование, по которому фиксируется изменение эксплуатационного состояния или технологического режима работы;</w:t>
      </w:r>
    </w:p>
    <w:p>
      <w:pPr>
        <w:pStyle w:val="Normal"/>
        <w:numPr>
          <w:ilvl w:val="0"/>
          <w:numId w:val="29"/>
        </w:numPr>
        <w:ind w:left="0" w:firstLine="709"/>
        <w:jc w:val="both"/>
        <w:rPr>
          <w:bCs/>
        </w:rPr>
      </w:pPr>
      <w:r>
        <w:rPr>
          <w:bCs/>
        </w:rPr>
        <w:t>величина снижения максимальной мощности;</w:t>
      </w:r>
    </w:p>
    <w:p>
      <w:pPr>
        <w:pStyle w:val="Normal"/>
        <w:numPr>
          <w:ilvl w:val="0"/>
          <w:numId w:val="29"/>
        </w:numPr>
        <w:ind w:left="0" w:firstLine="709"/>
        <w:jc w:val="both"/>
        <w:rPr>
          <w:bCs/>
        </w:rPr>
      </w:pPr>
      <w:r>
        <w:rPr>
          <w:bCs/>
        </w:rPr>
        <w:t>содержание работ;</w:t>
      </w:r>
    </w:p>
    <w:p>
      <w:pPr>
        <w:pStyle w:val="Normal"/>
        <w:numPr>
          <w:ilvl w:val="0"/>
          <w:numId w:val="29"/>
        </w:numPr>
        <w:ind w:left="0" w:firstLine="709"/>
        <w:jc w:val="both"/>
        <w:rPr>
          <w:bCs/>
        </w:rPr>
      </w:pPr>
      <w:r>
        <w:rPr>
          <w:bCs/>
        </w:rPr>
        <w:t>время подачи заявки;</w:t>
      </w:r>
    </w:p>
    <w:p>
      <w:pPr>
        <w:pStyle w:val="Normal"/>
        <w:numPr>
          <w:ilvl w:val="0"/>
          <w:numId w:val="29"/>
        </w:numPr>
        <w:ind w:left="0" w:firstLine="709"/>
        <w:jc w:val="both"/>
        <w:rPr>
          <w:bCs/>
          <w:lang w:val="ru-RU"/>
        </w:rPr>
      </w:pPr>
      <w:r>
        <w:rPr>
          <w:bCs/>
          <w:lang w:val="ru-RU"/>
        </w:rPr>
        <w:t>время начала и конца действия заявки и др.</w:t>
      </w:r>
    </w:p>
    <w:p>
      <w:pPr>
        <w:pStyle w:val="Normal"/>
        <w:spacing w:before="120" w:after="20"/>
        <w:ind w:firstLine="709"/>
        <w:jc w:val="both"/>
        <w:rPr>
          <w:lang w:val="ru-RU"/>
        </w:rPr>
      </w:pPr>
      <w:r>
        <w:rPr>
          <w:lang w:val="ru-RU"/>
        </w:rPr>
        <w:t>2.</w:t>
        <w:tab/>
      </w:r>
      <w:r>
        <w:rPr>
          <w:sz w:val="24"/>
          <w:szCs w:val="24"/>
          <w:lang w:val="ru-RU"/>
        </w:rPr>
        <w: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w:t>
      </w:r>
      <w:r>
        <w:rPr>
          <w:rFonts w:eastAsia="Times New Roman" w:cs="Times New Roman"/>
          <w:color w:val="auto"/>
          <w:kern w:val="0"/>
          <w:sz w:val="24"/>
          <w:szCs w:val="24"/>
          <w:lang w:val="ru-RU" w:eastAsia="ru-RU" w:bidi="ar-SA"/>
        </w:rPr>
        <w:t>«</w:t>
      </w:r>
      <w:r>
        <w:rPr>
          <w:sz w:val="24"/>
          <w:szCs w:val="24"/>
          <w:lang w:val="ru-RU"/>
        </w:rPr>
        <w:t>Порядка установления соответствия генерирующего оборудования участников оптового рынка техническим требованиям</w:t>
      </w:r>
      <w:r>
        <w:rPr>
          <w:rFonts w:eastAsia="Times New Roman" w:cs="Times New Roman"/>
          <w:color w:val="auto"/>
          <w:kern w:val="0"/>
          <w:sz w:val="24"/>
          <w:szCs w:val="24"/>
          <w:lang w:val="ru-RU" w:eastAsia="ru-RU" w:bidi="ar-SA"/>
        </w:rPr>
        <w:t>»</w:t>
      </w:r>
      <w:r>
        <w:rPr>
          <w:sz w:val="24"/>
          <w:szCs w:val="24"/>
          <w:lang w:val="ru-RU"/>
        </w:rPr>
        <w:t xml:space="preserve">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t>
      </w:r>
      <w:r>
        <w:rPr/>
      </w:r>
      <m:oMath xmlns:m="http://schemas.openxmlformats.org/officeDocument/2006/math"/>
      <w:r>
        <w:rPr>
          <w:rFonts w:eastAsia="Times New Roman" w:cs="Times New Roman"/>
          <w:sz w:val="24"/>
          <w:szCs w:val="24"/>
          <w:lang w:val="ru-RU"/>
        </w:rPr>
        <w:t xml:space="preserve"> </w:t>
      </w:r>
    </w:p>
    <w:p>
      <w:pPr>
        <w:pStyle w:val="Normal"/>
        <w:spacing w:lineRule="auto" w:line="240" w:before="20" w:after="20"/>
        <w:ind w:firstLine="709"/>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m:t>
                </m:r>
              </m:sub>
              <m:sup>
                <m:r>
                  <w:rPr>
                    <w:rFonts w:ascii="Cambria Math" w:hAnsi="Cambria Math"/>
                  </w:rPr>
                  <m:t xml:space="preserve">1</m:t>
                </m:r>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 xml:space="preserve">величина согласованных ограничений установленной мощности в пределах, заявленных по процедуре конкурентного отбора мощности (КОМ); </w:t>
      </w:r>
    </w:p>
    <w:p>
      <w:pPr>
        <w:pStyle w:val="Normal"/>
        <w:spacing w:lineRule="auto" w:line="276" w:before="1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m:t>
                </m:r>
              </m:sub>
              <m:sup>
                <m:r>
                  <w:rPr>
                    <w:rFonts w:ascii="Cambria Math" w:hAnsi="Cambria Math"/>
                  </w:rPr>
                  <m:t xml:space="preserve">2</m:t>
                </m:r>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согласованных ограничений установленной мощности сверх, заявленных в КОМ;</w:t>
      </w:r>
    </w:p>
    <w:p>
      <w:pPr>
        <w:pStyle w:val="Normal"/>
        <w:spacing w:lineRule="auto" w:line="276" w:before="20" w:after="20"/>
        <w:ind w:firstLine="709"/>
        <w:jc w:val="both"/>
        <w:rPr>
          <w:sz w:val="24"/>
          <w:szCs w:val="24"/>
        </w:rPr>
      </w:pPr>
      <w: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8"/>
                    <a:srcRect l="-222" t="-329" r="-222" b="-329"/>
                    <a:stretch>
                      <a:fillRect/>
                    </a:stretch>
                  </pic:blipFill>
                  <pic:spPr bwMode="auto">
                    <a:xfrm>
                      <a:off x="0" y="0"/>
                      <a:ext cx="323850" cy="21907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согласованного планового ремонтного снижения мощности;</w:t>
      </w:r>
    </w:p>
    <w:p>
      <w:pPr>
        <w:pStyle w:val="Normal"/>
        <w:spacing w:lineRule="auto" w:line="276" w:before="20" w:after="20"/>
        <w:ind w:firstLine="709"/>
        <w:jc w:val="both"/>
        <w:rPr>
          <w:sz w:val="24"/>
          <w:szCs w:val="24"/>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,h</m:t>
            </m:r>
          </m:sub>
          <m:sup>
            <m:r>
              <w:rPr>
                <w:rFonts w:ascii="Cambria Math" w:hAnsi="Cambria Math"/>
              </w:rPr>
              <m:t xml:space="preserve">j</m:t>
            </m:r>
          </m:sup>
        </m:sSub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lineRule="auto" w:line="276" w:before="20" w:after="20"/>
        <w:ind w:firstLine="709"/>
        <w:jc w:val="both"/>
        <w:rPr>
          <w:sz w:val="24"/>
          <w:szCs w:val="24"/>
        </w:rPr>
      </w:pPr>
      <w:r>
        <w:rPr/>
      </w:r>
      <m:oMath xmlns:m="http://schemas.openxmlformats.org/officeDocument/2006/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итоговое значение согласованного планового ремонтного снижения располагаемой мощности;</w:t>
      </w:r>
    </w:p>
    <w:p>
      <w:pPr>
        <w:pStyle w:val="Normal"/>
        <w:spacing w:lineRule="auto" w:line="276" w:before="20" w:after="20"/>
        <w:ind w:firstLine="709"/>
        <w:jc w:val="both"/>
        <w:rPr>
          <w:sz w:val="24"/>
          <w:szCs w:val="24"/>
        </w:rPr>
      </w:pPr>
      <w:r>
        <w:rPr>
          <w:rFonts w:eastAsia="Times New Roman" w:cs="Times New Roman"/>
          <w:sz w:val="24"/>
          <w:szCs w:val="24"/>
        </w:rPr>
        <w:t xml:space="preserve"> </w:t>
      </w:r>
      <w:r>
        <w:rPr/>
      </w:r>
      <m:oMath xmlns:m="http://schemas.openxmlformats.org/officeDocument/2006/math">
        <m:sSubSup>
          <m:e>
            <m:r>
              <w:rPr>
                <w:rFonts w:ascii="Cambria Math" w:hAnsi="Cambria Math"/>
              </w:rPr>
              <m:t xml:space="preserve">∆</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r>
              <m:rPr>
                <m:lit/>
                <m:nor/>
              </m:rPr>
              <w:rPr>
                <w:rFonts w:ascii="Cambria Math" w:hAnsi="Cambria Math"/>
              </w:rPr>
              <m:t xml:space="preserve">,h</m:t>
            </m:r>
          </m:sub>
          <m:sup>
            <m:r>
              <w:rPr>
                <w:rFonts w:ascii="Cambria Math" w:hAnsi="Cambria Math"/>
              </w:rPr>
              <m:t xml:space="preserve">j</m:t>
            </m:r>
          </m:sup>
        </m:sSub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плановое ремонтное снижение мощности по модернизируемым генерирующим объектом вне установленных сроков;</w:t>
      </w:r>
    </w:p>
    <w:p>
      <w:pPr>
        <w:pStyle w:val="Normal"/>
        <w:spacing w:lineRule="auto" w:line="276" w:before="20" w:after="20"/>
        <w:ind w:firstLine="709"/>
        <w:jc w:val="both"/>
        <w:rPr>
          <w:sz w:val="24"/>
          <w:szCs w:val="24"/>
        </w:rPr>
      </w:pPr>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9"/>
                    <a:stretch>
                      <a:fillRect/>
                    </a:stretch>
                  </pic:blipFill>
                  <pic:spPr bwMode="auto">
                    <a:xfrm>
                      <a:off x="0" y="0"/>
                      <a:ext cx="545465" cy="27305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t>
      </w:r>
    </w:p>
    <w:p>
      <w:pPr>
        <w:pStyle w:val="Normal"/>
        <w:spacing w:lineRule="auto" w:line="276" w:before="20" w:after="20"/>
        <w:ind w:firstLine="709"/>
        <w:jc w:val="both"/>
        <w:rPr>
          <w:sz w:val="24"/>
          <w:szCs w:val="24"/>
        </w:rPr>
      </w:pPr>
      <w: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20"/>
                    <a:stretch>
                      <a:fillRect/>
                    </a:stretch>
                  </pic:blipFill>
                  <pic:spPr bwMode="auto">
                    <a:xfrm>
                      <a:off x="0" y="0"/>
                      <a:ext cx="524510" cy="26606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lineRule="auto" w:line="276" w:before="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m:rPr>
                    <m:lit/>
                    <m:nor/>
                  </m:rPr>
                  <w:rPr>
                    <w:rFonts w:ascii="Cambria Math" w:hAnsi="Cambria Math"/>
                  </w:rPr>
                  <m:t xml:space="preserve">2_max,</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pPr>
        <w:pStyle w:val="Normal"/>
        <w:spacing w:lineRule="auto" w:line="276" w:before="20" w:after="20"/>
        <w:ind w:firstLine="709"/>
        <w:jc w:val="both"/>
        <w:rPr>
          <w:sz w:val="24"/>
          <w:szCs w:val="24"/>
        </w:rPr>
      </w:pPr>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21"/>
                    <a:stretch>
                      <a:fillRect/>
                    </a:stretch>
                  </pic:blipFill>
                  <pic:spPr bwMode="auto">
                    <a:xfrm>
                      <a:off x="0" y="0"/>
                      <a:ext cx="532130" cy="27241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t>
      </w:r>
    </w:p>
    <w:p>
      <w:pPr>
        <w:pStyle w:val="Normal"/>
        <w:spacing w:lineRule="auto" w:line="276" w:before="20" w:after="20"/>
        <w:ind w:firstLine="709"/>
        <w:jc w:val="both"/>
        <w:rPr>
          <w:sz w:val="24"/>
          <w:szCs w:val="24"/>
        </w:rPr>
      </w:pPr>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22"/>
                    <a:stretch>
                      <a:fillRect/>
                    </a:stretch>
                  </pic:blipFill>
                  <pic:spPr bwMode="auto">
                    <a:xfrm>
                      <a:off x="0" y="0"/>
                      <a:ext cx="526415" cy="26289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lineRule="auto" w:line="276" w:before="20" w:after="20"/>
        <w:ind w:firstLine="709"/>
        <w:jc w:val="both"/>
        <w:rPr>
          <w:sz w:val="24"/>
          <w:szCs w:val="24"/>
        </w:rPr>
      </w:pPr>
      <w:r>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23"/>
                    <a:stretch>
                      <a:fillRect/>
                    </a:stretch>
                  </pic:blipFill>
                  <pic:spPr bwMode="auto">
                    <a:xfrm>
                      <a:off x="0" y="0"/>
                      <a:ext cx="620395" cy="32004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24"/>
                    <a:stretch>
                      <a:fillRect/>
                    </a:stretch>
                  </pic:blipFill>
                  <pic:spPr bwMode="auto">
                    <a:xfrm>
                      <a:off x="0" y="0"/>
                      <a:ext cx="526415" cy="26289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25"/>
                    <a:stretch>
                      <a:fillRect/>
                    </a:stretch>
                  </pic:blipFill>
                  <pic:spPr bwMode="auto">
                    <a:xfrm>
                      <a:off x="0" y="0"/>
                      <a:ext cx="511810" cy="24130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lineRule="auto" w:line="276" w:before="20" w:after="20"/>
        <w:ind w:firstLine="709"/>
        <w:jc w:val="both"/>
        <w:rPr>
          <w:sz w:val="24"/>
          <w:szCs w:val="24"/>
        </w:rPr>
      </w:pPr>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26"/>
                    <a:stretch>
                      <a:fillRect/>
                    </a:stretch>
                  </pic:blipFill>
                  <pic:spPr bwMode="auto">
                    <a:xfrm>
                      <a:off x="0" y="0"/>
                      <a:ext cx="497205" cy="24066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lineRule="auto" w:line="276" w:before="20" w:after="20"/>
        <w:ind w:firstLine="709"/>
        <w:jc w:val="both"/>
        <w:rPr>
          <w:sz w:val="24"/>
          <w:szCs w:val="24"/>
        </w:rPr>
      </w:pPr>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27"/>
                    <a:stretch>
                      <a:fillRect/>
                    </a:stretch>
                  </pic:blipFill>
                  <pic:spPr bwMode="auto">
                    <a:xfrm>
                      <a:off x="0" y="0"/>
                      <a:ext cx="914400" cy="28511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lineRule="auto" w:line="276" w:before="20" w:after="20"/>
        <w:ind w:firstLine="709"/>
        <w:jc w:val="both"/>
        <w:rPr>
          <w:sz w:val="24"/>
          <w:szCs w:val="24"/>
        </w:rPr>
      </w:pPr>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8"/>
                    <a:stretch>
                      <a:fillRect/>
                    </a:stretch>
                  </pic:blipFill>
                  <pic:spPr bwMode="auto">
                    <a:xfrm>
                      <a:off x="0" y="0"/>
                      <a:ext cx="1052830" cy="35750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согласованном увеличении времени включения в сеть;</w:t>
      </w:r>
    </w:p>
    <w:p>
      <w:pPr>
        <w:pStyle w:val="Normal"/>
        <w:spacing w:lineRule="auto" w:line="276" w:before="20" w:after="20"/>
        <w:ind w:firstLine="709"/>
        <w:jc w:val="both"/>
        <w:rPr>
          <w:sz w:val="24"/>
          <w:szCs w:val="24"/>
        </w:rPr>
      </w:pPr>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9"/>
                    <a:stretch>
                      <a:fillRect/>
                    </a:stretch>
                  </pic:blipFill>
                  <pic:spPr bwMode="auto">
                    <a:xfrm>
                      <a:off x="0" y="0"/>
                      <a:ext cx="958215" cy="31369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lineRule="auto" w:line="240" w:before="20" w:after="20"/>
        <w:ind w:firstLine="709"/>
        <w:rPr>
          <w:sz w:val="24"/>
          <w:szCs w:val="24"/>
        </w:rPr>
      </w:pPr>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30"/>
                    <a:stretch>
                      <a:fillRect/>
                    </a:stretch>
                  </pic:blipFill>
                  <pic:spPr bwMode="auto">
                    <a:xfrm>
                      <a:off x="0" y="0"/>
                      <a:ext cx="368300" cy="28575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lineRule="auto" w:line="240" w:before="120" w:after="20"/>
        <w:ind w:firstLine="709"/>
        <w:rPr>
          <w:sz w:val="24"/>
          <w:szCs w:val="24"/>
        </w:rPr>
      </w:pPr>
      <w:r>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31"/>
                    <a:stretch>
                      <a:fillRect/>
                    </a:stretch>
                  </pic:blipFill>
                  <pic:spPr bwMode="auto">
                    <a:xfrm>
                      <a:off x="0" y="0"/>
                      <a:ext cx="336550" cy="267335"/>
                    </a:xfrm>
                    <a:prstGeom prst="rect">
                      <a:avLst/>
                    </a:prstGeom>
                  </pic:spPr>
                </pic:pic>
              </a:graphicData>
            </a:graphic>
          </wp:inline>
        </w:drawing>
      </w:r>
      <w:r>
        <w:rPr>
          <w:sz w:val="24"/>
          <w:szCs w:val="24"/>
        </w:rPr>
        <w:t>, соответствующие объемам невыполнения требований в месяце, определяется по формуле:</w:t>
      </w:r>
    </w:p>
    <w:p>
      <w:pPr>
        <w:pStyle w:val="Normal"/>
        <w:spacing w:lineRule="auto" w:line="240" w:before="20" w:after="20"/>
        <w:jc w:val="center"/>
        <w:rPr>
          <w:sz w:val="24"/>
          <w:szCs w:val="24"/>
        </w:rPr>
      </w:pPr>
      <w:r>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32"/>
                    <a:stretch>
                      <a:fillRect/>
                    </a:stretch>
                  </pic:blipFill>
                  <pic:spPr bwMode="auto">
                    <a:xfrm>
                      <a:off x="0" y="0"/>
                      <a:ext cx="1371600" cy="673100"/>
                    </a:xfrm>
                    <a:prstGeom prst="rect">
                      <a:avLst/>
                    </a:prstGeom>
                  </pic:spPr>
                </pic:pic>
              </a:graphicData>
            </a:graphic>
          </wp:inline>
        </w:drawing>
      </w:r>
    </w:p>
    <w:p>
      <w:pPr>
        <w:pStyle w:val="Normal"/>
        <w:spacing w:lineRule="auto" w:line="240" w:before="20" w:after="20"/>
        <w:ind w:firstLine="709"/>
        <w:rPr>
          <w:sz w:val="24"/>
          <w:szCs w:val="24"/>
        </w:rPr>
      </w:pPr>
      <w:r>
        <w:rPr>
          <w:sz w:val="24"/>
          <w:szCs w:val="24"/>
        </w:rPr>
        <w:t>где:</w:t>
      </w:r>
    </w:p>
    <w:p>
      <w:pPr>
        <w:pStyle w:val="Normal"/>
        <w:spacing w:lineRule="auto" w:line="240" w:before="20" w:after="20"/>
        <w:ind w:firstLine="709"/>
        <w:rPr>
          <w:sz w:val="24"/>
          <w:szCs w:val="24"/>
        </w:rPr>
      </w:pPr>
      <w:r>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33"/>
                    <a:stretch>
                      <a:fillRect/>
                    </a:stretch>
                  </pic:blipFill>
                  <pic:spPr bwMode="auto">
                    <a:xfrm>
                      <a:off x="0" y="0"/>
                      <a:ext cx="293370" cy="267335"/>
                    </a:xfrm>
                    <a:prstGeom prst="rect">
                      <a:avLst/>
                    </a:prstGeom>
                  </pic:spPr>
                </pic:pic>
              </a:graphicData>
            </a:graphic>
          </wp:inline>
        </w:drawing>
      </w:r>
      <w:r>
        <w:rPr>
          <w:sz w:val="24"/>
          <w:szCs w:val="24"/>
        </w:rPr>
        <w:t xml:space="preserve"> – </w:t>
      </w:r>
      <w:r>
        <w:rPr>
          <w:sz w:val="24"/>
          <w:szCs w:val="24"/>
        </w:rPr>
        <w:t>значения снижения мощности ГТПГ, установленные СО в ГРМ;</w:t>
      </w:r>
    </w:p>
    <w:p>
      <w:pPr>
        <w:pStyle w:val="Normal"/>
        <w:spacing w:lineRule="auto" w:line="240" w:before="20" w:after="20"/>
        <w:ind w:firstLine="709"/>
        <w:rPr>
          <w:sz w:val="24"/>
          <w:szCs w:val="24"/>
        </w:rPr>
      </w:pPr>
      <w:r>
        <w:rPr>
          <w:sz w:val="24"/>
          <w:szCs w:val="24"/>
        </w:rPr>
        <w:t xml:space="preserve">Н – количество часов, соответствующее расчетному месяцу m. </w:t>
      </w:r>
    </w:p>
    <w:p>
      <w:pPr>
        <w:pStyle w:val="Normal"/>
        <w:spacing w:lineRule="auto" w:line="240" w:before="20" w:after="20"/>
        <w:ind w:firstLine="709"/>
        <w:rPr>
          <w:sz w:val="24"/>
          <w:szCs w:val="24"/>
        </w:rPr>
      </w:pPr>
      <w:r>
        <w:rPr>
          <w:sz w:val="24"/>
          <w:szCs w:val="24"/>
        </w:rPr>
      </w:r>
    </w:p>
    <w:p>
      <w:pPr>
        <w:pStyle w:val="Normal"/>
        <w:spacing w:lineRule="auto" w:line="240" w:before="20" w:after="20"/>
        <w:ind w:firstLine="709"/>
        <w:rPr>
          <w:sz w:val="24"/>
          <w:szCs w:val="24"/>
        </w:rPr>
      </w:pPr>
      <w:r>
        <w:rPr>
          <w:sz w:val="24"/>
          <w:szCs w:val="24"/>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lineRule="auto" w:line="240" w:before="120" w:after="20"/>
        <w:ind w:firstLine="709"/>
        <w:rPr>
          <w:sz w:val="24"/>
          <w:szCs w:val="24"/>
        </w:rPr>
      </w:pPr>
      <w:r>
        <w:rPr>
          <w:sz w:val="24"/>
          <w:szCs w:val="24"/>
        </w:rPr>
        <w:t>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t>
      </w:r>
    </w:p>
    <w:p>
      <w:pPr>
        <w:pStyle w:val="Normal"/>
        <w:spacing w:lineRule="auto" w:line="240" w:before="20" w:after="20"/>
        <w:ind w:firstLine="709"/>
        <w:rPr>
          <w:sz w:val="24"/>
          <w:szCs w:val="24"/>
        </w:rPr>
      </w:pPr>
      <w:r>
        <w:rPr>
          <w:sz w:val="24"/>
          <w:szCs w:val="24"/>
        </w:rPr>
      </w:r>
    </w:p>
    <w:p>
      <w:pPr>
        <w:pStyle w:val="Normal"/>
        <w:spacing w:lineRule="auto" w:line="240" w:before="20" w:after="20"/>
        <w:ind w:firstLine="709"/>
        <w:rPr>
          <w:sz w:val="24"/>
          <w:szCs w:val="24"/>
        </w:rPr>
      </w:pPr>
      <w:r>
        <w:rPr/>
      </w:r>
      <m:oMath xmlns:m="http://schemas.openxmlformats.org/officeDocument/2006/math"/>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oMath>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Б1</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Б2</m:t>
            </m:r>
          </m:sub>
        </m:sSub>
      </m:oMath>
      <w:r>
        <w:rPr/>
      </w:r>
      <m:oMath xmlns:m="http://schemas.openxmlformats.org/officeDocument/2006/math"/>
      <w:r>
        <w:rPr/>
      </w:r>
      <m:oMath xmlns:m="http://schemas.openxmlformats.org/officeDocument/2006/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В2</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В3</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Г1</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Г2</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Г3</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Д</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Е</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Ж</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З</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И</m:t>
            </m:r>
          </m:sub>
        </m:sSub>
      </m:oMath>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гот,j</m:t>
                </m:r>
              </m:sup>
            </m:sSubSup>
          </m:sub>
        </m:sSub>
        <m:r>
          <w:rPr>
            <w:rFonts w:ascii="Cambria Math" w:hAnsi="Cambria Math"/>
          </w:rPr>
          <m:t xml:space="preserve">=</m:t>
        </m:r>
        <m:nary>
          <m:naryPr>
            <m:chr m:val="∑"/>
            <m:supHide m:val="1"/>
          </m:naryPr>
          <m:sub>
            <m:r>
              <w:rPr>
                <w:rFonts w:ascii="Cambria Math" w:hAnsi="Cambria Math"/>
              </w:rPr>
              <m:t xml:space="preserve">n</m:t>
            </m:r>
          </m:sub>
          <m:sup/>
          <m:e>
            <m:d>
              <m:dPr>
                <m:begChr m:val="("/>
                <m:endChr m:val=")"/>
              </m:dPr>
              <m:e>
                <m:sSub>
                  <m:e>
                    <m:r>
                      <w:rPr>
                        <w:rFonts w:ascii="Cambria Math" w:hAnsi="Cambria Math"/>
                      </w:rPr>
                      <m:t xml:space="preserve">k</m:t>
                    </m:r>
                  </m:e>
                  <m:sub>
                    <m:r>
                      <w:rPr>
                        <w:rFonts w:ascii="Cambria Math" w:hAnsi="Cambria Math"/>
                      </w:rPr>
                      <m:t xml:space="preserve">n</m:t>
                    </m:r>
                  </m:sub>
                </m:sSub>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n</m:t>
                        </m:r>
                      </m:sub>
                    </m:sSub>
                  </m:sup>
                </m:sSup>
              </m:e>
            </m:d>
            <m:r>
              <w:rPr>
                <w:rFonts w:ascii="Cambria Math" w:hAnsi="Cambria Math"/>
              </w:rPr>
              <m:t xml:space="preserve">+</m:t>
            </m:r>
            <m:nary>
              <m:naryPr>
                <m:chr m:val="∑"/>
                <m:supHide m:val="1"/>
              </m:naryPr>
              <m:sub>
                <m:r>
                  <w:rPr>
                    <w:rFonts w:ascii="Cambria Math" w:hAnsi="Cambria Math"/>
                  </w:rPr>
                  <m:t xml:space="preserve">l</m:t>
                </m:r>
              </m:sub>
              <m:sup/>
              <m:e>
                <m:d>
                  <m:dPr>
                    <m:begChr m:val="("/>
                    <m:endChr m:val=")"/>
                  </m:dPr>
                  <m:e>
                    <m:sSub>
                      <m:e>
                        <m:r>
                          <w:rPr>
                            <w:rFonts w:ascii="Cambria Math" w:hAnsi="Cambria Math"/>
                          </w:rPr>
                          <m:t xml:space="preserve">k</m:t>
                        </m:r>
                      </m:e>
                      <m:sub>
                        <m:r>
                          <w:rPr>
                            <w:rFonts w:ascii="Cambria Math" w:hAnsi="Cambria Math"/>
                          </w:rPr>
                          <m:t xml:space="preserve">l</m:t>
                        </m:r>
                      </m:sub>
                    </m:sSub>
                    <m:r>
                      <w:rPr>
                        <w:rFonts w:ascii="Cambria Math" w:hAnsi="Cambria Math"/>
                      </w:rPr>
                      <m:t xml:space="preserve">⋅</m:t>
                    </m:r>
                    <m:sSubSup>
                      <m:e>
                        <m:r>
                          <w:rPr>
                            <w:rFonts w:ascii="Cambria Math" w:hAnsi="Cambria Math"/>
                          </w:rPr>
                          <m:t xml:space="preserve">k</m:t>
                        </m:r>
                      </m:e>
                      <m:sub>
                        <m:r>
                          <m:rPr>
                            <m:lit/>
                            <m:nor/>
                          </m:rPr>
                          <w:rPr>
                            <w:rFonts w:ascii="Cambria Math" w:hAnsi="Cambria Math"/>
                          </w:rPr>
                          <m:t xml:space="preserve">диф,m</m:t>
                        </m:r>
                      </m:sub>
                      <m:sup>
                        <m:r>
                          <w:rPr>
                            <w:rFonts w:ascii="Cambria Math" w:hAnsi="Cambria Math"/>
                          </w:rPr>
                          <m:t xml:space="preserve">j</m:t>
                        </m:r>
                      </m:sup>
                    </m:sSubSup>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l</m:t>
                            </m:r>
                          </m:sub>
                        </m:sSub>
                      </m:sup>
                    </m:sSup>
                  </m:e>
                </m:d>
              </m:e>
            </m:nary>
          </m:e>
        </m:nary>
      </m:oMath>
    </w:p>
    <w:p>
      <w:pPr>
        <w:pStyle w:val="Normal"/>
        <w:spacing w:lineRule="auto" w:line="276" w:before="0" w:after="200"/>
        <w:ind w:firstLine="709"/>
        <w:rPr>
          <w:rFonts w:ascii="Times New Roman" w:hAnsi="Times New Roman" w:eastAsia="Arial" w:cs="Times New Roman"/>
          <w:sz w:val="24"/>
          <w:szCs w:val="24"/>
        </w:rPr>
      </w:pPr>
      <w:r>
        <w:rPr>
          <w:rFonts w:eastAsia="Arial" w:cs="Times New Roman"/>
          <w:sz w:val="24"/>
          <w:szCs w:val="24"/>
        </w:rPr>
        <w:t>где:</w:t>
        <w:tab/>
      </w:r>
    </w:p>
    <w:p>
      <w:pPr>
        <w:pStyle w:val="Normal"/>
        <w:numPr>
          <w:ilvl w:val="0"/>
          <w:numId w:val="0"/>
        </w:numPr>
        <w:spacing w:lineRule="auto" w:line="276" w:before="120" w:after="120"/>
        <w:ind w:left="0" w:firstLine="567"/>
        <w:jc w:val="both"/>
        <w:outlineLvl w:val="3"/>
        <w:rPr>
          <w:sz w:val="24"/>
          <w:szCs w:val="24"/>
        </w:rPr>
      </w:pPr>
      <w: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34"/>
                    <a:stretch>
                      <a:fillRect/>
                    </a:stretch>
                  </pic:blipFill>
                  <pic:spPr bwMode="auto">
                    <a:xfrm>
                      <a:off x="0" y="0"/>
                      <a:ext cx="185420" cy="228600"/>
                    </a:xfrm>
                    <a:prstGeom prst="rect">
                      <a:avLst/>
                    </a:prstGeom>
                  </pic:spPr>
                </pic:pic>
              </a:graphicData>
            </a:graphic>
          </wp:inline>
        </w:drawing>
      </w:r>
      <w:r>
        <w:rPr>
          <w:rFonts w:eastAsia="Times New Roman" w:cs="Times New Roman"/>
          <w:sz w:val="24"/>
          <w:szCs w:val="24"/>
        </w:rPr>
        <w:t xml:space="preserve"> </w:t>
      </w:r>
      <w:r>
        <w:rPr>
          <w:rFonts w:eastAsia="Arial" w:cs="Times New Roman"/>
          <w:sz w:val="24"/>
          <w:szCs w:val="24"/>
        </w:rPr>
        <w:t>―</w:t>
      </w:r>
      <w:r>
        <w:rPr>
          <w:rFonts w:eastAsia="Times New Roman" w:cs="Times New Roman"/>
          <w:sz w:val="24"/>
          <w:szCs w:val="24"/>
        </w:rPr>
        <w:t xml:space="preserve"> </w:t>
      </w:r>
      <w:r>
        <w:rPr>
          <w:rFonts w:eastAsia="Arial" w:cs="Times New Roman"/>
          <w:sz w:val="24"/>
          <w:szCs w:val="24"/>
        </w:rPr>
        <w:t xml:space="preserve">коэффициенты </w:t>
      </w:r>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1</m:t>
            </m:r>
          </m:sub>
        </m:sSub>
      </m:oMath>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2</m:t>
            </m:r>
          </m:sub>
        </m:sSub>
      </m:oMath>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rFonts w:cs="Times New Roman"/>
          <w:sz w:val="24"/>
          <w:szCs w:val="24"/>
        </w:rPr>
        <w:t>)</w:t>
      </w:r>
    </w:p>
    <w:p>
      <w:pPr>
        <w:pStyle w:val="Normal"/>
        <w:numPr>
          <w:ilvl w:val="0"/>
          <w:numId w:val="0"/>
        </w:numPr>
        <w:spacing w:lineRule="auto" w:line="276" w:before="120" w:after="120"/>
        <w:ind w:left="0" w:firstLine="567"/>
        <w:jc w:val="both"/>
        <w:outlineLvl w:val="3"/>
        <w:rPr>
          <w:sz w:val="24"/>
          <w:szCs w:val="24"/>
        </w:rPr>
      </w:pPr>
      <w: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35"/>
                    <a:stretch>
                      <a:fillRect/>
                    </a:stretch>
                  </pic:blipFill>
                  <pic:spPr bwMode="auto">
                    <a:xfrm>
                      <a:off x="0" y="0"/>
                      <a:ext cx="184785" cy="277495"/>
                    </a:xfrm>
                    <a:prstGeom prst="rect">
                      <a:avLst/>
                    </a:prstGeom>
                  </pic:spPr>
                </pic:pic>
              </a:graphicData>
            </a:graphic>
          </wp:inline>
        </w:drawing>
      </w:r>
      <w:r>
        <w:rPr>
          <w:rFonts w:eastAsia="Times New Roman" w:cs="Times New Roman"/>
          <w:sz w:val="24"/>
          <w:szCs w:val="24"/>
        </w:rPr>
        <w:t xml:space="preserve"> </w:t>
      </w:r>
      <w:r>
        <w:rPr>
          <w:rFonts w:eastAsia="Arial" w:cs="Times New Roman"/>
          <w:sz w:val="24"/>
          <w:szCs w:val="24"/>
        </w:rPr>
        <w:t>―</w:t>
      </w:r>
      <w:r>
        <w:rPr>
          <w:rFonts w:eastAsia="Times New Roman" w:cs="Times New Roman"/>
          <w:sz w:val="24"/>
          <w:szCs w:val="24"/>
        </w:rPr>
        <w:t xml:space="preserve"> </w:t>
      </w:r>
      <w:r>
        <w:rPr>
          <w:rFonts w:eastAsia="Arial" w:cs="Times New Roman"/>
          <w:sz w:val="24"/>
          <w:szCs w:val="24"/>
        </w:rPr>
        <w:t>коэффициенты (</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2</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3</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4</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5</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6</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7</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1</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2</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9</m:t>
            </m:r>
          </m:sub>
        </m:sSub>
      </m:oMath>
      <w:r>
        <w:rPr>
          <w:rFonts w:eastAsia="Arial" w:cs="Times New Roman"/>
          <w:sz w:val="24"/>
          <w:szCs w:val="24"/>
        </w:rPr>
        <w:t xml:space="preserve">), </w:t>
      </w:r>
    </w:p>
    <w:p>
      <w:pPr>
        <w:pStyle w:val="Normal"/>
        <w:numPr>
          <w:ilvl w:val="0"/>
          <w:numId w:val="0"/>
        </w:numPr>
        <w:spacing w:lineRule="auto" w:line="276" w:before="120" w:after="120"/>
        <w:ind w:left="0" w:firstLine="567"/>
        <w:jc w:val="both"/>
        <w:outlineLvl w:val="3"/>
        <w:rPr>
          <w:sz w:val="24"/>
          <w:szCs w:val="24"/>
        </w:rPr>
      </w:pPr>
      <w:r>
        <w:rPr>
          <w:rFonts w:eastAsia="Arial" w:cs="Times New Roman"/>
          <w:sz w:val="24"/>
          <w:szCs w:val="24"/>
        </w:rPr>
        <w:t xml:space="preserve">определяемые для каждого из соответствующих им объемов невыполнения требований по готовности </w:t>
      </w:r>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36"/>
                    <a:stretch>
                      <a:fillRect/>
                    </a:stretch>
                  </pic:blipFill>
                  <pic:spPr bwMode="auto">
                    <a:xfrm>
                      <a:off x="0" y="0"/>
                      <a:ext cx="277495" cy="277495"/>
                    </a:xfrm>
                    <a:prstGeom prst="rect">
                      <a:avLst/>
                    </a:prstGeom>
                  </pic:spPr>
                </pic:pic>
              </a:graphicData>
            </a:graphic>
          </wp:inline>
        </w:drawing>
      </w:r>
      <w:r>
        <w:rPr>
          <w:rFonts w:eastAsia="Arial" w:cs="Times New Roman"/>
          <w:sz w:val="24"/>
          <w:szCs w:val="24"/>
        </w:rPr>
        <w: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t>
      </w:r>
    </w:p>
    <w:p>
      <w:pPr>
        <w:pStyle w:val="Normal"/>
        <w:numPr>
          <w:ilvl w:val="0"/>
          <w:numId w:val="0"/>
        </w:numPr>
        <w:spacing w:lineRule="auto" w:line="276" w:before="120" w:after="120"/>
        <w:ind w:left="0" w:firstLine="567"/>
        <w:jc w:val="both"/>
        <w:outlineLvl w:val="2"/>
        <w:rPr>
          <w:sz w:val="24"/>
          <w:szCs w:val="24"/>
        </w:rPr>
      </w:pPr>
      <w:r>
        <w:rPr>
          <w:rFonts w:eastAsia="Arial" w:cs="Times New Roman"/>
          <w:sz w:val="24"/>
          <w:szCs w:val="24"/>
        </w:rPr>
        <w:t xml:space="preserve">Для входящей в состав Дальневосточного федерального округа отдельной территории, ранее относившейся к неценовым зонам, </w:t>
      </w:r>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37"/>
                    <a:stretch>
                      <a:fillRect/>
                    </a:stretch>
                  </pic:blipFill>
                  <pic:spPr bwMode="auto">
                    <a:xfrm>
                      <a:off x="0" y="0"/>
                      <a:ext cx="636270" cy="278130"/>
                    </a:xfrm>
                    <a:prstGeom prst="rect">
                      <a:avLst/>
                    </a:prstGeom>
                  </pic:spPr>
                </pic:pic>
              </a:graphicData>
            </a:graphic>
          </wp:inline>
        </w:drawing>
      </w:r>
      <w:r>
        <w:rPr>
          <w:rFonts w:eastAsia="Arial" w:cs="Times New Roman"/>
          <w:sz w:val="24"/>
          <w:szCs w:val="24"/>
        </w:rPr>
        <w:t>.</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pPr>
        <w:pStyle w:val="Normal"/>
        <w:spacing w:lineRule="auto" w:line="276" w:before="0" w:after="200"/>
        <w:ind w:firstLine="567"/>
        <w:jc w:val="both"/>
        <w:rPr>
          <w:sz w:val="24"/>
          <w:szCs w:val="24"/>
        </w:rPr>
      </w:pPr>
      <w:r>
        <w:rPr>
          <w:rFonts w:eastAsia="Times New Roman" w:cs="Times New Roman"/>
          <w:sz w:val="24"/>
          <w:szCs w:val="24"/>
        </w:rPr>
        <w:t xml:space="preserve">  </w:t>
      </w:r>
      <w:r>
        <w:rPr>
          <w:rFonts w:eastAsia="Arial" w:cs="Times New Roman"/>
          <w:sz w:val="24"/>
          <w:szCs w:val="24"/>
        </w:rPr>
        <w:t xml:space="preserve">- </w:t>
      </w:r>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8"/>
                    <a:stretch>
                      <a:fillRect/>
                    </a:stretch>
                  </pic:blipFill>
                  <pic:spPr bwMode="auto">
                    <a:xfrm>
                      <a:off x="0" y="0"/>
                      <a:ext cx="474980" cy="302260"/>
                    </a:xfrm>
                    <a:prstGeom prst="rect">
                      <a:avLst/>
                    </a:prstGeom>
                  </pic:spPr>
                </pic:pic>
              </a:graphicData>
            </a:graphic>
          </wp:inline>
        </w:drawing>
      </w:r>
      <w:r>
        <w:rPr>
          <w:rFonts w:eastAsia="Arial" w:cs="Times New Roman"/>
          <w:sz w:val="24"/>
          <w:szCs w:val="24"/>
        </w:rPr>
        <w: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pPr>
        <w:pStyle w:val="Normal"/>
        <w:widowControl w:val="false"/>
        <w:spacing w:lineRule="auto" w:line="276" w:before="240" w:after="200"/>
        <w:jc w:val="both"/>
        <w:rPr>
          <w:sz w:val="24"/>
          <w:szCs w:val="24"/>
        </w:rPr>
      </w:pPr>
      <w:r>
        <w:rPr>
          <w:rFonts w:eastAsia="Arial" w:cs="Times New Roman"/>
          <w:sz w:val="24"/>
          <w:szCs w:val="24"/>
        </w:rPr>
        <w:t xml:space="preserve">- </w:t>
      </w:r>
      <w:r>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9"/>
                    <a:stretch>
                      <a:fillRect/>
                    </a:stretch>
                  </pic:blipFill>
                  <pic:spPr bwMode="auto">
                    <a:xfrm>
                      <a:off x="0" y="0"/>
                      <a:ext cx="457200" cy="302895"/>
                    </a:xfrm>
                    <a:prstGeom prst="rect">
                      <a:avLst/>
                    </a:prstGeom>
                  </pic:spPr>
                </pic:pic>
              </a:graphicData>
            </a:graphic>
          </wp:inline>
        </w:drawing>
      </w:r>
      <w:r>
        <w:rPr>
          <w:rFonts w:eastAsia="Arial" w:cs="Times New Roman"/>
          <w:sz w:val="24"/>
          <w:szCs w:val="24"/>
        </w:rPr>
        <w:t xml:space="preserve"> - сезонный коэффициент, рассчитанный для ценовой зоны оптового рынка (z) месяца (m); </w:t>
      </w:r>
    </w:p>
    <w:p>
      <w:pPr>
        <w:pStyle w:val="Normal"/>
        <w:widowControl/>
        <w:spacing w:before="120" w:after="20"/>
        <w:ind w:firstLine="709"/>
        <w:jc w:val="both"/>
        <w:rPr>
          <w:sz w:val="24"/>
          <w:szCs w:val="24"/>
        </w:rPr>
      </w:pPr>
      <w:r>
        <w:rPr>
          <w:rFonts w:eastAsia="Arial" w:cs="Times New Roman"/>
          <w:sz w:val="24"/>
          <w:szCs w:val="24"/>
        </w:rPr>
        <w:t xml:space="preserve">Стоимость недопоставки мощности (снижение оплаты мощности) рассчитывается как произведение объема недопоставки мощности </w:t>
      </w:r>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гот,j</m:t>
                </m:r>
              </m:sup>
            </m:sSubSup>
          </m:sub>
        </m:sSub>
      </m:oMath>
      <w:r>
        <w:rPr>
          <w:rFonts w:eastAsia="Arial" w:cs="Times New Roman"/>
          <w:sz w:val="24"/>
          <w:szCs w:val="24"/>
        </w:rPr>
        <w:t xml:space="preserve"> на цену </w:t>
      </w:r>
      <w: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40"/>
                    <a:srcRect l="-42" t="-65" r="-42" b="-65"/>
                    <a:stretch>
                      <a:fillRect/>
                    </a:stretch>
                  </pic:blipFill>
                  <pic:spPr bwMode="auto">
                    <a:xfrm>
                      <a:off x="0" y="0"/>
                      <a:ext cx="474980" cy="302260"/>
                    </a:xfrm>
                    <a:prstGeom prst="rect">
                      <a:avLst/>
                    </a:prstGeom>
                  </pic:spPr>
                </pic:pic>
              </a:graphicData>
            </a:graphic>
          </wp:inline>
        </w:drawing>
      </w:r>
      <w:r>
        <w:rPr>
          <w:rFonts w:eastAsia="Arial" w:cs="Times New Roman"/>
          <w:sz w:val="24"/>
          <w:szCs w:val="24"/>
        </w:rPr>
        <w:t xml:space="preserve"> и на коэффициент сезонности</w:t>
      </w:r>
      <w: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41"/>
                    <a:srcRect l="-43" t="-65" r="-43" b="-65"/>
                    <a:stretch>
                      <a:fillRect/>
                    </a:stretch>
                  </pic:blipFill>
                  <pic:spPr bwMode="auto">
                    <a:xfrm>
                      <a:off x="0" y="0"/>
                      <a:ext cx="457200" cy="302895"/>
                    </a:xfrm>
                    <a:prstGeom prst="rect">
                      <a:avLst/>
                    </a:prstGeom>
                  </pic:spPr>
                </pic:pic>
              </a:graphicData>
            </a:graphic>
          </wp:inline>
        </w:drawing>
      </w:r>
      <w:r>
        <w:rPr>
          <w:rFonts w:eastAsia="Arial" w:cs="Times New Roman"/>
          <w:sz w:val="24"/>
          <w:szCs w:val="24"/>
        </w:rPr>
        <w:t xml:space="preserve">. </w:t>
      </w:r>
    </w:p>
    <w:p>
      <w:pPr>
        <w:pStyle w:val="Normal"/>
        <w:spacing w:before="120" w:after="20"/>
        <w:ind w:firstLine="709"/>
        <w:jc w:val="both"/>
        <w:rPr>
          <w:lang w:val="ru-RU"/>
        </w:rPr>
      </w:pPr>
      <w:r>
        <w:rPr>
          <w:lang w:val="ru-RU"/>
        </w:rPr>
      </w:r>
    </w:p>
    <w:tbl>
      <w:tblPr>
        <w:tblW w:w="1375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rPr>
            </w:pPr>
            <w:r>
              <w:rPr>
                <w:b/>
              </w:rPr>
              <w:t>Заказчик:</w:t>
            </w:r>
          </w:p>
        </w:tc>
        <w:tc>
          <w:tcPr>
            <w:tcW w:w="8789" w:type="dxa"/>
            <w:tcBorders/>
          </w:tcPr>
          <w:p>
            <w:pPr>
              <w:pStyle w:val="Normal"/>
              <w:widowControl w:val="false"/>
              <w:rPr>
                <w:b/>
              </w:rPr>
            </w:pPr>
            <w:r>
              <w:rPr>
                <w:b/>
                <w:lang w:val="ru-RU"/>
              </w:rPr>
              <w:t>Исполнитель</w:t>
            </w:r>
            <w:r>
              <w:rPr>
                <w:b/>
              </w:rPr>
              <w:t>:</w:t>
            </w:r>
          </w:p>
        </w:tc>
      </w:tr>
      <w:tr>
        <w:trPr/>
        <w:tc>
          <w:tcPr>
            <w:tcW w:w="4961"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tc>
        <w:tc>
          <w:tcPr>
            <w:tcW w:w="87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tc>
      </w:tr>
    </w:tbl>
    <w:p>
      <w:pPr>
        <w:pStyle w:val="Normal"/>
        <w:spacing w:before="120" w:after="20"/>
        <w:ind w:firstLine="709"/>
        <w:jc w:val="both"/>
        <w:rPr>
          <w:lang w:val="ru-RU"/>
        </w:rPr>
      </w:pPr>
      <w:r>
        <w:rPr/>
      </w:r>
    </w:p>
    <w:sectPr>
      <w:headerReference w:type="default" r:id="rId42"/>
      <w:headerReference w:type="first" r:id="rId43"/>
      <w:footerReference w:type="default" r:id="rId44"/>
      <w:footerReference w:type="first" r:id="rId45"/>
      <w:footnotePr>
        <w:numFmt w:val="decimal"/>
      </w:footnotePr>
      <w:type w:val="nextPage"/>
      <w:pgSz w:w="11906" w:h="16838"/>
      <w:pgMar w:left="1134" w:right="1134" w:gutter="0" w:header="567" w:top="851" w:footer="709"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29</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37</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39</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43</w:t>
    </w:r>
    <w:r>
      <w:rPr>
        <w:sz w:val="22"/>
        <w:szCs w:val="22"/>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6"/>
        </w:rPr>
        <w:footnoteRef/>
      </w:r>
      <w:r>
        <w:rPr/>
        <w:t xml:space="preserve"> </w:t>
      </w:r>
      <w:r>
        <w:rPr>
          <w:shd w:fill="C0C0C0" w:val="clear"/>
        </w:rPr>
        <w:t xml:space="preserve">За исключением отходов черных и цветных металлов, отработанных масел, образующихся от оборудования, зданий, строений и </w:t>
      </w:r>
      <w:r>
        <w:rPr>
          <w:rFonts w:eastAsia="Times New Roman" w:cs="Times New Roman"/>
          <w:color w:val="000000"/>
          <w:kern w:val="0"/>
          <w:sz w:val="20"/>
          <w:szCs w:val="20"/>
          <w:shd w:fill="C0C0C0" w:val="clear"/>
          <w:lang w:val="ru-RU" w:eastAsia="ru-RU" w:bidi="ar-SA"/>
        </w:rPr>
        <w:t>сооружений</w:t>
      </w:r>
      <w:r>
        <w:rPr>
          <w:shd w:fill="C0C0C0" w:val="clear"/>
        </w:rPr>
        <w:t xml:space="preserve"> Заказчика.</w:t>
      </w:r>
    </w:p>
  </w:footnote>
  <w:footnote w:id="3">
    <w:p>
      <w:pPr>
        <w:pStyle w:val="FootnoteText"/>
        <w:rPr/>
      </w:pPr>
      <w:r>
        <w:rPr>
          <w:rStyle w:val="Style6"/>
        </w:rPr>
        <w:footnoteRef/>
      </w:r>
      <w:r>
        <w:rPr/>
        <w:t xml:space="preserve"> </w:t>
      </w:r>
      <w:r>
        <w:rPr/>
        <w:t>Пункт включается в Договор, включающий выполнение работ / оказание услуг по:</w:t>
      </w:r>
    </w:p>
    <w:p>
      <w:pPr>
        <w:pStyle w:val="FootnoteText"/>
        <w:jc w:val="both"/>
        <w:rPr/>
      </w:pPr>
      <w: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auto"/>
          <w:kern w:val="0"/>
          <w:sz w:val="20"/>
          <w:szCs w:val="20"/>
          <w:lang w:val="ru-RU" w:eastAsia="ru-RU" w:bidi="ar-SA"/>
        </w:rPr>
        <w:t>решеток</w:t>
      </w:r>
      <w:r>
        <w:rPr/>
        <w:t xml:space="preserve"> / сооружений, порогов пазов ремонтных затворов, </w:t>
      </w:r>
      <w:r>
        <w:rPr>
          <w:rFonts w:eastAsia="Times New Roman" w:cs="Times New Roman"/>
          <w:color w:val="auto"/>
          <w:kern w:val="0"/>
          <w:sz w:val="20"/>
          <w:szCs w:val="20"/>
          <w:lang w:val="ru-RU" w:eastAsia="ru-RU" w:bidi="ar-SA"/>
        </w:rPr>
        <w:t>проводящего</w:t>
      </w:r>
      <w:r>
        <w:rPr/>
        <w:t xml:space="preserve"> и отводящего </w:t>
      </w:r>
      <w:r>
        <w:rPr>
          <w:rFonts w:eastAsia="Times New Roman" w:cs="Times New Roman"/>
          <w:color w:val="auto"/>
          <w:kern w:val="0"/>
          <w:sz w:val="20"/>
          <w:szCs w:val="20"/>
          <w:lang w:val="ru-RU" w:eastAsia="ru-RU" w:bidi="ar-SA"/>
        </w:rPr>
        <w:t>каналов</w:t>
      </w:r>
      <w:r>
        <w:rPr/>
        <w:t xml:space="preserve"> и </w:t>
      </w:r>
      <w:r>
        <w:rPr>
          <w:rFonts w:eastAsia="Times New Roman" w:cs="Times New Roman"/>
          <w:color w:val="auto"/>
          <w:kern w:val="0"/>
          <w:sz w:val="20"/>
          <w:szCs w:val="20"/>
          <w:lang w:val="ru-RU" w:eastAsia="ru-RU" w:bidi="ar-SA"/>
        </w:rPr>
        <w:t>т.п.;</w:t>
      </w:r>
    </w:p>
    <w:p>
      <w:pPr>
        <w:pStyle w:val="FootnoteText"/>
        <w:jc w:val="both"/>
        <w:rPr/>
      </w:pPr>
      <w:r>
        <w:rPr>
          <w:rFonts w:eastAsia="Times New Roman" w:cs="Times New Roman"/>
          <w:color w:val="auto"/>
          <w:kern w:val="0"/>
          <w:sz w:val="20"/>
          <w:szCs w:val="20"/>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rFonts w:eastAsia="Times New Roman" w:cs="Times New Roman"/>
          <w:color w:val="auto"/>
          <w:kern w:val="0"/>
          <w:sz w:val="20"/>
          <w:szCs w:val="20"/>
          <w:lang w:val="ru-RU" w:eastAsia="ru-RU" w:bidi="ar-SA"/>
        </w:rPr>
        <w:t>- техническому обслуживанию оборудования, зданий, сооружений Заказчика;</w:t>
      </w:r>
    </w:p>
    <w:p>
      <w:pPr>
        <w:pStyle w:val="FootnoteText"/>
        <w:jc w:val="both"/>
        <w:rPr/>
      </w:pPr>
      <w:r>
        <w:rPr>
          <w:rFonts w:eastAsia="Times New Roman" w:cs="Times New Roman"/>
          <w:color w:val="auto"/>
          <w:kern w:val="0"/>
          <w:sz w:val="20"/>
          <w:szCs w:val="20"/>
          <w:lang w:val="ru-RU" w:eastAsia="ru-RU" w:bidi="ar-SA"/>
        </w:rPr>
        <w:t>- утилизации плавмусора.</w:t>
      </w:r>
    </w:p>
  </w:footnote>
  <w:footnote w:id="4">
    <w:p>
      <w:pPr>
        <w:pStyle w:val="FootnoteText"/>
        <w:jc w:val="both"/>
        <w:rPr/>
      </w:pPr>
      <w:r>
        <w:rPr>
          <w:rStyle w:val="Style6"/>
        </w:rPr>
        <w:footnoteRef/>
      </w:r>
      <w:r>
        <w:rPr/>
        <w:t xml:space="preserve"> </w:t>
      </w:r>
      <w:r>
        <w:rPr/>
        <w:t>Согласно требованиям, установленным локальными нормативными документами (актами) в области обращения с отходами на территории Заказчика (инструкциями, положениями и др.).</w:t>
      </w:r>
    </w:p>
  </w:footnote>
  <w:footnote w:id="5">
    <w:p>
      <w:pPr>
        <w:pStyle w:val="FootnoteText"/>
        <w:jc w:val="both"/>
        <w:rPr/>
      </w:pPr>
      <w:r>
        <w:rPr>
          <w:rStyle w:val="Style6"/>
        </w:rPr>
        <w:footnoteRef/>
      </w:r>
      <w:r>
        <w:rPr/>
        <w:t xml:space="preserve"> </w:t>
      </w:r>
      <w:r>
        <w:rPr/>
        <w:t>Пункты включаются в Договор, включающий выполнение работ / оказание услуг по:</w:t>
      </w:r>
    </w:p>
    <w:p>
      <w:pPr>
        <w:pStyle w:val="FootnoteText"/>
        <w:jc w:val="both"/>
        <w:rPr/>
      </w:pPr>
      <w: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auto"/>
          <w:kern w:val="0"/>
          <w:sz w:val="20"/>
          <w:szCs w:val="20"/>
          <w:lang w:val="ru-RU" w:eastAsia="ru-RU" w:bidi="ar-SA"/>
        </w:rPr>
        <w:t>решеток</w:t>
      </w:r>
      <w:r>
        <w:rPr/>
        <w:t xml:space="preserve"> / сооружений, порогов пазов ремонтных затворов, </w:t>
      </w:r>
      <w:r>
        <w:rPr>
          <w:rFonts w:eastAsia="Times New Roman" w:cs="Times New Roman"/>
          <w:color w:val="auto"/>
          <w:kern w:val="0"/>
          <w:sz w:val="20"/>
          <w:szCs w:val="20"/>
          <w:lang w:val="ru-RU" w:eastAsia="ru-RU" w:bidi="ar-SA"/>
        </w:rPr>
        <w:t>проводящего</w:t>
      </w:r>
      <w:r>
        <w:rPr/>
        <w:t xml:space="preserve"> и отводящего </w:t>
      </w:r>
      <w:r>
        <w:rPr>
          <w:rFonts w:eastAsia="Times New Roman" w:cs="Times New Roman"/>
          <w:color w:val="auto"/>
          <w:kern w:val="0"/>
          <w:sz w:val="20"/>
          <w:szCs w:val="20"/>
          <w:lang w:val="ru-RU" w:eastAsia="ru-RU" w:bidi="ar-SA"/>
        </w:rPr>
        <w:t>каналов</w:t>
      </w:r>
      <w:r>
        <w:rPr/>
        <w:t xml:space="preserve"> и </w:t>
      </w:r>
      <w:r>
        <w:rPr>
          <w:rFonts w:eastAsia="Times New Roman" w:cs="Times New Roman"/>
          <w:color w:val="auto"/>
          <w:kern w:val="0"/>
          <w:sz w:val="20"/>
          <w:szCs w:val="20"/>
          <w:lang w:val="ru-RU" w:eastAsia="ru-RU" w:bidi="ar-SA"/>
        </w:rPr>
        <w:t>т.п.;</w:t>
      </w:r>
    </w:p>
    <w:p>
      <w:pPr>
        <w:pStyle w:val="FootnoteText"/>
        <w:jc w:val="both"/>
        <w:rPr/>
      </w:pPr>
      <w:r>
        <w:rPr>
          <w:rFonts w:eastAsia="Times New Roman" w:cs="Times New Roman"/>
          <w:color w:val="auto"/>
          <w:kern w:val="0"/>
          <w:sz w:val="20"/>
          <w:szCs w:val="20"/>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rFonts w:eastAsia="Times New Roman" w:cs="Times New Roman"/>
          <w:color w:val="auto"/>
          <w:kern w:val="0"/>
          <w:sz w:val="20"/>
          <w:szCs w:val="20"/>
          <w:lang w:val="ru-RU" w:eastAsia="ru-RU" w:bidi="ar-SA"/>
        </w:rPr>
        <w:t>- техническому обслуживанию оборудования, зданий, сооружений Заказчика;</w:t>
      </w:r>
    </w:p>
    <w:p>
      <w:pPr>
        <w:pStyle w:val="FootnoteText"/>
        <w:rPr/>
      </w:pPr>
      <w:r>
        <w:rPr>
          <w:rFonts w:eastAsia="Times New Roman" w:cs="Times New Roman"/>
          <w:color w:val="auto"/>
          <w:kern w:val="0"/>
          <w:sz w:val="20"/>
          <w:szCs w:val="20"/>
          <w:lang w:val="ru-RU" w:eastAsia="ru-RU" w:bidi="ar-SA"/>
        </w:rPr>
        <w:t>- утилизации плавмусора.</w:t>
      </w:r>
      <w:r>
        <w:rPr/>
        <w:t xml:space="preserve"> </w:t>
      </w:r>
    </w:p>
  </w:footnote>
  <w:footnote w:id="6">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7">
    <w:p>
      <w:pPr>
        <w:pStyle w:val="FootnoteText"/>
        <w:rPr/>
      </w:pPr>
      <w:r>
        <w:rPr>
          <w:rStyle w:val="Style6"/>
        </w:rPr>
        <w:footnoteRef/>
      </w:r>
      <w:r>
        <w:rPr/>
        <w:t xml:space="preserve"> </w:t>
      </w:r>
      <w:r>
        <w:rPr>
          <w:shd w:fill="auto" w:val="clear"/>
        </w:rPr>
        <w:t>Пункт включается в Договор, включающий выполнение работ / оказание услуг по:</w:t>
      </w:r>
    </w:p>
    <w:p>
      <w:pPr>
        <w:pStyle w:val="FootnoteText"/>
        <w:jc w:val="both"/>
        <w:rPr>
          <w:highlight w:val="none"/>
          <w:shd w:fill="auto" w:val="clear"/>
        </w:rPr>
      </w:pPr>
      <w:r>
        <w:rPr>
          <w:shd w:fill="auto" w:val="clea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000000"/>
          <w:kern w:val="0"/>
          <w:sz w:val="20"/>
          <w:szCs w:val="20"/>
          <w:shd w:fill="auto" w:val="clear"/>
          <w:lang w:val="ru-RU" w:eastAsia="ru-RU" w:bidi="ar-SA"/>
        </w:rPr>
        <w:t>решеток</w:t>
      </w:r>
      <w:r>
        <w:rPr>
          <w:shd w:fill="auto" w:val="clear"/>
        </w:rPr>
        <w:t xml:space="preserve"> / сооружений, порогов пазов ремонтных затворов, </w:t>
      </w:r>
      <w:r>
        <w:rPr>
          <w:rFonts w:eastAsia="Times New Roman" w:cs="Times New Roman"/>
          <w:color w:val="000000"/>
          <w:kern w:val="0"/>
          <w:sz w:val="20"/>
          <w:szCs w:val="20"/>
          <w:shd w:fill="auto" w:val="clear"/>
          <w:lang w:val="ru-RU" w:eastAsia="ru-RU" w:bidi="ar-SA"/>
        </w:rPr>
        <w:t>проводящего</w:t>
      </w:r>
      <w:r>
        <w:rPr>
          <w:shd w:fill="auto" w:val="clear"/>
        </w:rPr>
        <w:t xml:space="preserve"> и отводящего </w:t>
      </w:r>
      <w:r>
        <w:rPr>
          <w:rFonts w:eastAsia="Times New Roman" w:cs="Times New Roman"/>
          <w:color w:val="000000"/>
          <w:kern w:val="0"/>
          <w:sz w:val="20"/>
          <w:szCs w:val="20"/>
          <w:shd w:fill="auto" w:val="clear"/>
          <w:lang w:val="ru-RU" w:eastAsia="ru-RU" w:bidi="ar-SA"/>
        </w:rPr>
        <w:t>каналов</w:t>
      </w:r>
      <w:r>
        <w:rPr>
          <w:shd w:fill="auto" w:val="clear"/>
        </w:rPr>
        <w:t xml:space="preserve"> и </w:t>
      </w:r>
      <w:r>
        <w:rPr>
          <w:rFonts w:eastAsia="Times New Roman" w:cs="Times New Roman"/>
          <w:color w:val="000000"/>
          <w:kern w:val="0"/>
          <w:sz w:val="20"/>
          <w:szCs w:val="20"/>
          <w:shd w:fill="auto" w:val="clear"/>
          <w:lang w:val="ru-RU" w:eastAsia="ru-RU" w:bidi="ar-SA"/>
        </w:rPr>
        <w:t>т.п.;</w:t>
      </w:r>
    </w:p>
    <w:p>
      <w:pPr>
        <w:pStyle w:val="FootnoteText"/>
        <w:jc w:val="both"/>
        <w:rPr>
          <w:highlight w:val="none"/>
          <w:shd w:fill="auto" w:val="clear"/>
        </w:rPr>
      </w:pPr>
      <w:r>
        <w:rPr>
          <w:rFonts w:eastAsia="Times New Roman" w:cs="Times New Roman"/>
          <w:color w:val="000000"/>
          <w:kern w:val="0"/>
          <w:sz w:val="20"/>
          <w:szCs w:val="20"/>
          <w:shd w:fill="auto" w:val="clear"/>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highlight w:val="none"/>
          <w:shd w:fill="auto" w:val="clear"/>
        </w:rPr>
      </w:pPr>
      <w:r>
        <w:rPr>
          <w:rFonts w:eastAsia="Times New Roman" w:cs="Times New Roman"/>
          <w:color w:val="000000"/>
          <w:kern w:val="0"/>
          <w:sz w:val="20"/>
          <w:szCs w:val="20"/>
          <w:shd w:fill="auto" w:val="clear"/>
          <w:lang w:val="ru-RU" w:eastAsia="ru-RU" w:bidi="ar-SA"/>
        </w:rPr>
        <w:t>- техническому обслуживанию оборудования, зданий, сооружений Заказчика;</w:t>
      </w:r>
    </w:p>
    <w:p>
      <w:pPr>
        <w:pStyle w:val="FootnoteText"/>
        <w:rPr>
          <w:highlight w:val="none"/>
          <w:shd w:fill="auto" w:val="clear"/>
        </w:rPr>
      </w:pPr>
      <w:r>
        <w:rPr>
          <w:rFonts w:eastAsia="Times New Roman" w:cs="Times New Roman"/>
          <w:bCs/>
          <w:color w:val="000000"/>
          <w:kern w:val="0"/>
          <w:sz w:val="20"/>
          <w:szCs w:val="20"/>
          <w:shd w:fill="auto" w:val="clear"/>
          <w:lang w:val="ru-RU" w:eastAsia="ru-RU" w:bidi="ar-SA"/>
        </w:rPr>
        <w:t>- утилизации плавмусора.</w:t>
      </w:r>
    </w:p>
  </w:footnote>
  <w:footnote w:id="8">
    <w:p>
      <w:pPr>
        <w:pStyle w:val="FootnoteText"/>
        <w:jc w:val="both"/>
        <w:rPr>
          <w:lang w:val="ru-RU"/>
        </w:rPr>
      </w:pPr>
      <w:r>
        <w:rPr>
          <w:rStyle w:val="Style6"/>
        </w:rPr>
        <w:footnoteRef/>
      </w:r>
      <w:r>
        <w:rPr>
          <w:highlight w:val="lightGray"/>
          <w:lang w:val="ru-RU"/>
        </w:rPr>
        <w:t xml:space="preserve"> </w:t>
      </w:r>
      <w:r>
        <w:rPr>
          <w:highlight w:val="lightGray"/>
          <w:lang w:val="ru-RU"/>
        </w:rPr>
        <w:t>Пункт 2.4.5 включается в Договор в случае, если цена Договора превышает 100 000 000 (сто миллионов) рублей без учета НДС (включительно)</w:t>
      </w:r>
      <w:r>
        <w:rPr>
          <w:lang w:val="ru-RU"/>
        </w:rPr>
        <w:t>.</w:t>
      </w:r>
    </w:p>
  </w:footnote>
  <w:footnote w:id="9">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10">
    <w:p>
      <w:pPr>
        <w:pStyle w:val="FootnoteText"/>
        <w:jc w:val="both"/>
        <w:rPr>
          <w:lang w:val="ru-RU"/>
        </w:rPr>
      </w:pPr>
      <w:r>
        <w:rPr>
          <w:rStyle w:val="Style6"/>
        </w:rPr>
        <w:footnoteRef/>
      </w:r>
      <w:r>
        <w:rPr>
          <w:lang w:val="ru-RU"/>
        </w:rPr>
        <w:t xml:space="preserve"> </w:t>
      </w:r>
      <w:r>
        <w:rPr>
          <w:lang w:val="ru-RU"/>
        </w:rPr>
        <w:t>Пункт включается в Договор в случае, если к Договору прикладывается полный комплект расчетов стоимости услуг.</w:t>
      </w:r>
    </w:p>
  </w:footnote>
  <w:footnote w:id="11">
    <w:p>
      <w:pPr>
        <w:pStyle w:val="FootnoteText"/>
        <w:jc w:val="both"/>
        <w:rPr>
          <w:highlight w:val="yellow"/>
          <w:lang w:val="ru-RU"/>
        </w:rPr>
      </w:pPr>
      <w:r>
        <w:rPr>
          <w:rStyle w:val="Style6"/>
        </w:rPr>
        <w:footnoteRef/>
      </w:r>
      <w:r>
        <w:rPr>
          <w:lang w:val="ru-RU"/>
        </w:rPr>
        <w:t xml:space="preserve"> </w:t>
      </w:r>
      <w:r>
        <w:rPr>
          <w:highlight w:val="lightGray"/>
          <w:lang w:val="ru-RU"/>
        </w:rPr>
        <w:t>Условие включается в случае, когда на дату заключения Договора расчеты стоимости услуг по одному или нескольким Этапам отсутствуют</w:t>
      </w:r>
      <w:r>
        <w:rPr>
          <w:lang w:val="ru-RU"/>
        </w:rPr>
        <w:t>.</w:t>
      </w:r>
      <w:r>
        <w:rPr>
          <w:highlight w:val="yellow"/>
          <w:lang w:val="ru-RU"/>
        </w:rPr>
        <w:t xml:space="preserve"> </w:t>
      </w:r>
    </w:p>
  </w:footnote>
  <w:footnote w:id="12">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13">
    <w:p>
      <w:pPr>
        <w:pStyle w:val="FootnoteText"/>
        <w:jc w:val="both"/>
        <w:rPr>
          <w:lang w:val="ru-RU"/>
        </w:rPr>
      </w:pPr>
      <w:r>
        <w:rPr>
          <w:rStyle w:val="Style6"/>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14">
    <w:p>
      <w:pPr>
        <w:pStyle w:val="FootnoteText"/>
        <w:jc w:val="both"/>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5">
    <w:p>
      <w:pPr>
        <w:pStyle w:val="FootnoteText"/>
        <w:jc w:val="both"/>
        <w:rPr>
          <w:lang w:val="ru-RU"/>
        </w:rPr>
      </w:pPr>
      <w:r>
        <w:rPr>
          <w:rStyle w:val="Style6"/>
        </w:rPr>
        <w:footnoteRef/>
      </w:r>
      <w:r>
        <w:rPr>
          <w:lang w:val="ru-RU"/>
        </w:rPr>
        <w:t xml:space="preserve"> </w:t>
      </w:r>
      <w:r>
        <w:rPr>
          <w:highlight w:val="lightGray"/>
          <w:lang w:val="ru-RU"/>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6">
    <w:p>
      <w:pPr>
        <w:pStyle w:val="FootnoteText"/>
        <w:rPr/>
      </w:pPr>
      <w:r>
        <w:rPr>
          <w:rStyle w:val="Style6"/>
        </w:rPr>
        <w:footnoteRef/>
      </w:r>
      <w:r>
        <w:rPr/>
        <w:t xml:space="preserve"> </w:t>
      </w:r>
      <w:r>
        <w:rPr/>
        <w:t>Включается в Договор, включающий выполнение работ / оказание услуг по:</w:t>
      </w:r>
    </w:p>
    <w:p>
      <w:pPr>
        <w:pStyle w:val="FootnoteText"/>
        <w:jc w:val="both"/>
        <w:rPr/>
      </w:pPr>
      <w: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auto"/>
          <w:kern w:val="0"/>
          <w:sz w:val="20"/>
          <w:szCs w:val="20"/>
          <w:lang w:val="ru-RU" w:eastAsia="ru-RU" w:bidi="ar-SA"/>
        </w:rPr>
        <w:t>решеток</w:t>
      </w:r>
      <w:r>
        <w:rPr/>
        <w:t xml:space="preserve"> / сооружений, порогов пазов ремонтных затворов, </w:t>
      </w:r>
      <w:r>
        <w:rPr>
          <w:rFonts w:eastAsia="Times New Roman" w:cs="Times New Roman"/>
          <w:color w:val="auto"/>
          <w:kern w:val="0"/>
          <w:sz w:val="20"/>
          <w:szCs w:val="20"/>
          <w:lang w:val="ru-RU" w:eastAsia="ru-RU" w:bidi="ar-SA"/>
        </w:rPr>
        <w:t>проводящего</w:t>
      </w:r>
      <w:r>
        <w:rPr/>
        <w:t xml:space="preserve"> и отводящего </w:t>
      </w:r>
      <w:r>
        <w:rPr>
          <w:rFonts w:eastAsia="Times New Roman" w:cs="Times New Roman"/>
          <w:color w:val="auto"/>
          <w:kern w:val="0"/>
          <w:sz w:val="20"/>
          <w:szCs w:val="20"/>
          <w:lang w:val="ru-RU" w:eastAsia="ru-RU" w:bidi="ar-SA"/>
        </w:rPr>
        <w:t>каналов</w:t>
      </w:r>
      <w:r>
        <w:rPr/>
        <w:t xml:space="preserve"> и </w:t>
      </w:r>
      <w:r>
        <w:rPr>
          <w:rFonts w:eastAsia="Times New Roman" w:cs="Times New Roman"/>
          <w:color w:val="auto"/>
          <w:kern w:val="0"/>
          <w:sz w:val="20"/>
          <w:szCs w:val="20"/>
          <w:lang w:val="ru-RU" w:eastAsia="ru-RU" w:bidi="ar-SA"/>
        </w:rPr>
        <w:t>т.п.;</w:t>
      </w:r>
    </w:p>
    <w:p>
      <w:pPr>
        <w:pStyle w:val="FootnoteText"/>
        <w:jc w:val="both"/>
        <w:rPr/>
      </w:pPr>
      <w:r>
        <w:rPr>
          <w:rFonts w:eastAsia="Times New Roman" w:cs="Times New Roman"/>
          <w:color w:val="auto"/>
          <w:kern w:val="0"/>
          <w:sz w:val="20"/>
          <w:szCs w:val="20"/>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rFonts w:eastAsia="Times New Roman" w:cs="Times New Roman"/>
          <w:color w:val="auto"/>
          <w:kern w:val="0"/>
          <w:sz w:val="20"/>
          <w:szCs w:val="20"/>
          <w:lang w:val="ru-RU" w:eastAsia="ru-RU" w:bidi="ar-SA"/>
        </w:rPr>
        <w:t>- техническому обслуживанию оборудования, зданий, сооружений Заказчика;</w:t>
      </w:r>
    </w:p>
    <w:p>
      <w:pPr>
        <w:pStyle w:val="FootnoteText"/>
        <w:rPr/>
      </w:pPr>
      <w:r>
        <w:rPr>
          <w:rFonts w:eastAsia="Times New Roman" w:cs="Times New Roman"/>
          <w:color w:val="auto"/>
          <w:kern w:val="0"/>
          <w:sz w:val="20"/>
          <w:szCs w:val="20"/>
          <w:lang w:val="ru-RU" w:eastAsia="ru-RU" w:bidi="ar-SA"/>
        </w:rPr>
        <w:t>- утилизации плавмусора.</w:t>
      </w:r>
      <w:r>
        <w:rPr/>
        <w:t xml:space="preserve"> </w:t>
      </w:r>
    </w:p>
  </w:footnote>
  <w:footnote w:id="17">
    <w:p>
      <w:pPr>
        <w:pStyle w:val="FootnoteText"/>
        <w:rPr/>
      </w:pPr>
      <w:r>
        <w:rPr>
          <w:rStyle w:val="Style6"/>
        </w:rPr>
        <w:footnoteRef/>
      </w:r>
      <w:r>
        <w:rPr/>
        <w:t xml:space="preserve"> </w:t>
      </w:r>
      <w:r>
        <w:rPr/>
        <w:t>Включается в Договор, включающий выполнение работ / оказание услуг по:</w:t>
      </w:r>
    </w:p>
    <w:p>
      <w:pPr>
        <w:pStyle w:val="FootnoteText"/>
        <w:jc w:val="both"/>
        <w:rPr/>
      </w:pPr>
      <w: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auto"/>
          <w:kern w:val="0"/>
          <w:sz w:val="20"/>
          <w:szCs w:val="20"/>
          <w:lang w:val="ru-RU" w:eastAsia="ru-RU" w:bidi="ar-SA"/>
        </w:rPr>
        <w:t>решеток</w:t>
      </w:r>
      <w:r>
        <w:rPr/>
        <w:t xml:space="preserve"> / сооружений, порогов пазов ремонтных затворов, </w:t>
      </w:r>
      <w:r>
        <w:rPr>
          <w:rFonts w:eastAsia="Times New Roman" w:cs="Times New Roman"/>
          <w:color w:val="auto"/>
          <w:kern w:val="0"/>
          <w:sz w:val="20"/>
          <w:szCs w:val="20"/>
          <w:lang w:val="ru-RU" w:eastAsia="ru-RU" w:bidi="ar-SA"/>
        </w:rPr>
        <w:t>проводящего</w:t>
      </w:r>
      <w:r>
        <w:rPr/>
        <w:t xml:space="preserve"> и отводящего </w:t>
      </w:r>
      <w:r>
        <w:rPr>
          <w:rFonts w:eastAsia="Times New Roman" w:cs="Times New Roman"/>
          <w:color w:val="auto"/>
          <w:kern w:val="0"/>
          <w:sz w:val="20"/>
          <w:szCs w:val="20"/>
          <w:lang w:val="ru-RU" w:eastAsia="ru-RU" w:bidi="ar-SA"/>
        </w:rPr>
        <w:t>каналов</w:t>
      </w:r>
      <w:r>
        <w:rPr/>
        <w:t xml:space="preserve"> и </w:t>
      </w:r>
      <w:r>
        <w:rPr>
          <w:rFonts w:eastAsia="Times New Roman" w:cs="Times New Roman"/>
          <w:color w:val="auto"/>
          <w:kern w:val="0"/>
          <w:sz w:val="20"/>
          <w:szCs w:val="20"/>
          <w:lang w:val="ru-RU" w:eastAsia="ru-RU" w:bidi="ar-SA"/>
        </w:rPr>
        <w:t>т.п.;</w:t>
      </w:r>
    </w:p>
    <w:p>
      <w:pPr>
        <w:pStyle w:val="FootnoteText"/>
        <w:jc w:val="both"/>
        <w:rPr/>
      </w:pPr>
      <w:r>
        <w:rPr>
          <w:rFonts w:eastAsia="Times New Roman" w:cs="Times New Roman"/>
          <w:color w:val="auto"/>
          <w:kern w:val="0"/>
          <w:sz w:val="20"/>
          <w:szCs w:val="20"/>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rFonts w:eastAsia="Times New Roman" w:cs="Times New Roman"/>
          <w:color w:val="auto"/>
          <w:kern w:val="0"/>
          <w:sz w:val="20"/>
          <w:szCs w:val="20"/>
          <w:lang w:val="ru-RU" w:eastAsia="ru-RU" w:bidi="ar-SA"/>
        </w:rPr>
        <w:t>- техническому обслуживанию оборудования, зданий, сооружений Заказчика;</w:t>
      </w:r>
    </w:p>
    <w:p>
      <w:pPr>
        <w:pStyle w:val="FootnoteText"/>
        <w:rPr/>
      </w:pPr>
      <w:r>
        <w:rPr>
          <w:rFonts w:eastAsia="Times New Roman" w:cs="Times New Roman"/>
          <w:color w:val="auto"/>
          <w:kern w:val="0"/>
          <w:sz w:val="20"/>
          <w:szCs w:val="20"/>
          <w:lang w:val="ru-RU" w:eastAsia="ru-RU" w:bidi="ar-SA"/>
        </w:rPr>
        <w:t>- утилизации плавмусора.</w:t>
      </w:r>
      <w:r>
        <w:rPr/>
        <w:t xml:space="preserve"> </w:t>
      </w:r>
    </w:p>
  </w:footnote>
  <w:footnote w:id="18">
    <w:p>
      <w:pPr>
        <w:pStyle w:val="FootnoteText"/>
        <w:jc w:val="both"/>
        <w:rPr>
          <w:lang w:val="ru-RU"/>
        </w:rPr>
      </w:pPr>
      <w:r>
        <w:rPr>
          <w:rStyle w:val="Style6"/>
        </w:rPr>
        <w:footnoteRef/>
      </w:r>
      <w:r>
        <w:rPr>
          <w:lang w:val="ru-RU"/>
        </w:rPr>
        <w:t xml:space="preserve"> </w:t>
      </w:r>
      <w:r>
        <w:rPr>
          <w:highlight w:val="lightGray"/>
          <w:lang w:val="ru-RU"/>
        </w:rPr>
        <w:t>Указанное условие применяется к договорам оказания услуг в отношении имущества (оборудования), обеспечивающего производство и/или передачу (транспортировку) электрической энергии и мощности</w:t>
      </w:r>
    </w:p>
  </w:footnote>
  <w:footnote w:id="19">
    <w:p>
      <w:pPr>
        <w:pStyle w:val="FootnoteText"/>
        <w:rPr/>
      </w:pPr>
      <w:r>
        <w:rPr>
          <w:rStyle w:val="Style6"/>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20">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21">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22">
    <w:p>
      <w:pPr>
        <w:pStyle w:val="FootnoteText"/>
        <w:rPr/>
      </w:pPr>
      <w:r>
        <w:rPr>
          <w:rStyle w:val="Style6"/>
        </w:rPr>
        <w:footnoteRef/>
      </w:r>
      <w:r>
        <w:rPr/>
        <w:t xml:space="preserve"> </w:t>
      </w:r>
      <w:r>
        <w:rPr/>
        <w:t>Применяется, если не используется УПД.</w:t>
      </w:r>
    </w:p>
  </w:footnote>
  <w:footnote w:id="23">
    <w:p>
      <w:pPr>
        <w:pStyle w:val="FootnoteText"/>
        <w:rPr/>
      </w:pPr>
      <w:r>
        <w:rPr>
          <w:rStyle w:val="Style6"/>
        </w:rPr>
        <w:footnoteRef/>
      </w:r>
      <w:r>
        <w:rPr>
          <w:rFonts w:eastAsia="Times New Roman" w:cs="Times New Roman"/>
          <w:color w:val="auto"/>
          <w:kern w:val="0"/>
          <w:sz w:val="20"/>
          <w:szCs w:val="20"/>
          <w:lang w:val="ru-RU" w:eastAsia="ru-RU" w:bidi="ar-SA"/>
        </w:rPr>
        <w:t xml:space="preserve"> </w:t>
      </w:r>
      <w:r>
        <w:rPr>
          <w:rFonts w:eastAsia="Times New Roman" w:cs="Times New Roman"/>
          <w:color w:val="auto"/>
          <w:kern w:val="0"/>
          <w:sz w:val="20"/>
          <w:szCs w:val="20"/>
          <w:lang w:val="ru-RU" w:eastAsia="ru-RU" w:bidi="ar-SA"/>
        </w:rPr>
        <w:t>Включается в Договор, включающий выполнение работ / оказание услуг по:</w:t>
      </w:r>
    </w:p>
    <w:p>
      <w:pPr>
        <w:pStyle w:val="FootnoteText"/>
        <w:jc w:val="both"/>
        <w:rPr/>
      </w:pPr>
      <w: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auto"/>
          <w:kern w:val="0"/>
          <w:sz w:val="20"/>
          <w:szCs w:val="20"/>
          <w:lang w:val="ru-RU" w:eastAsia="ru-RU" w:bidi="ar-SA"/>
        </w:rPr>
        <w:t>решеток</w:t>
      </w:r>
      <w:r>
        <w:rPr/>
        <w:t xml:space="preserve"> / сооружений, порогов пазов ремонтных затворов, </w:t>
      </w:r>
      <w:r>
        <w:rPr>
          <w:rFonts w:eastAsia="Times New Roman" w:cs="Times New Roman"/>
          <w:color w:val="auto"/>
          <w:kern w:val="0"/>
          <w:sz w:val="20"/>
          <w:szCs w:val="20"/>
          <w:lang w:val="ru-RU" w:eastAsia="ru-RU" w:bidi="ar-SA"/>
        </w:rPr>
        <w:t>проводящего</w:t>
      </w:r>
      <w:r>
        <w:rPr/>
        <w:t xml:space="preserve"> и отводящего </w:t>
      </w:r>
      <w:r>
        <w:rPr>
          <w:rFonts w:eastAsia="Times New Roman" w:cs="Times New Roman"/>
          <w:color w:val="auto"/>
          <w:kern w:val="0"/>
          <w:sz w:val="20"/>
          <w:szCs w:val="20"/>
          <w:lang w:val="ru-RU" w:eastAsia="ru-RU" w:bidi="ar-SA"/>
        </w:rPr>
        <w:t>каналов</w:t>
      </w:r>
      <w:r>
        <w:rPr/>
        <w:t xml:space="preserve"> и </w:t>
      </w:r>
      <w:r>
        <w:rPr>
          <w:rFonts w:eastAsia="Times New Roman" w:cs="Times New Roman"/>
          <w:color w:val="auto"/>
          <w:kern w:val="0"/>
          <w:sz w:val="20"/>
          <w:szCs w:val="20"/>
          <w:lang w:val="ru-RU" w:eastAsia="ru-RU" w:bidi="ar-SA"/>
        </w:rPr>
        <w:t>т.п.;</w:t>
      </w:r>
    </w:p>
    <w:p>
      <w:pPr>
        <w:pStyle w:val="FootnoteText"/>
        <w:jc w:val="both"/>
        <w:rPr/>
      </w:pPr>
      <w:r>
        <w:rPr>
          <w:rFonts w:eastAsia="Times New Roman" w:cs="Times New Roman"/>
          <w:color w:val="auto"/>
          <w:kern w:val="0"/>
          <w:sz w:val="20"/>
          <w:szCs w:val="20"/>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rFonts w:eastAsia="Times New Roman" w:cs="Times New Roman"/>
          <w:color w:val="auto"/>
          <w:kern w:val="0"/>
          <w:sz w:val="20"/>
          <w:szCs w:val="20"/>
          <w:lang w:val="ru-RU" w:eastAsia="ru-RU" w:bidi="ar-SA"/>
        </w:rPr>
        <w:t>- техническому обслуживанию оборудования, зданий, сооружений Заказчика;</w:t>
      </w:r>
    </w:p>
    <w:p>
      <w:pPr>
        <w:pStyle w:val="FootnoteText"/>
        <w:rPr/>
      </w:pPr>
      <w:r>
        <w:rPr>
          <w:rFonts w:eastAsia="Times New Roman" w:cs="Times New Roman"/>
          <w:color w:val="auto"/>
          <w:kern w:val="0"/>
          <w:sz w:val="20"/>
          <w:szCs w:val="20"/>
          <w:lang w:val="ru-RU" w:eastAsia="ru-RU" w:bidi="ar-SA"/>
        </w:rPr>
        <w:t xml:space="preserve">- утилизации плавмусора. </w:t>
      </w:r>
    </w:p>
  </w:footnote>
  <w:footnote w:id="24">
    <w:p>
      <w:pPr>
        <w:pStyle w:val="FootnoteText"/>
        <w:jc w:val="both"/>
        <w:rPr>
          <w:lang w:val="ru-RU"/>
        </w:rPr>
      </w:pPr>
      <w:r>
        <w:rPr>
          <w:rStyle w:val="Style6"/>
        </w:rPr>
        <w:footnoteRef/>
      </w:r>
      <w:r>
        <w:rPr>
          <w:lang w:val="ru-RU"/>
        </w:rPr>
        <w:t xml:space="preserve"> </w:t>
      </w:r>
      <w:r>
        <w:rPr>
          <w:lang w:val="ru-RU"/>
        </w:rPr>
        <w:t xml:space="preserve">Актуальный Перечень Банков-Гарантов Группы РусГидро размещен на официальном сайте Общества </w:t>
      </w:r>
      <w:r>
        <w:rPr/>
        <w:t>http</w:t>
      </w:r>
      <w:r>
        <w:rPr>
          <w:lang w:val="ru-RU"/>
        </w:rPr>
        <w:t>://</w:t>
      </w:r>
      <w:r>
        <w:rPr/>
        <w:t>zakupki</w:t>
      </w:r>
      <w:r>
        <w:rPr>
          <w:lang w:val="ru-RU"/>
        </w:rPr>
        <w:t>.</w:t>
      </w:r>
      <w:r>
        <w:rPr/>
        <w:t>rushydro</w:t>
      </w:r>
      <w:r>
        <w:rPr>
          <w:lang w:val="ru-RU"/>
        </w:rPr>
        <w:t>.</w:t>
      </w:r>
      <w:r>
        <w:rPr/>
        <w:t>ru</w:t>
      </w:r>
      <w:r>
        <w:rPr>
          <w:lang w:val="ru-RU"/>
        </w:rPr>
        <w:t>/</w:t>
      </w:r>
      <w:r>
        <w:rPr/>
        <w:t>PublicContent</w:t>
      </w:r>
      <w:r>
        <w:rPr>
          <w:lang w:val="ru-RU"/>
        </w:rPr>
        <w:t>/</w:t>
      </w:r>
      <w:r>
        <w:rPr/>
        <w:t>Section</w:t>
      </w:r>
      <w:r>
        <w:rPr>
          <w:lang w:val="ru-RU"/>
        </w:rPr>
        <w:t>/6</w:t>
      </w:r>
    </w:p>
  </w:footnote>
  <w:footnote w:id="25">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 w:id="26">
    <w:p>
      <w:pPr>
        <w:pStyle w:val="FootnoteText"/>
        <w:jc w:val="both"/>
        <w:rPr>
          <w:lang w:val="ru-RU"/>
        </w:rPr>
      </w:pPr>
      <w:r>
        <w:rPr>
          <w:rStyle w:val="Style6"/>
        </w:rPr>
        <w:footnoteRef/>
      </w:r>
      <w:r>
        <w:rPr>
          <w:lang w:val="ru-RU"/>
        </w:rPr>
        <w:t xml:space="preserve"> </w:t>
      </w:r>
      <w:r>
        <w:rPr>
          <w:lang w:val="ru-RU"/>
        </w:rPr>
        <w:t>Данное требование не применяется в отношении небанковских кредитных организаций.</w:t>
      </w:r>
    </w:p>
  </w:footnote>
  <w:footnote w:id="27">
    <w:p>
      <w:pPr>
        <w:pStyle w:val="FootnoteText"/>
        <w:jc w:val="both"/>
        <w:rPr>
          <w:lang w:val="ru-RU"/>
        </w:rPr>
      </w:pPr>
      <w:r>
        <w:rPr>
          <w:rStyle w:val="Style6"/>
        </w:rPr>
        <w:footnoteRef/>
      </w:r>
      <w:r>
        <w:rPr>
          <w:lang w:val="ru-RU"/>
        </w:rPr>
        <w:t xml:space="preserve"> </w:t>
      </w:r>
      <w:r>
        <w:rPr>
          <w:lang w:val="ru-RU"/>
        </w:rPr>
        <w:t>При издании ПО организационно-распорядительного документа о ТФУ данный критерий может быть исключен.</w:t>
      </w:r>
    </w:p>
  </w:footnote>
  <w:footnote w:id="28">
    <w:p>
      <w:pPr>
        <w:pStyle w:val="FootnoteText"/>
        <w:jc w:val="both"/>
        <w:rPr/>
      </w:pPr>
      <w:r>
        <w:rPr>
          <w:rStyle w:val="Style6"/>
        </w:rPr>
        <w:footnoteRef/>
      </w:r>
      <w:r>
        <w:rPr/>
        <w:t xml:space="preserve"> </w:t>
      </w:r>
      <w:r>
        <w:rPr>
          <w:rFonts w:cs="Times New Roman"/>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9">
    <w:p>
      <w:pPr>
        <w:pStyle w:val="FootnoteText"/>
        <w:jc w:val="both"/>
        <w:rPr/>
      </w:pPr>
      <w:r>
        <w:rPr>
          <w:rStyle w:val="Style6"/>
        </w:rPr>
        <w:footnoteRef/>
      </w:r>
      <w:r>
        <w:rPr/>
        <w:t xml:space="preserve"> </w:t>
      </w:r>
      <w:r>
        <w:rPr>
          <w:rFonts w:cs="Times New Roman"/>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 w:id="30">
    <w:p>
      <w:pPr>
        <w:pStyle w:val="Normal"/>
        <w:jc w:val="both"/>
        <w:rPr>
          <w:lang w:val="ru-RU"/>
        </w:rPr>
      </w:pPr>
      <w:r>
        <w:rPr>
          <w:rStyle w:val="Style6"/>
        </w:rPr>
        <w:t></w:t>
      </w: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ind w:firstLine="709"/>
      <w:jc w:val="right"/>
      <w:rPr>
        <w:sz w:val="20"/>
        <w:szCs w:val="20"/>
        <w:lang w:val="ru-RU"/>
      </w:rPr>
    </w:pPr>
    <w:r>
      <w:rPr>
        <w:sz w:val="20"/>
        <w:szCs w:val="20"/>
        <w:lang w:val="ru-RU"/>
      </w:rPr>
      <w:t>ТФД 5.1.3.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b w:val="false"/>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3"/>
      <w:numFmt w:val="decimal"/>
      <w:lvlText w:val="%1."/>
      <w:lvlJc w:val="left"/>
      <w:pPr>
        <w:tabs>
          <w:tab w:val="num" w:pos="0"/>
        </w:tabs>
        <w:ind w:left="360" w:hanging="360"/>
      </w:pPr>
      <w:rPr/>
    </w:lvl>
    <w:lvl w:ilvl="1">
      <w:start w:val="4"/>
      <w:numFmt w:val="decimal"/>
      <w:lvlText w:val="%1.%2."/>
      <w:lvlJc w:val="left"/>
      <w:pPr>
        <w:tabs>
          <w:tab w:val="num" w:pos="0"/>
        </w:tabs>
        <w:ind w:left="856" w:hanging="360"/>
      </w:pPr>
      <w:rPr/>
    </w:lvl>
    <w:lvl w:ilvl="2">
      <w:start w:val="1"/>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4"/>
      <w:numFmt w:val="decimal"/>
      <w:lvlText w:val="%1."/>
      <w:lvlJc w:val="left"/>
      <w:pPr>
        <w:tabs>
          <w:tab w:val="num" w:pos="0"/>
        </w:tabs>
        <w:ind w:left="360" w:hanging="360"/>
      </w:pPr>
      <w:rPr>
        <w:b/>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3">
    <w:lvl w:ilvl="0">
      <w:start w:val="3"/>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28">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abstractNum w:abstractNumId="29">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w="http://schemas.openxmlformats.org/wordprocessingml/2006/main">
  <w:zoom w:percent="98"/>
  <w:trackRevisions/>
  <w:embedSystemFonts/>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LineNumber">
    <w:name w:val="Line Number"/>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hyperlink" Target="http://www.cbr.ru/" TargetMode="Externa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image" Target="media/image1.png"/><Relationship Id="rId19" Type="http://schemas.openxmlformats.org/officeDocument/2006/relationships/image" Target="media/image2.wmf"/><Relationship Id="rId20" Type="http://schemas.openxmlformats.org/officeDocument/2006/relationships/image" Target="media/image3.wmf"/><Relationship Id="rId21" Type="http://schemas.openxmlformats.org/officeDocument/2006/relationships/image" Target="media/image4.wmf"/><Relationship Id="rId22" Type="http://schemas.openxmlformats.org/officeDocument/2006/relationships/image" Target="media/image5.wmf"/><Relationship Id="rId23" Type="http://schemas.openxmlformats.org/officeDocument/2006/relationships/image" Target="media/image6.wmf"/><Relationship Id="rId24" Type="http://schemas.openxmlformats.org/officeDocument/2006/relationships/image" Target="media/image7.wmf"/><Relationship Id="rId25" Type="http://schemas.openxmlformats.org/officeDocument/2006/relationships/image" Target="media/image8.wmf"/><Relationship Id="rId26" Type="http://schemas.openxmlformats.org/officeDocument/2006/relationships/image" Target="media/image9.wmf"/><Relationship Id="rId27" Type="http://schemas.openxmlformats.org/officeDocument/2006/relationships/image" Target="media/image10.wmf"/><Relationship Id="rId28" Type="http://schemas.openxmlformats.org/officeDocument/2006/relationships/image" Target="media/image11.wmf"/><Relationship Id="rId29" Type="http://schemas.openxmlformats.org/officeDocument/2006/relationships/image" Target="media/image12.wmf"/><Relationship Id="rId30" Type="http://schemas.openxmlformats.org/officeDocument/2006/relationships/image" Target="media/image13.wmf"/><Relationship Id="rId31" Type="http://schemas.openxmlformats.org/officeDocument/2006/relationships/image" Target="media/image14.wmf"/><Relationship Id="rId32" Type="http://schemas.openxmlformats.org/officeDocument/2006/relationships/image" Target="media/image15.wmf"/><Relationship Id="rId33" Type="http://schemas.openxmlformats.org/officeDocument/2006/relationships/image" Target="media/image16.wmf"/><Relationship Id="rId34" Type="http://schemas.openxmlformats.org/officeDocument/2006/relationships/image" Target="media/image17.wmf"/><Relationship Id="rId35" Type="http://schemas.openxmlformats.org/officeDocument/2006/relationships/image" Target="media/image18.wmf"/><Relationship Id="rId36" Type="http://schemas.openxmlformats.org/officeDocument/2006/relationships/image" Target="media/image19.wmf"/><Relationship Id="rId37" Type="http://schemas.openxmlformats.org/officeDocument/2006/relationships/image" Target="media/image20.wmf"/><Relationship Id="rId38" Type="http://schemas.openxmlformats.org/officeDocument/2006/relationships/image" Target="media/image21.wmf"/><Relationship Id="rId39" Type="http://schemas.openxmlformats.org/officeDocument/2006/relationships/image" Target="media/image22.wmf"/><Relationship Id="rId40" Type="http://schemas.openxmlformats.org/officeDocument/2006/relationships/image" Target="media/image21.wmf"/><Relationship Id="rId41" Type="http://schemas.openxmlformats.org/officeDocument/2006/relationships/image" Target="media/image22.wmf"/><Relationship Id="rId42" Type="http://schemas.openxmlformats.org/officeDocument/2006/relationships/header" Target="header7.xml"/><Relationship Id="rId43" Type="http://schemas.openxmlformats.org/officeDocument/2006/relationships/header" Target="header8.xml"/><Relationship Id="rId44" Type="http://schemas.openxmlformats.org/officeDocument/2006/relationships/footer" Target="footer6.xml"/><Relationship Id="rId45" Type="http://schemas.openxmlformats.org/officeDocument/2006/relationships/footer" Target="footer7.xml"/><Relationship Id="rId46" Type="http://schemas.openxmlformats.org/officeDocument/2006/relationships/footnotes" Target="footnotes.xml"/><Relationship Id="rId47" Type="http://schemas.openxmlformats.org/officeDocument/2006/relationships/numbering" Target="numbering.xml"/><Relationship Id="rId48" Type="http://schemas.openxmlformats.org/officeDocument/2006/relationships/fontTable" Target="fontTable.xml"/><Relationship Id="rId49" Type="http://schemas.openxmlformats.org/officeDocument/2006/relationships/settings" Target="settings.xml"/><Relationship Id="rId50" Type="http://schemas.openxmlformats.org/officeDocument/2006/relationships/theme" Target="theme/theme1.xml"/><Relationship Id="rId51" Type="http://schemas.openxmlformats.org/officeDocument/2006/relationships/customXml" Target="../customXml/item1.xml"/><Relationship Id="rId52" Type="http://schemas.openxmlformats.org/officeDocument/2006/relationships/customXml" Target="../customXml/item2.xml"/><Relationship Id="rId53" Type="http://schemas.openxmlformats.org/officeDocument/2006/relationships/customXml" Target="../customXml/item3.xml"/><Relationship Id="rId54" Type="http://schemas.openxmlformats.org/officeDocument/2006/relationships/customXml" Target="../customXml/item4.xml"/><Relationship Id="rId55" Type="http://schemas.openxmlformats.org/officeDocument/2006/relationships/customXml" Target="../customXml/item5.xml"/><Relationship Id="rId56" Type="http://schemas.openxmlformats.org/officeDocument/2006/relationships/customXml" Target="../customXml/item6.xml"/><Relationship Id="rId57"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A2042-F1B2-4A0B-9088-7913634D5045}">
  <ds:schemaRefs>
    <ds:schemaRef ds:uri="http://schemas.openxmlformats.org/officeDocument/2006/bibliography"/>
  </ds:schemaRefs>
</ds:datastoreItem>
</file>

<file path=customXml/itemProps2.xml><?xml version="1.0" encoding="utf-8"?>
<ds:datastoreItem xmlns:ds="http://schemas.openxmlformats.org/officeDocument/2006/customXml" ds:itemID="{786B6F75-D435-451E-993D-0ED305176021}">
  <ds:schemaRefs>
    <ds:schemaRef ds:uri="http://schemas.openxmlformats.org/officeDocument/2006/bibliography"/>
  </ds:schemaRefs>
</ds:datastoreItem>
</file>

<file path=customXml/itemProps3.xml><?xml version="1.0" encoding="utf-8"?>
<ds:datastoreItem xmlns:ds="http://schemas.openxmlformats.org/officeDocument/2006/customXml" ds:itemID="{E612822F-4FF7-47CE-B918-88DF4CC56441}">
  <ds:schemaRefs>
    <ds:schemaRef ds:uri="http://schemas.openxmlformats.org/officeDocument/2006/bibliography"/>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87BE7DDC-4AA1-46F4-BC99-D3A7A2B980D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7.xml><?xml version="1.0" encoding="utf-8"?>
<ds:datastoreItem xmlns:ds="http://schemas.openxmlformats.org/officeDocument/2006/customXml" ds:itemID="{BFE3F3BE-DC8B-4377-B65E-188B7A77D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Application>AlterOffice/3.4.0.9$Linux_X86_64 LibreOffice_project/b8daf9e823b1a5463a2f48435ddc2e8696e7d4fc</Application>
  <AppVersion>15.0000</AppVersion>
  <Pages>44</Pages>
  <Words>14586</Words>
  <Characters>104295</Characters>
  <CharactersWithSpaces>110680</CharactersWithSpaces>
  <Paragraphs>741</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2020-06-09T22:33:00Z</dcterms:created>
  <dc:creator>UK VoHEC</dc:creator>
  <dc:description/>
  <dc:language>ru-RU</dc:language>
  <cp:lastModifiedBy>Наталья Николаевна Новокрещенова</cp:lastModifiedBy>
  <cp:lastPrinted>2016-12-15T13:00:00Z</cp:lastPrinted>
  <dcterms:modified xsi:type="dcterms:W3CDTF">2026-08-12T10:47:55Z</dcterms:modified>
  <cp:revision>100</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