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drawing>
                <wp:inline distT="0" distB="0" distL="0" distR="0">
                  <wp:extent cx="3070860" cy="2614930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6" t="-7" r="-6" b="-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860" cy="2614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0" w:right="0"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left="0" w:right="0"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Heading3"/>
              <w:widowControl w:val="false"/>
              <w:numPr>
                <w:ilvl w:val="2"/>
                <w:numId w:val="2"/>
              </w:numPr>
              <w:ind w:left="0" w:right="15" w:hanging="0"/>
              <w:jc w:val="right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Heading3"/>
              <w:widowControl w:val="false"/>
              <w:numPr>
                <w:ilvl w:val="2"/>
                <w:numId w:val="2"/>
              </w:numPr>
              <w:ind w:left="0" w:right="15" w:hanging="0"/>
              <w:jc w:val="right"/>
              <w:rPr>
                <w:szCs w:val="24"/>
              </w:rPr>
            </w:pPr>
            <w:r>
              <w:rPr>
                <w:szCs w:val="24"/>
              </w:rPr>
              <w:t>Директор Приволжского филиала</w:t>
            </w:r>
          </w:p>
          <w:p>
            <w:pPr>
              <w:pStyle w:val="Heading3"/>
              <w:widowControl w:val="false"/>
              <w:numPr>
                <w:ilvl w:val="2"/>
                <w:numId w:val="2"/>
              </w:numPr>
              <w:ind w:left="0" w:right="15" w:hanging="0"/>
              <w:jc w:val="right"/>
              <w:rPr>
                <w:szCs w:val="24"/>
              </w:rPr>
            </w:pPr>
            <w:r>
              <w:rPr>
                <w:szCs w:val="24"/>
              </w:rPr>
              <w:t>АО «Транспортная компания РусГидро»</w:t>
            </w:r>
          </w:p>
          <w:p>
            <w:pPr>
              <w:pStyle w:val="Heading3"/>
              <w:widowControl w:val="false"/>
              <w:numPr>
                <w:ilvl w:val="2"/>
                <w:numId w:val="2"/>
              </w:numPr>
              <w:ind w:left="0" w:right="15" w:hanging="0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szCs w:val="24"/>
              </w:rPr>
              <w:t xml:space="preserve">___________________ </w:t>
            </w:r>
          </w:p>
          <w:p>
            <w:pPr>
              <w:pStyle w:val="Normal"/>
              <w:widowControl w:val="false"/>
              <w:ind w:left="0" w:right="15" w:hanging="0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«____»_____________202</w:t>
            </w:r>
            <w:r>
              <w:rPr>
                <w:rFonts w:cs="Times New Roman" w:ascii="Times New Roman" w:hAnsi="Times New Roman"/>
                <w:szCs w:val="24"/>
              </w:rPr>
              <w:t xml:space="preserve">6 </w:t>
            </w:r>
            <w:r>
              <w:rPr>
                <w:rFonts w:cs="Times New Roman" w:ascii="Times New Roman" w:hAnsi="Times New Roman"/>
                <w:szCs w:val="24"/>
              </w:rPr>
              <w:t>г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shd w:fill="auto" w:val="clear"/>
        </w:rPr>
        <w:t>Запрос технико-коммерческих предложений в рамках формирования годового плана закупок на 202</w:t>
      </w:r>
      <w:r>
        <w:rPr>
          <w:rFonts w:cs="Times New Roman" w:ascii="Times New Roman" w:hAnsi="Times New Roman"/>
          <w:b/>
          <w:bCs/>
          <w:sz w:val="24"/>
          <w:szCs w:val="24"/>
          <w:shd w:fill="auto" w:val="clear"/>
        </w:rPr>
        <w:t>7</w:t>
      </w:r>
      <w:r>
        <w:rPr>
          <w:rFonts w:cs="Times New Roman" w:ascii="Times New Roman" w:hAnsi="Times New Roman"/>
          <w:b/>
          <w:bCs/>
          <w:sz w:val="24"/>
          <w:szCs w:val="24"/>
          <w:shd w:fill="auto" w:val="clear"/>
        </w:rPr>
        <w:t xml:space="preserve"> год </w:t>
      </w:r>
      <w:r>
        <w:rPr>
          <w:rFonts w:ascii="Times New Roman" w:hAnsi="Times New Roman"/>
          <w:b/>
          <w:bCs/>
          <w:sz w:val="24"/>
          <w:szCs w:val="24"/>
        </w:rPr>
        <w:t xml:space="preserve"> по лоту </w:t>
      </w:r>
      <w:r>
        <w:rPr>
          <w:rFonts w:eastAsia="Calibri;Century Gothic" w:ascii="Times New Roman" w:hAnsi="Times New Roman"/>
          <w:b/>
          <w:bCs/>
          <w:sz w:val="24"/>
          <w:szCs w:val="24"/>
        </w:rPr>
        <w:t>ОКПД2 46.12.11.000 Бункеровка  топливом судов Саратовского транспортного участка Приволжского филиала АО "ТК РусГидро"</w:t>
      </w:r>
      <w:r>
        <w:rPr>
          <w:rStyle w:val="Style6"/>
          <w:rFonts w:eastAsia="Calibri" w:ascii="Times New Roman" w:hAnsi="Times New Roman"/>
          <w:b/>
          <w:bCs/>
          <w:i w:val="false"/>
          <w:iCs w:val="false"/>
          <w:sz w:val="24"/>
          <w:szCs w:val="24"/>
          <w:shd w:fill="auto" w:val="clear"/>
          <w:lang w:val="ru-RU"/>
        </w:rPr>
        <w:t>.</w:t>
      </w:r>
    </w:p>
    <w:p>
      <w:pPr>
        <w:pStyle w:val="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/>
      </w:r>
    </w:p>
    <w:p>
      <w:pPr>
        <w:pStyle w:val="Normal"/>
        <w:jc w:val="left"/>
        <w:rPr/>
      </w:pPr>
      <w:r>
        <w:rPr>
          <w:rStyle w:val="Style6"/>
          <w:rFonts w:eastAsia="Calibri" w:ascii="Times New Roman" w:hAnsi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 xml:space="preserve">1. </w:t>
        <w:tab/>
      </w:r>
      <w:r>
        <w:rPr>
          <w:rStyle w:val="Style6"/>
          <w:b w:val="false"/>
          <w:shd w:fill="auto" w:val="clear"/>
        </w:rPr>
        <w:t>Акционерное общество «Транспортная Компания РусГидро»</w:t>
      </w:r>
      <w:r>
        <w:rPr>
          <w:i/>
        </w:rPr>
        <w:t xml:space="preserve"> (АО «ТК РусГидро») </w:t>
      </w:r>
      <w:r>
        <w:rPr/>
        <w:t>(далее – Покупатель)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лот</w:t>
      </w:r>
      <w:r>
        <w:rPr>
          <w:rStyle w:val="Style6"/>
          <w:b w:val="false"/>
          <w:bCs w:val="false"/>
          <w:i w:val="false"/>
          <w:shd w:fill="auto" w:val="clear"/>
        </w:rPr>
        <w:t>у</w:t>
      </w:r>
      <w:r>
        <w:rPr>
          <w:rStyle w:val="Style6"/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 xml:space="preserve"> </w:t>
      </w:r>
      <w:r>
        <w:rPr>
          <w:rStyle w:val="Style6"/>
          <w:rFonts w:eastAsia="Calibri;Century Gothic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ОКПД2 46.12.11.000 Бункеровка  топливом судов Саратовского транспортного участка Приволжского филиала АО "ТК РусГидро"</w:t>
      </w:r>
      <w:r>
        <w:rPr>
          <w:rStyle w:val="Style6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shd w:fill="auto" w:val="clear"/>
          <w:em w:val="none"/>
          <w:lang w:val="ru-RU"/>
        </w:rPr>
        <w:t>.</w:t>
      </w:r>
    </w:p>
    <w:p>
      <w:pPr>
        <w:pStyle w:val="Normal"/>
        <w:jc w:val="left"/>
        <w:rPr>
          <w:rStyle w:val="Style6"/>
          <w:rFonts w:ascii="Times New Roman" w:hAnsi="Times New Roman" w:eastAsia="Calibri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shd w:fill="auto" w:val="clear"/>
          <w:em w:val="none"/>
          <w:lang w:val="ru-RU"/>
        </w:rPr>
      </w:pPr>
      <w:r>
        <w:rPr/>
      </w:r>
    </w:p>
    <w:p>
      <w:pPr>
        <w:pStyle w:val="Normal"/>
        <w:jc w:val="left"/>
        <w:rPr/>
      </w:pPr>
      <w:r>
        <w:rPr>
          <w:rStyle w:val="Style6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shd w:fill="auto" w:val="clear"/>
          <w:em w:val="none"/>
          <w:lang w:val="ru-RU"/>
        </w:rPr>
        <w:t>2.</w:t>
        <w:tab/>
        <w:t xml:space="preserve"> </w:t>
      </w:r>
      <w:r>
        <w:rPr>
          <w:b w:val="false"/>
          <w:bCs w:val="false"/>
        </w:rPr>
        <w:t xml:space="preserve">Подробные требования к продукции (в том числе, сведения об объеме, месте, </w:t>
      </w:r>
      <w:r>
        <w:rPr/>
        <w:t xml:space="preserve">сроках оказания услуг) приведены в приложении 1 к настоящему запросу; </w:t>
      </w:r>
      <w:r>
        <w:rPr/>
        <w:t xml:space="preserve">существенные </w:t>
      </w:r>
      <w:r>
        <w:rPr/>
        <w:t>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3.</w:t>
        <w:tab/>
        <w:t xml:space="preserve"> На</w:t>
      </w:r>
      <w:r>
        <w:rPr/>
        <w:t xml:space="preserve">стоящий запрос не является публичной офертой и не влечет за собой возникновения каких-либо обязательств для </w:t>
      </w:r>
      <w:r>
        <w:rPr/>
        <w:t>Заказчика</w:t>
      </w:r>
      <w:r>
        <w:rPr/>
        <w:t xml:space="preserve">. Рассмотрение </w:t>
      </w:r>
      <w:r>
        <w:rPr/>
        <w:t>Заказчико</w:t>
      </w:r>
      <w:r>
        <w:rPr/>
        <w:t>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jc w:val="left"/>
        <w:rPr/>
      </w:pPr>
      <w:r>
        <w:rPr/>
      </w:r>
    </w:p>
    <w:p>
      <w:pPr>
        <w:pStyle w:val="Normal"/>
        <w:numPr>
          <w:ilvl w:val="0"/>
          <w:numId w:val="0"/>
        </w:numPr>
        <w:spacing w:before="120" w:after="0"/>
        <w:ind w:left="0" w:hanging="0"/>
        <w:jc w:val="both"/>
        <w:rPr/>
      </w:pPr>
      <w:r>
        <w:rPr/>
        <w:t>4</w:t>
      </w:r>
      <w:r>
        <w:rPr/>
        <w:t xml:space="preserve">. </w:t>
        <w:tab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>дату направления предложения;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 xml:space="preserve">юридический адрес, почтовый адрес, ИНН </w:t>
      </w:r>
      <w:r>
        <w:rPr>
          <w:rStyle w:val="Style6"/>
          <w:b w:val="false"/>
          <w:shd w:fill="auto" w:val="clear"/>
        </w:rPr>
        <w:t>[для юридических лиц]</w:t>
      </w:r>
      <w:r>
        <w:rPr>
          <w:i/>
        </w:rPr>
        <w:t xml:space="preserve"> / </w:t>
      </w:r>
      <w:r>
        <w:rPr/>
        <w:t xml:space="preserve">паспортные данные, адрес регистрации, ИНН (при наличии) </w:t>
      </w:r>
      <w:r>
        <w:rPr>
          <w:rStyle w:val="Style6"/>
          <w:b w:val="false"/>
          <w:shd w:fill="auto" w:val="clear"/>
        </w:rPr>
        <w:t>[для физических лиц]</w:t>
      </w:r>
      <w:r>
        <w:rPr>
          <w:i/>
        </w:rPr>
        <w:t>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 xml:space="preserve">контактные данные контактного лица: </w:t>
      </w:r>
      <w:r>
        <w:rPr/>
        <w:t>ФИО контактного лица</w:t>
      </w:r>
      <w:r>
        <w:rPr/>
        <w:t>, номер телефона, адрес электронной почты</w:t>
      </w:r>
      <w:r>
        <w:rPr>
          <w:lang w:val="en-US"/>
        </w:rPr>
        <w:t>;</w:t>
      </w:r>
      <w:r>
        <w:rPr/>
        <w:t xml:space="preserve"> 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>
          <w:lang w:eastAsia="en-US"/>
        </w:rPr>
      </w:pPr>
      <w:r>
        <w:rPr/>
        <w:t xml:space="preserve">гарантии наличия у Поставщика </w:t>
      </w:r>
      <w:r>
        <w:rPr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>
          <w:lang w:eastAsia="en-US"/>
        </w:rPr>
      </w:pPr>
      <w:r>
        <w:rPr/>
        <w:t>информацию/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>
          <w:lang w:eastAsia="en-US"/>
        </w:rPr>
      </w:pPr>
      <w:r>
        <w:rPr/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>
          <w:lang w:eastAsia="en-US"/>
        </w:rPr>
      </w:pPr>
      <w:r>
        <w:rPr/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>
          <w:lang w:eastAsia="en-US"/>
        </w:rPr>
      </w:pPr>
      <w:r>
        <w:rPr/>
        <w:t>подтверждение возможности поставки требуемого объема продукции (см. приложение 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>
          <w:lang w:eastAsia="en-US"/>
        </w:rPr>
      </w:pPr>
      <w:r>
        <w:rPr/>
        <w:t>сроки поставки продукции в соответствии с установленными требованиями (см. приложение 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>согласие Поставщика на существенные условия будущего договора, в том числе условия оплаты  (см.</w:t>
      </w:r>
      <w:r>
        <w:rPr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>сроки и условия гарантийных обязательств в соответствии с установленными требованиями (см. приложение 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134" w:leader="none"/>
        </w:tabs>
        <w:spacing w:before="120" w:after="0"/>
        <w:ind w:left="567" w:hanging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134" w:leader="none"/>
        </w:tabs>
        <w:spacing w:before="120" w:after="0"/>
        <w:ind w:left="0" w:hanging="0"/>
        <w:jc w:val="both"/>
        <w:rPr/>
      </w:pPr>
      <w:r>
        <w:rPr/>
        <w:t>5</w:t>
      </w:r>
      <w:r>
        <w:rPr/>
        <w:t xml:space="preserve">.  </w:t>
        <w:tab/>
        <w:t xml:space="preserve">Срок подачи технико-коммерческих предложений: до </w:t>
      </w:r>
      <w:r>
        <w:rPr/>
        <w:t>14:00 (МСК) 1</w:t>
      </w:r>
      <w:r>
        <w:rPr/>
        <w:t>1</w:t>
      </w:r>
      <w:r>
        <w:rPr>
          <w:shd w:fill="FFFFFF" w:val="clear"/>
        </w:rPr>
        <w:t>.0</w:t>
      </w:r>
      <w:r>
        <w:rPr>
          <w:shd w:fill="FFFFFF" w:val="clear"/>
        </w:rPr>
        <w:t>9</w:t>
      </w:r>
      <w:r>
        <w:rPr>
          <w:shd w:fill="FFFFFF" w:val="clear"/>
        </w:rPr>
        <w:t>.202</w:t>
      </w:r>
      <w:r>
        <w:rPr>
          <w:shd w:fill="FFFFFF" w:val="clear"/>
        </w:rPr>
        <w:t>6</w:t>
      </w:r>
      <w:r>
        <w:rPr>
          <w:shd w:fill="FFFFFF" w:val="clear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1134" w:leader="none"/>
        </w:tabs>
        <w:spacing w:before="120" w:after="0"/>
        <w:ind w:left="0" w:hanging="0"/>
        <w:jc w:val="both"/>
        <w:rPr>
          <w:shd w:fill="FFFFFF" w:val="clear"/>
        </w:rPr>
      </w:pPr>
      <w:r>
        <w:rPr/>
      </w:r>
    </w:p>
    <w:p>
      <w:pPr>
        <w:pStyle w:val="Normal"/>
        <w:tabs>
          <w:tab w:val="clear" w:pos="709"/>
          <w:tab w:val="left" w:pos="284" w:leader="none"/>
        </w:tabs>
        <w:spacing w:before="120" w:after="0"/>
        <w:rPr/>
      </w:pPr>
      <w:r>
        <w:rPr/>
      </w:r>
    </w:p>
    <w:p>
      <w:pPr>
        <w:pStyle w:val="Normal"/>
        <w:keepNext w:val="true"/>
        <w:ind w:hanging="0"/>
        <w:jc w:val="both"/>
        <w:rPr/>
      </w:pPr>
      <w:r>
        <w:rPr/>
        <w:t>Приложения: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426" w:leader="none"/>
          <w:tab w:val="left" w:pos="851" w:leader="none"/>
        </w:tabs>
        <w:spacing w:lineRule="auto" w:line="240" w:before="12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- Технические требования </w:t>
      </w:r>
      <w:r>
        <w:rPr>
          <w:sz w:val="24"/>
          <w:szCs w:val="24"/>
        </w:rPr>
        <w:t>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426" w:leader="none"/>
          <w:tab w:val="left" w:pos="851" w:leader="none"/>
        </w:tabs>
        <w:spacing w:lineRule="auto" w:line="240" w:before="12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- Проект типового договора/ </w:t>
      </w:r>
      <w:r>
        <w:rPr>
          <w:sz w:val="24"/>
          <w:szCs w:val="24"/>
        </w:rPr>
        <w:t xml:space="preserve">Существенные условия договора </w:t>
      </w:r>
      <w:r>
        <w:rPr>
          <w:sz w:val="24"/>
          <w:szCs w:val="24"/>
        </w:rPr>
        <w:t xml:space="preserve"> (в том числе, условия оплаты и гарантийных обязательств).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426" w:leader="none"/>
        </w:tabs>
        <w:ind w:left="0" w:right="0" w:hanging="0"/>
        <w:rPr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/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6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qFormat/>
    <w:pPr>
      <w:keepNext w:val="true"/>
      <w:keepLines/>
      <w:pageBreakBefore/>
      <w:numPr>
        <w:ilvl w:val="0"/>
        <w:numId w:val="4"/>
      </w:numPr>
      <w:spacing w:before="480" w:after="240"/>
      <w:outlineLvl w:val="0"/>
    </w:pPr>
    <w:rPr>
      <w:rFonts w:ascii="Arial" w:hAnsi="Arial"/>
      <w:b/>
      <w:sz w:val="40"/>
    </w:rPr>
  </w:style>
  <w:style w:type="paragraph" w:styleId="Heading2">
    <w:name w:val="Heading 2"/>
    <w:basedOn w:val="Style9"/>
    <w:next w:val="BodyText"/>
    <w:qFormat/>
    <w:pPr>
      <w:numPr>
        <w:ilvl w:val="1"/>
        <w:numId w:val="3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2"/>
      </w:numPr>
      <w:ind w:left="0" w:right="-1759" w:hanging="0"/>
      <w:outlineLvl w:val="2"/>
    </w:pPr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комментарий"/>
    <w:qFormat/>
    <w:rPr>
      <w:b/>
      <w:i/>
      <w:shd w:fill="FFFF99" w:val="clear"/>
    </w:rPr>
  </w:style>
  <w:style w:type="character" w:styleId="Style7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8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sid w:val="005c1d23"/>
    <w:rPr>
      <w:color w:val="0563C1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1" w:customStyle="1">
    <w:name w:val="Стиль Заголовок 1 + по ширине"/>
    <w:basedOn w:val="Heading1"/>
    <w:qFormat/>
    <w:pPr>
      <w:pageBreakBefore w:val="false"/>
      <w:numPr>
        <w:ilvl w:val="0"/>
        <w:numId w:val="5"/>
      </w:numPr>
      <w:jc w:val="both"/>
    </w:pPr>
    <w:rPr>
      <w:bCs/>
    </w:rPr>
  </w:style>
  <w:style w:type="paragraph" w:styleId="ListParagraph">
    <w:name w:val="List Paragraph"/>
    <w:basedOn w:val="Normal"/>
    <w:uiPriority w:val="34"/>
    <w:qFormat/>
    <w:rsid w:val="00717137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34933392861" w:customStyle="1">
    <w:name w:val="34933392861"/>
    <w:qFormat/>
  </w:style>
  <w:style w:type="numbering" w:styleId="38398422331" w:customStyle="1">
    <w:name w:val="38398422331"/>
    <w:qFormat/>
  </w:style>
  <w:style w:type="numbering" w:styleId="WW8Num4">
    <w:name w:val="WW8Num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Application>AlterOffice/2025.3.1.0$Linux_X86_64 LibreOffice_project/6648c49ab2ca125dff246c75ec00a85a64baa8dd</Application>
  <AppVersion>15.0000</AppVersion>
  <Pages>2</Pages>
  <Words>449</Words>
  <Characters>3166</Characters>
  <CharactersWithSpaces>3588</CharactersWithSpaces>
  <Paragraphs>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2025-01-29T12:27:00Z</dcterms:created>
  <dc:creator>kolchinanv@corp.gidroogk.com</dc:creator>
  <dc:description/>
  <dc:language>ru-RU</dc:language>
  <cp:lastModifiedBy>gadalinaig@corp.gidroogk.com</cp:lastModifiedBy>
  <cp:lastPrinted>2025-12-23T16:20:30Z</cp:lastPrinted>
  <dcterms:modified xsi:type="dcterms:W3CDTF">2026-09-09T09:06:58Z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