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footer1.xml" ContentType="application/vnd.openxmlformats-officedocument.wordprocessingml.footer+xml"/>
  <Override PartName="/word/styles.xml" ContentType="application/vnd.openxmlformats-officedocument.wordprocessingml.styles+xml"/>
  <Override PartName="/word/header5.xml" ContentType="application/vnd.openxmlformats-officedocument.wordprocessingml.header+xml"/>
  <Override PartName="/word/settings.xml" ContentType="application/vnd.openxmlformats-officedocument.wordprocessingml.settings+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hd w:val="clear" w:color="auto" w:fill="FFFFFF"/>
        <w:tabs>
          <w:tab w:val="clear" w:pos="708"/>
          <w:tab w:val="left" w:pos="6926" w:leader="none"/>
        </w:tabs>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bCs/>
          <w:sz w:val="24"/>
          <w:szCs w:val="24"/>
          <w:lang w:eastAsia="ru-RU"/>
        </w:rPr>
        <w:t>Договор поставки</w:t>
      </w:r>
      <w:r>
        <w:rPr>
          <w:rStyle w:val="FootnoteReference"/>
          <w:rFonts w:eastAsia="Times New Roman" w:cs="Times New Roman" w:ascii="Times New Roman" w:hAnsi="Times New Roman"/>
          <w:b/>
          <w:bCs/>
          <w:sz w:val="24"/>
          <w:szCs w:val="24"/>
          <w:vertAlign w:val="superscript"/>
          <w:lang w:eastAsia="ru-RU"/>
        </w:rPr>
        <w:footnoteReference w:id="2"/>
      </w:r>
    </w:p>
    <w:p>
      <w:pPr>
        <w:pStyle w:val="Normal"/>
        <w:widowControl w:val="false"/>
        <w:shd w:val="clear" w:color="auto" w:fill="FFFFFF"/>
        <w:suppressAutoHyphens w:val="true"/>
        <w:spacing w:lineRule="auto" w:line="240" w:before="0" w:after="0"/>
        <w:ind w:firstLine="709"/>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val="false"/>
        <w:shd w:val="clear" w:color="auto" w:fill="FFFFFF"/>
        <w:tabs>
          <w:tab w:val="clear" w:pos="708"/>
          <w:tab w:val="right" w:pos="9639" w:leader="none"/>
        </w:tabs>
        <w:suppressAutoHyphens w:val="true"/>
        <w:spacing w:lineRule="auto" w:line="240" w:before="0" w:after="0"/>
        <w:jc w:val="right"/>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г. _________</w:t>
        <w:tab/>
        <w:t xml:space="preserve">   «___» _________ 20__ г.</w:t>
      </w:r>
    </w:p>
    <w:p>
      <w:pPr>
        <w:pStyle w:val="Normal"/>
        <w:widowControl w:val="false"/>
        <w:shd w:val="clear" w:color="auto" w:fill="FFFFFF"/>
        <w:tabs>
          <w:tab w:val="clear" w:pos="708"/>
          <w:tab w:val="right" w:pos="9639" w:leader="none"/>
        </w:tabs>
        <w:suppressAutoHyphens w:val="true"/>
        <w:spacing w:lineRule="auto" w:line="240" w:before="0" w:after="0"/>
        <w:ind w:firstLine="709"/>
        <w:jc w:val="right"/>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Акционерное общество «Транспортная компания РусГидро» (АО «ТК РусГидро»)</w:t>
      </w:r>
      <w:r>
        <w:rPr>
          <w:rFonts w:eastAsia="Times New Roman" w:cs="Times New Roman" w:ascii="Times New Roman" w:hAnsi="Times New Roman"/>
          <w:spacing w:val="2"/>
          <w:sz w:val="24"/>
          <w:szCs w:val="24"/>
          <w:lang w:eastAsia="ru-RU"/>
        </w:rPr>
        <w:t xml:space="preserve"> (далее – </w:t>
      </w:r>
      <w:r>
        <w:rPr>
          <w:rFonts w:eastAsia="Times New Roman" w:cs="Times New Roman" w:ascii="Times New Roman" w:hAnsi="Times New Roman"/>
          <w:sz w:val="24"/>
          <w:szCs w:val="24"/>
          <w:lang w:eastAsia="ru-RU"/>
        </w:rPr>
        <w:t>«Покупатель»), в лице _____________________</w:t>
      </w:r>
      <w:r>
        <w:rPr>
          <w:rFonts w:eastAsia="Times New Roman" w:cs="Times New Roman" w:ascii="Times New Roman" w:hAnsi="Times New Roman"/>
          <w:spacing w:val="4"/>
          <w:sz w:val="24"/>
          <w:szCs w:val="24"/>
          <w:lang w:eastAsia="ru-RU"/>
        </w:rPr>
        <w:t xml:space="preserve">, действующего на основании ________, с одной стороны, </w:t>
        <w:br/>
        <w:t>и</w:t>
      </w:r>
      <w:r>
        <w:rPr>
          <w:rFonts w:eastAsia="Times New Roman" w:cs="Times New Roman" w:ascii="Times New Roman" w:hAnsi="Times New Roman"/>
          <w:spacing w:val="10"/>
          <w:sz w:val="24"/>
          <w:szCs w:val="24"/>
          <w:lang w:eastAsia="ru-RU"/>
        </w:rPr>
        <w:t xml:space="preserve"> </w:t>
      </w:r>
      <w:r>
        <w:rPr>
          <w:rFonts w:eastAsia="Times New Roman" w:cs="Times New Roman" w:ascii="Times New Roman" w:hAnsi="Times New Roman"/>
          <w:b/>
          <w:spacing w:val="10"/>
          <w:sz w:val="24"/>
          <w:szCs w:val="24"/>
          <w:lang w:eastAsia="ru-RU"/>
        </w:rPr>
        <w:t>____________________</w:t>
      </w:r>
      <w:r>
        <w:rPr>
          <w:rFonts w:eastAsia="Times New Roman" w:cs="Times New Roman" w:ascii="Times New Roman" w:hAnsi="Times New Roman"/>
          <w:bCs/>
          <w:sz w:val="24"/>
          <w:szCs w:val="24"/>
          <w:lang w:eastAsia="ru-RU"/>
        </w:rPr>
        <w:t xml:space="preserve"> </w:t>
      </w:r>
      <w:r>
        <w:rPr>
          <w:rFonts w:eastAsia="Times New Roman" w:cs="Times New Roman" w:ascii="Times New Roman" w:hAnsi="Times New Roman"/>
          <w:sz w:val="24"/>
          <w:szCs w:val="24"/>
          <w:lang w:eastAsia="ru-RU"/>
        </w:rPr>
        <w:t xml:space="preserve">(далее – «Поставщик»), в лице _________________________, действующего на основании ___________________, с другой стороны, </w:t>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совместно в дальнейшем именуемые «Стороны», а по отдельности – «Сторона», </w:t>
        <w:br/>
      </w:r>
      <w:r>
        <w:rPr>
          <w:rFonts w:eastAsia="Times New Roman" w:cs="Times New Roman" w:ascii="Times New Roman" w:hAnsi="Times New Roman"/>
          <w:sz w:val="24"/>
          <w:szCs w:val="24"/>
          <w:highlight w:val="lightGray"/>
        </w:rPr>
        <w:t>по результатам проведенной Покупателем конкурентной процедуры по лоту № ____________ и на основании протокола от «___» _________ г. №_______,</w:t>
      </w:r>
    </w:p>
    <w:p>
      <w:pPr>
        <w:pStyle w:val="Normal"/>
        <w:widowControl w:val="false"/>
        <w:suppressAutoHyphens w:val="true"/>
        <w:spacing w:lineRule="auto" w:line="240" w:before="0" w:after="0"/>
        <w:ind w:firstLine="709"/>
        <w:jc w:val="both"/>
        <w:rPr>
          <w:rFonts w:ascii="Times New Roman" w:hAnsi="Times New Roman" w:eastAsia="Times New Roman" w:cs="Times New Roman"/>
          <w:spacing w:val="10"/>
          <w:sz w:val="24"/>
          <w:szCs w:val="24"/>
          <w:lang w:eastAsia="ru-RU"/>
        </w:rPr>
      </w:pPr>
      <w:r>
        <w:rPr>
          <w:rFonts w:eastAsia="Times New Roman" w:cs="Times New Roman" w:ascii="Times New Roman" w:hAnsi="Times New Roman"/>
          <w:sz w:val="24"/>
          <w:szCs w:val="24"/>
          <w:lang w:eastAsia="ru-RU"/>
        </w:rPr>
        <w:t>заключили настоящий договор поставки (далее – «Договор») о нижеследующем:</w:t>
      </w:r>
    </w:p>
    <w:p>
      <w:pPr>
        <w:pStyle w:val="Normal"/>
        <w:widowControl w:val="false"/>
        <w:shd w:val="clear" w:color="auto" w:fill="FFFFFF"/>
        <w:suppressAutoHyphens w:val="true"/>
        <w:spacing w:lineRule="auto" w:line="240" w:before="0" w:after="0"/>
        <w:ind w:firstLine="709"/>
        <w:rPr>
          <w:rFonts w:ascii="Times New Roman" w:hAnsi="Times New Roman" w:eastAsia="Times New Roman" w:cs="Times New Roman"/>
          <w:bCs/>
          <w:sz w:val="24"/>
          <w:szCs w:val="24"/>
          <w:lang w:val="x-none" w:eastAsia="ru-RU"/>
        </w:rPr>
      </w:pPr>
      <w:r>
        <w:rPr>
          <w:rFonts w:eastAsia="Times New Roman" w:cs="Times New Roman" w:ascii="Times New Roman" w:hAnsi="Times New Roman"/>
          <w:bCs/>
          <w:sz w:val="24"/>
          <w:szCs w:val="24"/>
          <w:lang w:val="x-none" w:eastAsia="ru-RU"/>
        </w:rPr>
      </w:r>
    </w:p>
    <w:p>
      <w:pPr>
        <w:pStyle w:val="Normal"/>
        <w:widowControl w:val="false"/>
        <w:shd w:val="clear" w:color="auto" w:fill="FFFFFF"/>
        <w:suppressAutoHyphens w:val="true"/>
        <w:spacing w:lineRule="auto" w:line="240" w:before="0" w:after="0"/>
        <w:ind w:firstLine="709"/>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Термины и определения</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Normal"/>
        <w:widowControl w:val="false"/>
        <w:shd w:val="clear" w:color="auto" w:fill="FFFFFF"/>
        <w:tabs>
          <w:tab w:val="clear" w:pos="708"/>
          <w:tab w:val="left" w:pos="0" w:leader="none"/>
        </w:tabs>
        <w:suppressAutoHyphens w:val="true"/>
        <w:spacing w:lineRule="auto" w:line="240" w:before="0" w:after="0"/>
        <w:ind w:firstLine="709"/>
        <w:contextualSpacing/>
        <w:jc w:val="both"/>
        <w:textAlignment w:val="baseline"/>
        <w:rPr>
          <w:rFonts w:ascii="Times New Roman" w:hAnsi="Times New Roman" w:eastAsia="Times New Roman" w:cs="Times New Roman"/>
          <w:sz w:val="24"/>
          <w:szCs w:val="24"/>
        </w:rPr>
      </w:pPr>
      <w:r>
        <w:rPr>
          <w:rFonts w:eastAsia="Times New Roman" w:cs="Times New Roman" w:ascii="Times New Roman" w:hAnsi="Times New Roman"/>
          <w:b/>
          <w:sz w:val="24"/>
          <w:szCs w:val="24"/>
        </w:rPr>
        <w:t>«Акт рекламации»</w:t>
      </w:r>
      <w:r>
        <w:rPr>
          <w:rFonts w:eastAsia="Times New Roman" w:cs="Times New Roman" w:ascii="Times New Roman" w:hAnsi="Times New Roman"/>
          <w:sz w:val="24"/>
          <w:szCs w:val="24"/>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Normal"/>
        <w:widowControl w:val="false"/>
        <w:shd w:val="clear" w:color="auto" w:fill="FFFFFF"/>
        <w:tabs>
          <w:tab w:val="clear" w:pos="708"/>
          <w:tab w:val="left" w:pos="567" w:leader="none"/>
          <w:tab w:val="left" w:pos="1134" w:leader="none"/>
        </w:tabs>
        <w:suppressAutoHyphens w:val="true"/>
        <w:spacing w:lineRule="auto" w:line="240" w:before="0" w:after="0"/>
        <w:ind w:firstLine="709"/>
        <w:contextualSpacing/>
        <w:jc w:val="both"/>
        <w:textAlignment w:val="baseline"/>
        <w:rPr>
          <w:rFonts w:ascii="Times New Roman" w:hAnsi="Times New Roman" w:eastAsia="Times New Roman" w:cs="Times New Roman"/>
          <w:sz w:val="24"/>
          <w:szCs w:val="24"/>
        </w:rPr>
      </w:pPr>
      <w:r>
        <w:rPr>
          <w:rFonts w:eastAsia="Times New Roman" w:cs="Times New Roman" w:ascii="Times New Roman" w:hAnsi="Times New Roman"/>
          <w:b/>
          <w:sz w:val="24"/>
          <w:szCs w:val="24"/>
          <w:highlight w:val="lightGray"/>
        </w:rPr>
        <w:t>«Гарантийный срок»</w:t>
      </w:r>
      <w:r>
        <w:rPr>
          <w:rFonts w:eastAsia="Times New Roman" w:cs="Times New Roman" w:ascii="Times New Roman" w:hAnsi="Times New Roman"/>
          <w:sz w:val="24"/>
          <w:szCs w:val="24"/>
          <w:highlight w:val="lightGray"/>
          <w:lang w:eastAsia="ru-RU"/>
        </w:rPr>
        <w:t xml:space="preserve"> </w:t>
      </w:r>
      <w:r>
        <w:rPr>
          <w:rFonts w:eastAsia="Times New Roman" w:cs="Times New Roman" w:ascii="Times New Roman" w:hAnsi="Times New Roman"/>
          <w:sz w:val="24"/>
          <w:szCs w:val="24"/>
          <w:highlight w:val="lightGray"/>
        </w:rPr>
        <w:t>– период, в течение которого качество поставленного Товара должно соответствовать требованиям Договора и Применимого права, и Поставщик и / или изготовитель Товара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Normal"/>
        <w:widowControl w:val="false"/>
        <w:shd w:val="clear" w:color="auto" w:fill="FFFFFF"/>
        <w:tabs>
          <w:tab w:val="clear" w:pos="708"/>
          <w:tab w:val="left" w:pos="0" w:leader="none"/>
        </w:tabs>
        <w:suppressAutoHyphens w:val="true"/>
        <w:spacing w:lineRule="auto" w:line="240" w:before="0" w:after="0"/>
        <w:ind w:firstLine="709"/>
        <w:contextualSpacing/>
        <w:jc w:val="both"/>
        <w:textAlignment w:val="baseline"/>
        <w:rPr>
          <w:rFonts w:ascii="Times New Roman" w:hAnsi="Times New Roman" w:eastAsia="Times New Roman" w:cs="Times New Roman"/>
          <w:sz w:val="24"/>
          <w:szCs w:val="24"/>
        </w:rPr>
      </w:pPr>
      <w:r>
        <w:rPr>
          <w:rFonts w:eastAsia="Times New Roman" w:cs="Times New Roman" w:ascii="Times New Roman" w:hAnsi="Times New Roman"/>
          <w:b/>
          <w:sz w:val="24"/>
          <w:szCs w:val="24"/>
        </w:rPr>
        <w:t>«Договор»</w:t>
      </w:r>
      <w:r>
        <w:rPr>
          <w:rFonts w:eastAsia="Times New Roman" w:cs="Times New Roman" w:ascii="Times New Roman" w:hAnsi="Times New Roman"/>
          <w:sz w:val="24"/>
          <w:szCs w:val="24"/>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w:t>
        <w:br/>
        <w:t>что они заключены надлежащим образом, и из них явно следует, что они составляют часть Договора.</w:t>
      </w:r>
    </w:p>
    <w:p>
      <w:pPr>
        <w:pStyle w:val="Normal"/>
        <w:widowControl w:val="false"/>
        <w:shd w:val="clear" w:color="auto" w:fill="FFFFFF"/>
        <w:tabs>
          <w:tab w:val="clear" w:pos="708"/>
          <w:tab w:val="left" w:pos="0" w:leader="none"/>
        </w:tabs>
        <w:suppressAutoHyphens w:val="true"/>
        <w:spacing w:lineRule="auto" w:line="240" w:before="0" w:after="0"/>
        <w:ind w:firstLine="709"/>
        <w:contextualSpacing/>
        <w:jc w:val="both"/>
        <w:textAlignment w:val="baseline"/>
        <w:rPr>
          <w:rFonts w:ascii="Times New Roman" w:hAnsi="Times New Roman" w:eastAsia="Times New Roman" w:cs="Times New Roman"/>
          <w:sz w:val="24"/>
          <w:szCs w:val="24"/>
        </w:rPr>
      </w:pPr>
      <w:r>
        <w:rPr>
          <w:rFonts w:eastAsia="Times New Roman" w:cs="Times New Roman" w:ascii="Times New Roman" w:hAnsi="Times New Roman"/>
          <w:b/>
          <w:sz w:val="24"/>
          <w:szCs w:val="24"/>
        </w:rPr>
        <w:t>«Коммерческая тайна»</w:t>
      </w:r>
      <w:r>
        <w:rPr>
          <w:rFonts w:eastAsia="Times New Roman" w:cs="Times New Roman" w:ascii="Times New Roman" w:hAnsi="Times New Roman"/>
          <w:sz w:val="24"/>
          <w:szCs w:val="24"/>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Normal"/>
        <w:widowControl w:val="false"/>
        <w:shd w:val="clear" w:color="auto" w:fill="FFFFFF"/>
        <w:tabs>
          <w:tab w:val="clear" w:pos="708"/>
          <w:tab w:val="left" w:pos="0" w:leader="none"/>
        </w:tabs>
        <w:suppressAutoHyphens w:val="true"/>
        <w:spacing w:lineRule="auto" w:line="240" w:before="0" w:after="0"/>
        <w:ind w:firstLine="709"/>
        <w:contextualSpacing/>
        <w:jc w:val="both"/>
        <w:textAlignment w:val="baseline"/>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«Накладная ТОРГ-12» </w:t>
      </w:r>
      <w:r>
        <w:rPr>
          <w:rFonts w:eastAsia="Times New Roman" w:cs="Times New Roman" w:ascii="Times New Roman" w:hAnsi="Times New Roman"/>
          <w:sz w:val="24"/>
          <w:szCs w:val="24"/>
        </w:rPr>
        <w:t>–</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документ, оформляемый по унифицированной форме </w:t>
        <w:br/>
        <w:t xml:space="preserve">№ ТОРГ-12 «Товарная накладная», утвержденной постановлением Госкомстата РФ </w:t>
        <w:br/>
        <w:t>от 25.12.1998 № 132, подписываемый Сторонами после завершения приемки Товара по количеству, качеству и комплектности.</w:t>
      </w:r>
    </w:p>
    <w:p>
      <w:pPr>
        <w:pStyle w:val="Normal"/>
        <w:widowControl w:val="false"/>
        <w:shd w:val="clear" w:color="auto" w:fill="FFFFFF"/>
        <w:tabs>
          <w:tab w:val="clear" w:pos="708"/>
          <w:tab w:val="left" w:pos="0" w:leader="none"/>
        </w:tabs>
        <w:suppressAutoHyphens w:val="true"/>
        <w:spacing w:lineRule="auto" w:line="240" w:before="0" w:after="0"/>
        <w:ind w:firstLine="709"/>
        <w:contextualSpacing/>
        <w:jc w:val="both"/>
        <w:textAlignment w:val="baseline"/>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«Отказ от Договора» </w:t>
      </w:r>
      <w:r>
        <w:rPr>
          <w:rFonts w:eastAsia="Times New Roman" w:cs="Times New Roman" w:ascii="Times New Roman" w:hAnsi="Times New Roman"/>
          <w:sz w:val="24"/>
          <w:szCs w:val="24"/>
        </w:rPr>
        <w:t xml:space="preserve">– односторонний внесудебный отказ от исполнения Договора, совершенный Стороной в соответствии со статьей 450.1 ГК РФ в случаях, установленных Договором. </w:t>
      </w:r>
    </w:p>
    <w:p>
      <w:pPr>
        <w:pStyle w:val="Normal"/>
        <w:keepLines/>
        <w:widowControl w:val="false"/>
        <w:numPr>
          <w:ilvl w:val="0"/>
          <w:numId w:val="0"/>
        </w:numPr>
        <w:tabs>
          <w:tab w:val="clear" w:pos="708"/>
          <w:tab w:val="left" w:pos="0" w:leader="none"/>
        </w:tabs>
        <w:suppressAutoHyphens w:val="true"/>
        <w:spacing w:lineRule="auto" w:line="240" w:before="0" w:after="0"/>
        <w:ind w:left="0" w:firstLine="709"/>
        <w:jc w:val="both"/>
        <w:textAlignment w:val="baseline"/>
        <w:outlineLvl w:val="2"/>
        <w:rPr>
          <w:rFonts w:ascii="Times New Roman" w:hAnsi="Times New Roman" w:eastAsia="Times New Roman" w:cs="Times New Roman"/>
          <w:bCs/>
          <w:sz w:val="24"/>
          <w:szCs w:val="24"/>
        </w:rPr>
      </w:pPr>
      <w:r>
        <w:rPr>
          <w:rFonts w:eastAsia="Times New Roman" w:cs="Times New Roman" w:ascii="Times New Roman" w:hAnsi="Times New Roman"/>
          <w:b/>
          <w:bCs/>
          <w:sz w:val="24"/>
          <w:szCs w:val="24"/>
          <w:lang w:val="x-none"/>
        </w:rPr>
        <w:t xml:space="preserve">«Партия Товара» </w:t>
      </w:r>
      <w:r>
        <w:rPr>
          <w:rFonts w:eastAsia="Times New Roman" w:cs="Times New Roman" w:ascii="Times New Roman" w:hAnsi="Times New Roman"/>
          <w:bCs/>
          <w:sz w:val="24"/>
          <w:szCs w:val="24"/>
          <w:lang w:val="x-none"/>
        </w:rPr>
        <w:t xml:space="preserve">– часть Товара, единовременно поставляемая Покупателю Поставщиком, </w:t>
      </w:r>
      <w:r>
        <w:rPr>
          <w:rFonts w:eastAsia="Times New Roman" w:cs="Times New Roman" w:ascii="Times New Roman" w:hAnsi="Times New Roman"/>
          <w:bCs/>
          <w:sz w:val="24"/>
          <w:szCs w:val="24"/>
        </w:rPr>
        <w:t>характеристики</w:t>
      </w:r>
      <w:r>
        <w:rPr>
          <w:rFonts w:eastAsia="Times New Roman" w:cs="Times New Roman" w:ascii="Times New Roman" w:hAnsi="Times New Roman"/>
          <w:bCs/>
          <w:sz w:val="24"/>
          <w:szCs w:val="24"/>
          <w:lang w:val="x-none"/>
        </w:rPr>
        <w:t xml:space="preserve"> которой определя</w:t>
      </w:r>
      <w:r>
        <w:rPr>
          <w:rFonts w:eastAsia="Times New Roman" w:cs="Times New Roman" w:ascii="Times New Roman" w:hAnsi="Times New Roman"/>
          <w:bCs/>
          <w:sz w:val="24"/>
          <w:szCs w:val="24"/>
        </w:rPr>
        <w:t>ю</w:t>
      </w:r>
      <w:r>
        <w:rPr>
          <w:rFonts w:eastAsia="Times New Roman" w:cs="Times New Roman" w:ascii="Times New Roman" w:hAnsi="Times New Roman"/>
          <w:bCs/>
          <w:sz w:val="24"/>
          <w:szCs w:val="24"/>
          <w:lang w:val="x-none"/>
        </w:rPr>
        <w:t xml:space="preserve">тся </w:t>
      </w:r>
      <w:r>
        <w:rPr>
          <w:rFonts w:eastAsia="Times New Roman" w:cs="Times New Roman" w:ascii="Times New Roman" w:hAnsi="Times New Roman"/>
          <w:bCs/>
          <w:sz w:val="24"/>
          <w:szCs w:val="24"/>
        </w:rPr>
        <w:t xml:space="preserve">Заявкой Покупателя в соответствии со </w:t>
      </w:r>
      <w:r>
        <w:rPr>
          <w:rFonts w:eastAsia="Times New Roman" w:cs="Times New Roman" w:ascii="Times New Roman" w:hAnsi="Times New Roman"/>
          <w:bCs/>
          <w:sz w:val="24"/>
          <w:szCs w:val="24"/>
          <w:lang w:val="x-none"/>
        </w:rPr>
        <w:t>Спецификацией, являющейся приложением к Договору.</w:t>
      </w:r>
    </w:p>
    <w:p>
      <w:pPr>
        <w:pStyle w:val="Normal"/>
        <w:keepLines/>
        <w:widowControl w:val="false"/>
        <w:numPr>
          <w:ilvl w:val="0"/>
          <w:numId w:val="0"/>
        </w:numPr>
        <w:tabs>
          <w:tab w:val="clear" w:pos="708"/>
          <w:tab w:val="left" w:pos="0" w:leader="none"/>
        </w:tabs>
        <w:suppressAutoHyphens w:val="true"/>
        <w:spacing w:lineRule="auto" w:line="240" w:before="0" w:after="0"/>
        <w:ind w:left="0" w:firstLine="709"/>
        <w:jc w:val="both"/>
        <w:textAlignment w:val="baseline"/>
        <w:outlineLvl w:val="2"/>
        <w:rPr>
          <w:rFonts w:ascii="Times New Roman" w:hAnsi="Times New Roman" w:eastAsia="Times New Roman" w:cs="Times New Roman"/>
          <w:bCs/>
          <w:sz w:val="24"/>
          <w:szCs w:val="24"/>
        </w:rPr>
      </w:pPr>
      <w:r>
        <w:rPr>
          <w:rFonts w:eastAsia="Times New Roman" w:cs="Times New Roman" w:ascii="Times New Roman" w:hAnsi="Times New Roman"/>
          <w:b/>
          <w:bCs/>
          <w:sz w:val="24"/>
          <w:szCs w:val="24"/>
        </w:rPr>
        <w:t>«Применимое право»</w:t>
      </w:r>
      <w:r>
        <w:rPr>
          <w:rFonts w:eastAsia="Times New Roman" w:cs="Times New Roman" w:ascii="Times New Roman" w:hAnsi="Times New Roman"/>
          <w:bCs/>
          <w:sz w:val="24"/>
          <w:szCs w:val="24"/>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«Рабочий день»</w:t>
      </w:r>
      <w:r>
        <w:rPr>
          <w:rFonts w:eastAsia="Times New Roman" w:cs="Times New Roman" w:ascii="Times New Roman" w:hAnsi="Times New Roman"/>
          <w:sz w:val="24"/>
          <w:szCs w:val="24"/>
        </w:rPr>
        <w:t xml:space="preserve"> – день, который в соответствии с Применимым правом, является рабочим днем в Российской Федерации.</w:t>
      </w:r>
    </w:p>
    <w:p>
      <w:pPr>
        <w:pStyle w:val="Normal"/>
        <w:keepLines/>
        <w:widowControl w:val="false"/>
        <w:numPr>
          <w:ilvl w:val="0"/>
          <w:numId w:val="0"/>
        </w:numPr>
        <w:tabs>
          <w:tab w:val="clear" w:pos="708"/>
          <w:tab w:val="left" w:pos="567" w:leader="none"/>
        </w:tabs>
        <w:suppressAutoHyphens w:val="true"/>
        <w:spacing w:lineRule="auto" w:line="240" w:before="0" w:after="0"/>
        <w:ind w:left="0" w:firstLine="708"/>
        <w:jc w:val="both"/>
        <w:textAlignment w:val="baseline"/>
        <w:outlineLvl w:val="2"/>
        <w:rPr>
          <w:rFonts w:ascii="Cambria" w:hAnsi="Cambria" w:eastAsia="Times New Roman" w:cs="Times New Roman"/>
          <w:b/>
          <w:bCs/>
          <w:color w:val="4F81BD"/>
          <w:sz w:val="20"/>
          <w:szCs w:val="20"/>
          <w:lang w:val="x-none" w:eastAsia="x-none"/>
        </w:rPr>
      </w:pPr>
      <w:r>
        <w:rPr>
          <w:rFonts w:eastAsia="Times New Roman" w:cs="Times New Roman" w:ascii="Times New Roman" w:hAnsi="Times New Roman"/>
          <w:b/>
          <w:bCs/>
          <w:color w:val="000000"/>
          <w:sz w:val="24"/>
          <w:szCs w:val="24"/>
        </w:rPr>
        <w:t xml:space="preserve">«Универсальный передаточный документ», «УПД» </w:t>
      </w:r>
      <w:r>
        <w:rPr>
          <w:rFonts w:eastAsia="Times New Roman" w:cs="Times New Roman" w:ascii="Times New Roman" w:hAnsi="Times New Roman"/>
          <w:bCs/>
          <w:color w:val="000000"/>
          <w:sz w:val="24"/>
          <w:szCs w:val="24"/>
        </w:rPr>
        <w:t>–</w:t>
      </w:r>
      <w:r>
        <w:rPr>
          <w:rFonts w:eastAsia="Times New Roman" w:cs="Times New Roman" w:ascii="Times New Roman" w:hAnsi="Times New Roman"/>
          <w:b/>
          <w:bCs/>
          <w:color w:val="000000"/>
          <w:sz w:val="24"/>
          <w:szCs w:val="24"/>
        </w:rPr>
        <w:t xml:space="preserve"> </w:t>
      </w:r>
      <w:r>
        <w:rPr>
          <w:rFonts w:eastAsia="Times New Roman" w:cs="Times New Roman" w:ascii="Times New Roman" w:hAnsi="Times New Roman"/>
          <w:bCs/>
          <w:color w:val="000000"/>
          <w:sz w:val="24"/>
          <w:szCs w:val="24"/>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eastAsia="Times New Roman" w:cs="Times New Roman" w:ascii="Times New Roman" w:hAnsi="Times New Roman"/>
          <w:color w:val="000000"/>
          <w:sz w:val="24"/>
          <w:szCs w:val="24"/>
        </w:rPr>
        <w:t>.</w:t>
      </w:r>
    </w:p>
    <w:p>
      <w:pPr>
        <w:pStyle w:val="Normal"/>
        <w:keepNext w:val="true"/>
        <w:keepLines/>
        <w:widowControl w:val="false"/>
        <w:numPr>
          <w:ilvl w:val="0"/>
          <w:numId w:val="0"/>
        </w:numPr>
        <w:tabs>
          <w:tab w:val="clear" w:pos="708"/>
          <w:tab w:val="left" w:pos="0" w:leader="none"/>
        </w:tabs>
        <w:suppressAutoHyphens w:val="true"/>
        <w:spacing w:lineRule="auto" w:line="240" w:before="0" w:after="0"/>
        <w:ind w:left="0" w:firstLine="709"/>
        <w:jc w:val="both"/>
        <w:textAlignment w:val="baseline"/>
        <w:outlineLvl w:val="2"/>
        <w:rPr>
          <w:rFonts w:ascii="Times New Roman" w:hAnsi="Times New Roman" w:eastAsia="Times New Roman" w:cs="Times New Roman"/>
          <w:bCs/>
          <w:sz w:val="24"/>
          <w:szCs w:val="24"/>
        </w:rPr>
      </w:pPr>
      <w:r>
        <w:rPr>
          <w:rFonts w:eastAsia="Times New Roman" w:cs="Times New Roman" w:ascii="Times New Roman" w:hAnsi="Times New Roman"/>
          <w:b/>
          <w:bCs/>
          <w:sz w:val="24"/>
          <w:szCs w:val="24"/>
        </w:rPr>
        <w:t>«Цена Договора»</w:t>
      </w:r>
      <w:r>
        <w:rPr>
          <w:rFonts w:eastAsia="Times New Roman" w:cs="Times New Roman" w:ascii="Times New Roman" w:hAnsi="Times New Roman"/>
          <w:bCs/>
          <w:sz w:val="24"/>
          <w:szCs w:val="24"/>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и причитающееся ему вознаграждение, а также инфляционные риски на весь период действия Договора. </w:t>
      </w:r>
    </w:p>
    <w:p>
      <w:pPr>
        <w:pStyle w:val="Normal"/>
        <w:widowControl w:val="false"/>
        <w:shd w:val="clear" w:color="auto" w:fill="FFFFFF"/>
        <w:suppressAutoHyphens w:val="true"/>
        <w:spacing w:lineRule="auto" w:line="240" w:before="0" w:after="0"/>
        <w:ind w:firstLine="709"/>
        <w:jc w:val="center"/>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widowControl w:val="false"/>
        <w:numPr>
          <w:ilvl w:val="0"/>
          <w:numId w:val="2"/>
        </w:numPr>
        <w:shd w:val="clear" w:color="auto" w:fill="FFFFFF"/>
        <w:tabs>
          <w:tab w:val="clear" w:pos="708"/>
          <w:tab w:val="left" w:pos="284" w:leader="none"/>
        </w:tabs>
        <w:suppressAutoHyphens w:val="true"/>
        <w:spacing w:lineRule="auto" w:line="240" w:before="0" w:after="0"/>
        <w:ind w:left="0" w:hanging="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Предмет Договора</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Поставщик обязуется в порядке и сроки, установленные Договором, передать в собственность Покупателю</w:t>
      </w:r>
      <w:r>
        <w:rPr>
          <w:rFonts w:eastAsia="Calibri" w:cs="Times New Roman" w:ascii="Times New Roman" w:hAnsi="Times New Roman"/>
          <w:bCs/>
          <w:sz w:val="24"/>
          <w:szCs w:val="24"/>
        </w:rPr>
        <w:t xml:space="preserve"> </w:t>
      </w:r>
      <w:r>
        <w:rPr>
          <w:rFonts w:eastAsia="Calibri" w:cs="Times New Roman" w:ascii="Times New Roman" w:hAnsi="Times New Roman"/>
          <w:b/>
          <w:bCs/>
          <w:sz w:val="24"/>
          <w:szCs w:val="24"/>
        </w:rPr>
        <w:t>запасны</w:t>
      </w:r>
      <w:r>
        <w:rPr>
          <w:rFonts w:eastAsia="Calibri" w:cs="Times New Roman" w:ascii="Times New Roman" w:hAnsi="Times New Roman"/>
          <w:b/>
          <w:bCs/>
          <w:sz w:val="24"/>
          <w:szCs w:val="24"/>
        </w:rPr>
        <w:t>е</w:t>
      </w:r>
      <w:r>
        <w:rPr>
          <w:rFonts w:eastAsia="Calibri" w:cs="Times New Roman" w:ascii="Times New Roman" w:hAnsi="Times New Roman"/>
          <w:b/>
          <w:bCs/>
          <w:sz w:val="24"/>
          <w:szCs w:val="24"/>
        </w:rPr>
        <w:t xml:space="preserve"> част</w:t>
      </w:r>
      <w:r>
        <w:rPr>
          <w:rFonts w:eastAsia="Calibri" w:cs="Times New Roman" w:ascii="Times New Roman" w:hAnsi="Times New Roman"/>
          <w:b/>
          <w:bCs/>
          <w:sz w:val="24"/>
          <w:szCs w:val="24"/>
        </w:rPr>
        <w:t>и</w:t>
      </w:r>
      <w:r>
        <w:rPr>
          <w:rFonts w:eastAsia="Calibri" w:cs="Times New Roman" w:ascii="Times New Roman" w:hAnsi="Times New Roman"/>
          <w:b/>
          <w:bCs/>
          <w:sz w:val="24"/>
          <w:szCs w:val="24"/>
        </w:rPr>
        <w:t xml:space="preserve"> и материал</w:t>
      </w:r>
      <w:r>
        <w:rPr>
          <w:rFonts w:eastAsia="Calibri" w:cs="Times New Roman" w:ascii="Times New Roman" w:hAnsi="Times New Roman"/>
          <w:b/>
          <w:bCs/>
          <w:sz w:val="24"/>
          <w:szCs w:val="24"/>
        </w:rPr>
        <w:t>ы</w:t>
      </w:r>
      <w:r>
        <w:rPr>
          <w:rFonts w:eastAsia="Calibri" w:cs="Times New Roman" w:ascii="Times New Roman" w:hAnsi="Times New Roman"/>
          <w:b/>
          <w:bCs/>
          <w:sz w:val="24"/>
          <w:szCs w:val="24"/>
        </w:rPr>
        <w:t xml:space="preserve"> для водного транспорта Приволжского филиала АО "ТК РусГидро" </w:t>
      </w:r>
      <w:r>
        <w:rPr>
          <w:rFonts w:eastAsia="Times New Roman" w:cs="Times New Roman" w:ascii="Times New Roman" w:hAnsi="Times New Roman"/>
          <w:bCs/>
          <w:sz w:val="24"/>
          <w:szCs w:val="24"/>
          <w:lang w:eastAsia="ru-RU"/>
        </w:rPr>
        <w:t>(далее – «Товар») в соответствии со Спецификацией (Приложение № 1 к Договору), а Покупатель обязуется принять Товар и уплатить Цену Договора.</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Наименование, ассортимент и количество Товара (партий Товара), а также сроки и место его поставки указываются в заявке Покупателя, оформляемой в соответствии со Спецификацией </w:t>
      </w:r>
      <w:r>
        <w:rPr>
          <w:rFonts w:eastAsia="Times New Roman" w:cs="Times New Roman" w:ascii="Times New Roman" w:hAnsi="Times New Roman"/>
          <w:bCs/>
          <w:sz w:val="24"/>
          <w:szCs w:val="24"/>
          <w:lang w:eastAsia="ru-RU"/>
        </w:rPr>
        <w:t>(Приложение № 1 к Договору)</w:t>
      </w:r>
      <w:r>
        <w:rPr>
          <w:rFonts w:eastAsia="Times New Roman" w:cs="Times New Roman" w:ascii="Times New Roman" w:hAnsi="Times New Roman"/>
          <w:sz w:val="24"/>
          <w:szCs w:val="24"/>
          <w:lang w:eastAsia="ru-RU"/>
        </w:rPr>
        <w:t xml:space="preserve"> по форме согласно Приложению № 2 к Договору (далее – «Заявка») и направляемой Продавцу в порядке и сроки, установленные пунктом 3.1 Договора. </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Поставка Товара по Договору осуществляется для нужд </w:t>
      </w:r>
      <w:r>
        <w:rPr>
          <w:rFonts w:eastAsia="Calibri" w:cs="Times New Roman" w:ascii="Times New Roman" w:hAnsi="Times New Roman"/>
          <w:b/>
          <w:bCs/>
          <w:sz w:val="24"/>
          <w:szCs w:val="24"/>
        </w:rPr>
        <w:t>Приволжского филиала АО «ТК РусГидро»</w:t>
      </w:r>
      <w:r>
        <w:rPr>
          <w:rFonts w:eastAsia="Times New Roman" w:cs="Times New Roman" w:ascii="Times New Roman" w:hAnsi="Times New Roman"/>
          <w:bCs/>
          <w:sz w:val="24"/>
          <w:szCs w:val="24"/>
          <w:lang w:eastAsia="ru-RU"/>
        </w:rPr>
        <w:t xml:space="preserve"> </w:t>
      </w:r>
      <w:r>
        <w:rPr>
          <w:rFonts w:eastAsia="Times New Roman" w:cs="Times New Roman" w:ascii="Times New Roman" w:hAnsi="Times New Roman"/>
          <w:bCs/>
          <w:sz w:val="24"/>
          <w:szCs w:val="24"/>
          <w:highlight w:val="lightGray"/>
          <w:lang w:eastAsia="ru-RU"/>
        </w:rPr>
        <w:t>.</w:t>
      </w:r>
    </w:p>
    <w:p>
      <w:pPr>
        <w:pStyle w:val="Normal"/>
        <w:widowControl w:val="false"/>
        <w:numPr>
          <w:ilvl w:val="1"/>
          <w:numId w:val="2"/>
        </w:numPr>
        <w:shd w:val="clear" w:color="auto" w:fill="FFFFFF"/>
        <w:tabs>
          <w:tab w:val="clear" w:pos="708"/>
          <w:tab w:val="left" w:pos="0" w:leader="none"/>
          <w:tab w:val="left" w:pos="540" w:leader="none"/>
          <w:tab w:val="left" w:pos="1134"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Общий срок поставки Товара:</w:t>
      </w:r>
    </w:p>
    <w:p>
      <w:pPr>
        <w:pStyle w:val="Normal"/>
        <w:widowControl w:val="false"/>
        <w:numPr>
          <w:ilvl w:val="2"/>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Начало – 01 </w:t>
      </w:r>
      <w:r>
        <w:rPr>
          <w:rFonts w:eastAsia="Times New Roman" w:cs="Times New Roman" w:ascii="Times New Roman" w:hAnsi="Times New Roman"/>
          <w:bCs/>
          <w:sz w:val="24"/>
          <w:szCs w:val="24"/>
          <w:lang w:eastAsia="ru-RU"/>
        </w:rPr>
        <w:t>апреля</w:t>
      </w:r>
      <w:r>
        <w:rPr>
          <w:rFonts w:eastAsia="Times New Roman" w:cs="Times New Roman" w:ascii="Times New Roman" w:hAnsi="Times New Roman"/>
          <w:bCs/>
          <w:sz w:val="24"/>
          <w:szCs w:val="24"/>
          <w:lang w:eastAsia="ru-RU"/>
        </w:rPr>
        <w:t xml:space="preserve"> 2027 г.;</w:t>
      </w:r>
    </w:p>
    <w:p>
      <w:pPr>
        <w:pStyle w:val="Normal"/>
        <w:widowControl w:val="false"/>
        <w:numPr>
          <w:ilvl w:val="2"/>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Окончание – 31 октября 2027 г.</w:t>
      </w:r>
    </w:p>
    <w:p>
      <w:pPr>
        <w:pStyle w:val="Normal"/>
        <w:widowControl w:val="false"/>
        <w:shd w:val="clear" w:color="auto" w:fill="FFFFFF"/>
        <w:tabs>
          <w:tab w:val="clear" w:pos="708"/>
          <w:tab w:val="left" w:pos="540"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tabs>
          <w:tab w:val="clear" w:pos="708"/>
          <w:tab w:val="left" w:pos="284" w:leader="none"/>
        </w:tabs>
        <w:suppressAutoHyphens w:val="true"/>
        <w:spacing w:lineRule="auto" w:line="240" w:before="0" w:after="0"/>
        <w:ind w:left="0" w:hanging="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Цена Договора и порядок расчетов</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Цена Договора </w:t>
      </w:r>
      <w:r>
        <w:rPr>
          <w:rFonts w:eastAsia="Times New Roman" w:cs="Times New Roman" w:ascii="Times New Roman" w:hAnsi="Times New Roman"/>
          <w:bCs/>
          <w:sz w:val="24"/>
          <w:szCs w:val="24"/>
          <w:lang w:eastAsia="ru-RU"/>
        </w:rPr>
        <w:t xml:space="preserve">является предельной и составляет </w:t>
      </w:r>
      <w:r>
        <w:rPr>
          <w:rFonts w:eastAsia="Times New Roman" w:cs="Times New Roman" w:ascii="Times New Roman" w:hAnsi="Times New Roman"/>
          <w:sz w:val="24"/>
          <w:szCs w:val="24"/>
          <w:highlight w:val="lightGray"/>
          <w:lang w:eastAsia="ru-RU"/>
        </w:rPr>
        <w:t>_____</w:t>
      </w:r>
      <w:bookmarkStart w:id="0" w:name="_GoBack"/>
      <w:bookmarkEnd w:id="0"/>
      <w:r>
        <w:rPr>
          <w:rFonts w:eastAsia="Times New Roman" w:cs="Times New Roman" w:ascii="Times New Roman" w:hAnsi="Times New Roman"/>
          <w:sz w:val="24"/>
          <w:szCs w:val="24"/>
          <w:highlight w:val="lightGray"/>
          <w:lang w:eastAsia="ru-RU"/>
        </w:rPr>
        <w:t>__</w:t>
      </w:r>
      <w:r>
        <w:rPr>
          <w:rFonts w:eastAsia="Times New Roman" w:cs="Times New Roman" w:ascii="Times New Roman" w:hAnsi="Times New Roman"/>
          <w:bCs/>
          <w:sz w:val="24"/>
          <w:szCs w:val="24"/>
          <w:lang w:eastAsia="ru-RU"/>
        </w:rPr>
        <w:t xml:space="preserve"> (</w:t>
      </w:r>
      <w:r>
        <w:rPr>
          <w:rFonts w:eastAsia="Times New Roman" w:cs="Times New Roman" w:ascii="Times New Roman" w:hAnsi="Times New Roman"/>
          <w:sz w:val="24"/>
          <w:szCs w:val="24"/>
          <w:highlight w:val="lightGray"/>
          <w:lang w:eastAsia="ru-RU"/>
        </w:rPr>
        <w:t>__________________</w:t>
      </w:r>
      <w:r>
        <w:rPr>
          <w:rFonts w:eastAsia="Times New Roman" w:cs="Times New Roman" w:ascii="Times New Roman" w:hAnsi="Times New Roman"/>
          <w:bCs/>
          <w:sz w:val="24"/>
          <w:szCs w:val="24"/>
          <w:highlight w:val="lightGray"/>
          <w:lang w:eastAsia="ru-RU"/>
        </w:rPr>
        <w:t>)</w:t>
      </w:r>
      <w:r>
        <w:rPr>
          <w:rFonts w:eastAsia="Times New Roman" w:cs="Times New Roman" w:ascii="Times New Roman" w:hAnsi="Times New Roman"/>
          <w:bCs/>
          <w:sz w:val="24"/>
          <w:szCs w:val="24"/>
          <w:lang w:eastAsia="ru-RU"/>
        </w:rPr>
        <w:t xml:space="preserve"> рублей </w:t>
      </w:r>
      <w:r>
        <w:rPr>
          <w:rFonts w:eastAsia="Times New Roman" w:cs="Times New Roman" w:ascii="Times New Roman" w:hAnsi="Times New Roman"/>
          <w:sz w:val="24"/>
          <w:szCs w:val="24"/>
          <w:highlight w:val="lightGray"/>
          <w:lang w:eastAsia="ru-RU"/>
        </w:rPr>
        <w:t>___</w:t>
      </w:r>
      <w:r>
        <w:rPr>
          <w:rFonts w:eastAsia="Times New Roman" w:cs="Times New Roman" w:ascii="Times New Roman" w:hAnsi="Times New Roman"/>
          <w:bCs/>
          <w:sz w:val="24"/>
          <w:szCs w:val="24"/>
          <w:lang w:eastAsia="ru-RU"/>
        </w:rPr>
        <w:t xml:space="preserve"> копеек без учета НДС, при этом НДС исчисляется дополнительно по ставке, установленной ст. 164 Налогового Кодекса РФ. </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 xml:space="preserve">Цена за единицу Товара определяется в соответствии со Спецификацией (Приложение № 1 к Договору) и является фиксированной в течение всего срока действия Договора. </w:t>
      </w:r>
      <w:r>
        <w:rPr>
          <w:rFonts w:eastAsia="Times New Roman" w:cs="Times New Roman" w:ascii="Times New Roman" w:hAnsi="Times New Roman"/>
          <w:sz w:val="24"/>
          <w:szCs w:val="24"/>
          <w:lang w:eastAsia="ru-RU"/>
        </w:rPr>
        <w:t>Общая стоимость Товара (всех партий Товара), указанного в Заявках, оформленных Покупателем в течение срока действия Договора, не может превышать Цену Договора, указанную в пункте 2.1 Договора.</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Цена Договора включает в себя прибыль Поставщика, а также все расходы и затраты Поставщика на: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highlight w:val="lightGray"/>
          <w:lang w:eastAsia="ru-RU"/>
        </w:rPr>
        <w:t>Производство и / или</w:t>
      </w:r>
      <w:r>
        <w:rPr>
          <w:rFonts w:eastAsia="Times New Roman" w:cs="Times New Roman" w:ascii="Times New Roman" w:hAnsi="Times New Roman"/>
          <w:bCs/>
          <w:sz w:val="24"/>
          <w:szCs w:val="24"/>
          <w:lang w:eastAsia="ru-RU"/>
        </w:rPr>
        <w:t xml:space="preserve"> приобретение Товара;</w:t>
      </w:r>
    </w:p>
    <w:p>
      <w:pPr>
        <w:pStyle w:val="Normal"/>
        <w:widowControl w:val="false"/>
        <w:numPr>
          <w:ilvl w:val="2"/>
          <w:numId w:val="9"/>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Транспортировку Товара до места поставки, погрузку, разгрузку, </w:t>
      </w:r>
      <w:r>
        <w:rPr>
          <w:rFonts w:eastAsia="Times New Roman" w:cs="Times New Roman" w:ascii="Times New Roman" w:hAnsi="Times New Roman"/>
          <w:bCs/>
          <w:sz w:val="24"/>
          <w:szCs w:val="24"/>
          <w:highlight w:val="lightGray"/>
          <w:lang w:eastAsia="ru-RU"/>
        </w:rPr>
        <w:t>перемещение по территории Покупателя</w:t>
      </w:r>
      <w:r>
        <w:rPr>
          <w:rStyle w:val="FootnoteReference"/>
          <w:rFonts w:eastAsia="Times New Roman" w:cs="Times New Roman" w:ascii="Times New Roman" w:hAnsi="Times New Roman"/>
          <w:sz w:val="24"/>
          <w:szCs w:val="24"/>
          <w:highlight w:val="lightGray"/>
          <w:vertAlign w:val="superscript"/>
          <w:lang w:eastAsia="ru-RU"/>
        </w:rPr>
        <w:footnoteReference w:id="3"/>
      </w:r>
      <w:r>
        <w:rPr>
          <w:rFonts w:eastAsia="Times New Roman" w:cs="Times New Roman" w:ascii="Times New Roman" w:hAnsi="Times New Roman"/>
          <w:bCs/>
          <w:sz w:val="24"/>
          <w:szCs w:val="24"/>
          <w:lang w:eastAsia="ru-RU"/>
        </w:rPr>
        <w:t xml:space="preserve">, стоимость тары и упаковки, лицензий, необходимых для использования Товара (если применимо);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Подлежащие уплате налоги, сборы и пошлины (в том числе по таможенному оформлению Товара, если применимо)</w:t>
      </w:r>
      <w:r>
        <w:rPr>
          <w:rFonts w:eastAsia="Times New Roman" w:cs="Times New Roman" w:ascii="Times New Roman" w:hAnsi="Times New Roman"/>
          <w:bCs/>
          <w:sz w:val="24"/>
          <w:szCs w:val="24"/>
          <w:lang w:val="en-US" w:eastAsia="ru-RU"/>
        </w:rPr>
        <w:t>;</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Заработную плату, накладные и командировочные расходы, перемещение персонала Поставщика;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Все прочие затраты и расходы Поставщика, связанные с поставкой Товара 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widowControl w:val="false"/>
        <w:numPr>
          <w:ilvl w:val="1"/>
          <w:numId w:val="2"/>
        </w:numPr>
        <w:shd w:val="clear" w:color="auto" w:fill="FFFFFF"/>
        <w:tabs>
          <w:tab w:val="clear" w:pos="708"/>
          <w:tab w:val="left" w:pos="568" w:leader="none"/>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widowControl w:val="false"/>
        <w:numPr>
          <w:ilvl w:val="1"/>
          <w:numId w:val="2"/>
        </w:numPr>
        <w:shd w:val="clear" w:color="auto" w:fill="FFFFFF"/>
        <w:suppressAutoHyphens w:val="true"/>
        <w:spacing w:lineRule="auto" w:line="240" w:before="0" w:after="0"/>
        <w:ind w:left="0" w:firstLine="709"/>
        <w:contextualSpacing/>
        <w:jc w:val="both"/>
        <w:rPr>
          <w:rFonts w:ascii="Times New Roman" w:hAnsi="Times New Roman" w:eastAsia="Times New Roman" w:cs="Times New Roman"/>
          <w:bCs/>
          <w:sz w:val="24"/>
          <w:szCs w:val="20"/>
          <w:lang w:eastAsia="ru-RU"/>
        </w:rPr>
      </w:pPr>
      <w:r>
        <w:rPr>
          <w:rFonts w:eastAsia="Times New Roman" w:cs="Times New Roman" w:ascii="Times New Roman" w:hAnsi="Times New Roman"/>
          <w:bCs/>
          <w:sz w:val="24"/>
          <w:szCs w:val="20"/>
          <w:lang w:eastAsia="ru-RU"/>
        </w:rPr>
        <w:t>Оплата по Договору осуществляется Покупателем в следующем порядке:</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bCs/>
          <w:sz w:val="24"/>
          <w:szCs w:val="20"/>
          <w:lang w:eastAsia="ru-RU"/>
        </w:rPr>
      </w:pPr>
      <w:r>
        <w:rPr>
          <w:rFonts w:eastAsia="Times New Roman" w:cs="Times New Roman" w:ascii="Times New Roman" w:hAnsi="Times New Roman"/>
          <w:bCs/>
          <w:sz w:val="24"/>
          <w:szCs w:val="20"/>
          <w:lang w:eastAsia="ru-RU"/>
        </w:rPr>
        <w:t>2.5.1. Авансовый платеж в размере 30 (тридцати) процентов от стоимости Товара без учета НДС, кроме того НДС по ставке, установленной статьей 164 НК РФ на дату выплаты авансового платежа, выплачиваются  Поставщику в течение 30 (тридцати) календарных дней с даты получения Покупателем счета, выставленного Поставщиком, и с учетом пунктов 2.6. Договора.</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bCs/>
          <w:sz w:val="24"/>
          <w:szCs w:val="20"/>
          <w:lang w:eastAsia="ru-RU"/>
        </w:rPr>
      </w:pPr>
      <w:r>
        <w:rPr>
          <w:rFonts w:eastAsia="Times New Roman" w:cs="Times New Roman" w:ascii="Times New Roman" w:hAnsi="Times New Roman"/>
          <w:bCs/>
          <w:sz w:val="24"/>
          <w:szCs w:val="20"/>
          <w:lang w:eastAsia="ru-RU"/>
        </w:rPr>
        <w:t>2.5.2. Последующие платежи в размере разницы между стоимостью партии Товара без учета НДС, кроме того НДС по ставке, установленной статьей 164 НК РФ на дату подписания Сторонами накладной ТОРГ-12, и суммой ранее уплаченного авансового платежа, выплачиваются  Поставщику в течение 20 (календарных) дней / 7 (семи) рабочих дней1 с даты подписания Сторонами накладной ТОРГ-12, на основании счета, выставленного Поставщиком, и с учетом пункта 2.6 Договора.</w:t>
      </w:r>
    </w:p>
    <w:p>
      <w:pPr>
        <w:pStyle w:val="Normal"/>
        <w:widowControl w:val="false"/>
        <w:numPr>
          <w:ilvl w:val="1"/>
          <w:numId w:val="2"/>
        </w:numPr>
        <w:shd w:val="clear" w:color="auto" w:fill="FFFFFF"/>
        <w:tabs>
          <w:tab w:val="clear" w:pos="708"/>
          <w:tab w:val="left" w:pos="0" w:leader="none"/>
          <w:tab w:val="left" w:pos="1134" w:leader="none"/>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widowControl w:val="false"/>
        <w:numPr>
          <w:ilvl w:val="1"/>
          <w:numId w:val="2"/>
        </w:numPr>
        <w:shd w:val="clear" w:color="auto" w:fill="FFFFFF"/>
        <w:tabs>
          <w:tab w:val="clear" w:pos="708"/>
          <w:tab w:val="left" w:pos="0" w:leader="none"/>
          <w:tab w:val="left" w:pos="567" w:leader="none"/>
          <w:tab w:val="left" w:pos="716" w:leader="none"/>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Индексация Цены Договора не допускается.</w:t>
      </w:r>
    </w:p>
    <w:p>
      <w:pPr>
        <w:pStyle w:val="Normal"/>
        <w:widowControl w:val="false"/>
        <w:numPr>
          <w:ilvl w:val="1"/>
          <w:numId w:val="2"/>
        </w:numPr>
        <w:shd w:val="clear" w:color="auto" w:fill="FFFFFF"/>
        <w:tabs>
          <w:tab w:val="clear" w:pos="708"/>
          <w:tab w:val="left" w:pos="0" w:leader="none"/>
          <w:tab w:val="left" w:pos="567" w:leader="none"/>
          <w:tab w:val="left" w:pos="716" w:leader="none"/>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lightGray"/>
          <w:lang w:eastAsia="ru-RU"/>
        </w:rPr>
        <w:t>Поставщик обязан представить Покупателю счета</w:t>
      </w:r>
      <w:r>
        <w:rPr>
          <w:rFonts w:eastAsia="Times New Roman" w:cs="Times New Roman" w:ascii="Times New Roman" w:hAnsi="Times New Roman"/>
          <w:bCs/>
          <w:sz w:val="24"/>
          <w:szCs w:val="24"/>
          <w:highlight w:val="lightGray"/>
          <w:lang w:eastAsia="ru-RU"/>
        </w:rPr>
        <w:t>-</w:t>
      </w:r>
      <w:r>
        <w:rPr>
          <w:rFonts w:eastAsia="Times New Roman" w:cs="Times New Roman" w:ascii="Times New Roman" w:hAnsi="Times New Roman"/>
          <w:sz w:val="24"/>
          <w:szCs w:val="24"/>
          <w:highlight w:val="lightGray"/>
          <w:lang w:eastAsia="ru-RU"/>
        </w:rPr>
        <w:t>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w:t>
      </w:r>
      <w:r>
        <w:rPr>
          <w:rFonts w:eastAsia="Times New Roman" w:cs="Times New Roman" w:ascii="Times New Roman" w:hAnsi="Times New Roman"/>
          <w:bCs/>
          <w:sz w:val="24"/>
          <w:szCs w:val="24"/>
          <w:highlight w:val="lightGray"/>
          <w:lang w:eastAsia="ru-RU"/>
        </w:rPr>
        <w:t>-</w:t>
      </w:r>
      <w:r>
        <w:rPr>
          <w:rFonts w:eastAsia="Times New Roman" w:cs="Times New Roman" w:ascii="Times New Roman" w:hAnsi="Times New Roman"/>
          <w:sz w:val="24"/>
          <w:szCs w:val="24"/>
          <w:highlight w:val="lightGray"/>
          <w:lang w:eastAsia="ru-RU"/>
        </w:rPr>
        <w:t>фактуры/УПД в течение 3 (трех) рабочих дней с даты получения соответствующего письменного требования Покупателя.</w:t>
      </w:r>
      <w:r>
        <w:rPr>
          <w:rStyle w:val="FootnoteReference"/>
          <w:rFonts w:eastAsia="Times New Roman" w:cs="Times New Roman" w:ascii="Times New Roman" w:hAnsi="Times New Roman"/>
          <w:sz w:val="24"/>
          <w:szCs w:val="24"/>
          <w:highlight w:val="lightGray"/>
          <w:vertAlign w:val="superscript"/>
          <w:lang w:eastAsia="ru-RU"/>
        </w:rPr>
        <w:footnoteReference w:id="4"/>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обязан подписать акты сверки взаимных расчетов, направленные Покупателем в 2 (двух) экземплярах, и вернуть 1 (один) экземпляр Покупателю в течение 5 (пяти) рабочих дней с даты получения экземпляров актов сверки расчетов от Покупателя.</w:t>
      </w:r>
    </w:p>
    <w:p>
      <w:pPr>
        <w:pStyle w:val="Normal"/>
        <w:widowControl w:val="false"/>
        <w:numPr>
          <w:ilvl w:val="1"/>
          <w:numId w:val="2"/>
        </w:numPr>
        <w:shd w:val="clear" w:color="auto" w:fill="FFFFFF"/>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0"/>
          <w:lang w:eastAsia="ru-RU"/>
        </w:rPr>
        <w:t>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widowControl w:val="false"/>
        <w:shd w:val="clear" w:color="auto" w:fill="FFFFFF"/>
        <w:tabs>
          <w:tab w:val="clear" w:pos="708"/>
          <w:tab w:val="left" w:pos="1134" w:leader="none"/>
        </w:tabs>
        <w:suppressAutoHyphens w:val="true"/>
        <w:spacing w:lineRule="auto" w:line="240" w:before="0" w:after="0"/>
        <w:ind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Покупатель направляет Поставщику уведомление о проведении сальдо взаимных обязательств Сторон по Договору.</w:t>
      </w:r>
    </w:p>
    <w:p>
      <w:pPr>
        <w:pStyle w:val="Normal"/>
        <w:widowControl w:val="false"/>
        <w:shd w:val="clear" w:color="auto" w:fill="FFFFFF"/>
        <w:suppressAutoHyphens w:val="true"/>
        <w:spacing w:lineRule="auto" w:line="240" w:before="0" w:after="0"/>
        <w:ind w:left="709" w:hanging="0"/>
        <w:contextualSpacing/>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r>
    </w:p>
    <w:p>
      <w:pPr>
        <w:pStyle w:val="Normal"/>
        <w:widowControl w:val="false"/>
        <w:numPr>
          <w:ilvl w:val="0"/>
          <w:numId w:val="2"/>
        </w:numPr>
        <w:shd w:val="clear" w:color="auto" w:fill="FFFFFF"/>
        <w:tabs>
          <w:tab w:val="clear" w:pos="708"/>
          <w:tab w:val="left" w:pos="284" w:leader="none"/>
        </w:tabs>
        <w:suppressAutoHyphens w:val="true"/>
        <w:spacing w:lineRule="auto" w:line="240" w:before="0" w:after="0"/>
        <w:ind w:left="0" w:hanging="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Порядок поставки и приемки Товара</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Поставка Товара (партии Товара) осуществляется по Заявке в следующем порядке:</w:t>
      </w:r>
    </w:p>
    <w:p>
      <w:pPr>
        <w:pStyle w:val="Normal"/>
        <w:widowControl w:val="false"/>
        <w:numPr>
          <w:ilvl w:val="2"/>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Покупатель в срок не позднее </w:t>
      </w:r>
      <w:r>
        <w:rPr>
          <w:rFonts w:eastAsia="Times New Roman" w:cs="Times New Roman" w:ascii="Times New Roman" w:hAnsi="Times New Roman"/>
          <w:sz w:val="24"/>
          <w:szCs w:val="24"/>
          <w:highlight w:val="lightGray"/>
          <w:lang w:eastAsia="ru-RU"/>
        </w:rPr>
        <w:t>15 (пятнадцати) рабочих дней</w:t>
      </w:r>
      <w:r>
        <w:rPr>
          <w:rFonts w:eastAsia="Times New Roman" w:cs="Times New Roman" w:ascii="Times New Roman" w:hAnsi="Times New Roman"/>
          <w:sz w:val="24"/>
          <w:szCs w:val="24"/>
          <w:lang w:eastAsia="ru-RU"/>
        </w:rPr>
        <w:t xml:space="preserve"> до предполагаемой даты поставки Товара (партии Товара) направляет Поставщику Заявку по электронной почте на адрес: _______________ </w:t>
      </w:r>
      <w:r>
        <w:rPr>
          <w:rFonts w:eastAsia="Times New Roman" w:cs="Times New Roman" w:ascii="Times New Roman" w:hAnsi="Times New Roman"/>
          <w:sz w:val="24"/>
          <w:szCs w:val="24"/>
          <w:highlight w:val="lightGray"/>
          <w:lang w:eastAsia="ru-RU"/>
        </w:rPr>
        <w:t>с последующим направлением оригинала Заявки по адресу, указанному в разделе 16 Договора</w:t>
      </w:r>
      <w:r>
        <w:rPr>
          <w:rFonts w:eastAsia="Times New Roman" w:cs="Times New Roman" w:ascii="Times New Roman" w:hAnsi="Times New Roman"/>
          <w:sz w:val="24"/>
          <w:szCs w:val="24"/>
          <w:lang w:eastAsia="ru-RU"/>
        </w:rPr>
        <w:t>.</w:t>
      </w:r>
    </w:p>
    <w:p>
      <w:pPr>
        <w:pStyle w:val="Normal"/>
        <w:widowControl w:val="false"/>
        <w:numPr>
          <w:ilvl w:val="2"/>
          <w:numId w:val="2"/>
        </w:numPr>
        <w:tabs>
          <w:tab w:val="clear" w:pos="708"/>
          <w:tab w:val="left" w:pos="993"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в течение </w:t>
      </w:r>
      <w:r>
        <w:rPr>
          <w:rFonts w:eastAsia="Times New Roman" w:cs="Times New Roman" w:ascii="Times New Roman" w:hAnsi="Times New Roman"/>
          <w:sz w:val="24"/>
          <w:szCs w:val="24"/>
          <w:highlight w:val="lightGray"/>
          <w:lang w:eastAsia="ru-RU"/>
        </w:rPr>
        <w:t>1 (одного) рабочего дня</w:t>
      </w:r>
      <w:r>
        <w:rPr>
          <w:rFonts w:eastAsia="Times New Roman" w:cs="Times New Roman" w:ascii="Times New Roman" w:hAnsi="Times New Roman"/>
          <w:sz w:val="24"/>
          <w:szCs w:val="24"/>
          <w:lang w:eastAsia="ru-RU"/>
        </w:rPr>
        <w:t xml:space="preserve"> с даты получения Заявки подтверждает поставку Товара (партии Товара), указанного Покупателем в Заявке, по электронной почте на адрес: ______________ </w:t>
      </w:r>
      <w:r>
        <w:rPr>
          <w:rFonts w:eastAsia="Times New Roman" w:cs="Times New Roman" w:ascii="Times New Roman" w:hAnsi="Times New Roman"/>
          <w:sz w:val="24"/>
          <w:szCs w:val="24"/>
          <w:highlight w:val="lightGray"/>
          <w:lang w:eastAsia="ru-RU"/>
        </w:rPr>
        <w:t>с последующим направлением письменного ответа по адресу, указанному в разделе 16 Договора</w:t>
      </w:r>
      <w:r>
        <w:rPr>
          <w:rFonts w:eastAsia="Times New Roman" w:cs="Times New Roman" w:ascii="Times New Roman" w:hAnsi="Times New Roman"/>
          <w:sz w:val="24"/>
          <w:szCs w:val="24"/>
          <w:lang w:eastAsia="ru-RU"/>
        </w:rPr>
        <w:t>.</w:t>
      </w:r>
    </w:p>
    <w:p>
      <w:pPr>
        <w:pStyle w:val="Normal"/>
        <w:widowControl w:val="false"/>
        <w:numPr>
          <w:ilvl w:val="2"/>
          <w:numId w:val="2"/>
        </w:numPr>
        <w:tabs>
          <w:tab w:val="clear" w:pos="708"/>
          <w:tab w:val="left" w:pos="993"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Покупатель не позднее </w:t>
      </w:r>
      <w:r>
        <w:rPr>
          <w:rFonts w:eastAsia="Times New Roman" w:cs="Times New Roman" w:ascii="Times New Roman" w:hAnsi="Times New Roman"/>
          <w:sz w:val="24"/>
          <w:szCs w:val="24"/>
          <w:highlight w:val="lightGray"/>
          <w:lang w:eastAsia="ru-RU"/>
        </w:rPr>
        <w:t>7 (семи) рабочих дней</w:t>
      </w:r>
      <w:r>
        <w:rPr>
          <w:rFonts w:eastAsia="Times New Roman" w:cs="Times New Roman" w:ascii="Times New Roman" w:hAnsi="Times New Roman"/>
          <w:sz w:val="24"/>
          <w:szCs w:val="24"/>
          <w:lang w:eastAsia="ru-RU"/>
        </w:rPr>
        <w:t xml:space="preserve"> до предполагаемой даты поставки Товара (партии Товара) вправе вносить изменения в Заявку путем письменного уведомления Поставщика в порядке, предусмотренном для направления Заявки. Поставщик в течение 2 (двух) рабочих дней с даты получения изменений к ранее направленной Заявке рассматривает соответствующего уведомление Покупателя и подтверждает поставку Товара (партии Товара) в соответствии с измененной Заявкой в порядке, указанном в пункте 3.1.2 Договора.</w:t>
      </w:r>
    </w:p>
    <w:p>
      <w:pPr>
        <w:pStyle w:val="Normal"/>
        <w:widowControl w:val="false"/>
        <w:numPr>
          <w:ilvl w:val="2"/>
          <w:numId w:val="2"/>
        </w:numPr>
        <w:tabs>
          <w:tab w:val="clear" w:pos="708"/>
          <w:tab w:val="left" w:pos="993"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случае невозможности поставить Товар (партию Товара) по Заявке Поставщик обязан незамедлительно известить об этом Покупателя с указанием причин невозможности выполнения поставки Товара и сроков их устранения. </w:t>
      </w:r>
    </w:p>
    <w:p>
      <w:pPr>
        <w:pStyle w:val="Normal"/>
        <w:widowControl w:val="false"/>
        <w:numPr>
          <w:ilvl w:val="2"/>
          <w:numId w:val="2"/>
        </w:numPr>
        <w:tabs>
          <w:tab w:val="clear" w:pos="708"/>
          <w:tab w:val="left" w:pos="993"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указанном в пункте 3.1.4 Договора, Покупатель вправе по своему усмотрению:</w:t>
      </w:r>
    </w:p>
    <w:p>
      <w:pPr>
        <w:pStyle w:val="Normal"/>
        <w:widowControl w:val="false"/>
        <w:tabs>
          <w:tab w:val="clear" w:pos="708"/>
          <w:tab w:val="left" w:pos="993"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3.1.5.1. Направить новую Заявку в порядке, установленном пунктом 3.1.1 Договора                   в согласованные с поставщиком сроки; </w:t>
      </w:r>
    </w:p>
    <w:p>
      <w:pPr>
        <w:pStyle w:val="Normal"/>
        <w:widowControl w:val="false"/>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3.1.5.2. Расторгнуть Договор в порядке, установленном пунктом 12.2 Договора.</w:t>
      </w:r>
    </w:p>
    <w:p>
      <w:pPr>
        <w:pStyle w:val="Normal"/>
        <w:widowControl w:val="false"/>
        <w:numPr>
          <w:ilvl w:val="2"/>
          <w:numId w:val="2"/>
        </w:numPr>
        <w:tabs>
          <w:tab w:val="clear" w:pos="708"/>
          <w:tab w:val="left" w:pos="993"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Стороны вправе запросить друг у друга необходимые дополнительные сведения для поставки Товара по Заявке.</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 течение 5 (пяти) рабочих дней с даты заключения Договора </w:t>
      </w:r>
      <w:r>
        <w:rPr>
          <w:rFonts w:eastAsia="Times New Roman" w:cs="Times New Roman" w:ascii="Times New Roman" w:hAnsi="Times New Roman"/>
          <w:sz w:val="24"/>
          <w:szCs w:val="24"/>
          <w:lang w:eastAsia="ru-RU"/>
        </w:rPr>
        <w:t>Стороны определяют своих представителей, уполномоченных подписывать Заявки (изменения к ним) и принимать Заявки к исполнению, и письменно сообщают друг другу</w:t>
      </w:r>
      <w:r>
        <w:rPr>
          <w:rFonts w:eastAsia="Times New Roman" w:cs="Times New Roman" w:ascii="Times New Roman" w:hAnsi="Times New Roman"/>
          <w:bCs/>
          <w:sz w:val="20"/>
          <w:szCs w:val="20"/>
          <w:lang w:eastAsia="ru-RU"/>
        </w:rPr>
        <w:t xml:space="preserve"> </w:t>
      </w:r>
      <w:r>
        <w:rPr>
          <w:rFonts w:eastAsia="Times New Roman" w:cs="Times New Roman" w:ascii="Times New Roman" w:hAnsi="Times New Roman"/>
          <w:bCs/>
          <w:sz w:val="24"/>
          <w:szCs w:val="24"/>
          <w:lang w:eastAsia="ru-RU"/>
        </w:rPr>
        <w:t>контакты и должность таких представителей</w:t>
      </w:r>
      <w:r>
        <w:rPr>
          <w:rFonts w:eastAsia="Times New Roman" w:cs="Times New Roman" w:ascii="Times New Roman" w:hAnsi="Times New Roman"/>
          <w:sz w:val="24"/>
          <w:szCs w:val="24"/>
          <w:lang w:eastAsia="ru-RU"/>
        </w:rPr>
        <w:t xml:space="preserve">. </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Качество, комплектность, количество и ассортимент поставляемого по Договору Товара должны соответствовать Заявке, требованиям Договора,</w:t>
      </w:r>
      <w:r>
        <w:rPr>
          <w:rFonts w:eastAsia="Times New Roman" w:cs="Times New Roman" w:ascii="Times New Roman" w:hAnsi="Times New Roman"/>
          <w:b/>
          <w:bCs/>
          <w:sz w:val="24"/>
          <w:szCs w:val="24"/>
          <w:lang w:eastAsia="ru-RU"/>
        </w:rPr>
        <w:t xml:space="preserve"> </w:t>
      </w:r>
      <w:r>
        <w:rPr>
          <w:rFonts w:eastAsia="Times New Roman" w:cs="Times New Roman" w:ascii="Times New Roman" w:hAnsi="Times New Roman"/>
          <w:bCs/>
          <w:sz w:val="24"/>
          <w:szCs w:val="24"/>
          <w:lang w:eastAsia="ru-RU"/>
        </w:rPr>
        <w:t xml:space="preserve">в том числе, указанным в Спецификации (Приложение № 1 к Договору), а также Применимого права. </w:t>
      </w:r>
    </w:p>
    <w:p>
      <w:pPr>
        <w:pStyle w:val="Normal"/>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highlight w:val="lightGray"/>
          <w:lang w:eastAsia="ru-RU"/>
        </w:rPr>
        <w:t xml:space="preserve">Поставщик не вправе производить </w:t>
      </w:r>
      <w:r>
        <w:rPr>
          <w:rFonts w:eastAsia="Times New Roman" w:cs="Times New Roman" w:ascii="Times New Roman" w:hAnsi="Times New Roman"/>
          <w:sz w:val="24"/>
          <w:szCs w:val="24"/>
          <w:highlight w:val="lightGray"/>
          <w:lang w:eastAsia="ru-RU"/>
        </w:rPr>
        <w:t>замену Товара, содержащегося в одном из реестров, предусмотренных пунктом 2 постановления Правительства РФ от 03.12.2020 № 2013 «О минимальной доле закупок товаров российского происхождения» на иной Товар, не включенный в такие реестры.</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Поставляемый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и не обременен правами третьих лиц.</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Одновременно с передачей Товара Поставщик обязан передать Покупателю оригиналы следующих относящихся к Товару документов: </w:t>
      </w:r>
    </w:p>
    <w:p>
      <w:pPr>
        <w:pStyle w:val="Normal"/>
        <w:widowControl w:val="false"/>
        <w:numPr>
          <w:ilvl w:val="0"/>
          <w:numId w:val="4"/>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сертификат качества в __(____) экз.;</w:t>
      </w:r>
    </w:p>
    <w:p>
      <w:pPr>
        <w:pStyle w:val="Normal"/>
        <w:widowControl w:val="false"/>
        <w:numPr>
          <w:ilvl w:val="0"/>
          <w:numId w:val="4"/>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технический паспорт на русском языке в __(____) экз.;</w:t>
      </w:r>
    </w:p>
    <w:p>
      <w:pPr>
        <w:pStyle w:val="Normal"/>
        <w:widowControl w:val="false"/>
        <w:numPr>
          <w:ilvl w:val="0"/>
          <w:numId w:val="4"/>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инструкция по эксплуатации на русском языке в __(____) экз.;</w:t>
      </w:r>
    </w:p>
    <w:p>
      <w:pPr>
        <w:pStyle w:val="Normal"/>
        <w:widowControl w:val="false"/>
        <w:numPr>
          <w:ilvl w:val="0"/>
          <w:numId w:val="4"/>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упаковочный лист в __(____) экз.;</w:t>
      </w:r>
    </w:p>
    <w:p>
      <w:pPr>
        <w:pStyle w:val="Normal"/>
        <w:widowControl w:val="false"/>
        <w:numPr>
          <w:ilvl w:val="0"/>
          <w:numId w:val="3"/>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widowControl w:val="false"/>
        <w:numPr>
          <w:ilvl w:val="0"/>
          <w:numId w:val="3"/>
        </w:numPr>
        <w:shd w:val="clear" w:color="auto" w:fill="FFFFFF"/>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Накладная ТОРГ-12/УПД в __(____) экз.</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Поставщик обязан обеспечить присутствие во время приемки Товара и в месте поставки своего представителя, уполномоченного надлежащим образом оформленной доверенностью на передачу Товара Покупателю, подписание Акта рекламации. 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 по Договору. Стороны будут рассматривать неявку представителя Поставщика как просрочку поставки. </w:t>
      </w:r>
    </w:p>
    <w:p>
      <w:pPr>
        <w:pStyle w:val="Normal"/>
        <w:shd w:val="clear" w:color="auto" w:fill="FFFFFF"/>
        <w:tabs>
          <w:tab w:val="clear" w:pos="708"/>
          <w:tab w:val="left" w:pos="1134" w:leader="none"/>
          <w:tab w:val="left" w:pos="1418" w:leader="none"/>
        </w:tabs>
        <w:suppressAutoHyphens w:val="true"/>
        <w:spacing w:lineRule="auto" w:line="240" w:before="0" w:after="0"/>
        <w:ind w:left="709"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Оригинал доверенности представителя Поставщика подлежит передаче Покупателю.</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случае неявки представителя Поставщика и / или его отказа от подписания Акта рекламации при приемке Товара, составленный и подписанный Покупателем 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 w:name="_Ref361408474"/>
      <w:r>
        <w:rPr>
          <w:rFonts w:eastAsia="Times New Roman" w:cs="Times New Roman" w:ascii="Times New Roman" w:hAnsi="Times New Roman"/>
          <w:bCs/>
          <w:sz w:val="24"/>
          <w:szCs w:val="24"/>
          <w:lang w:eastAsia="ru-RU"/>
        </w:rPr>
        <w:t>Товар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1"/>
      <w:r>
        <w:rPr>
          <w:rFonts w:eastAsia="Times New Roman" w:cs="Times New Roman" w:ascii="Times New Roman" w:hAnsi="Times New Roman"/>
          <w:bCs/>
          <w:sz w:val="24"/>
          <w:szCs w:val="24"/>
          <w:lang w:eastAsia="ru-RU"/>
        </w:rPr>
        <w:t xml:space="preserve"> Поставщик обязан сообщить Покупателю условия длительного хранения поставленного Товара (допускается определение условий хранения в сопроводительных документах). </w:t>
      </w:r>
    </w:p>
    <w:p>
      <w:pPr>
        <w:pStyle w:val="Normal"/>
        <w:widowControl w:val="false"/>
        <w:shd w:val="clear" w:color="auto" w:fill="FFFFFF"/>
        <w:tabs>
          <w:tab w:val="clear" w:pos="708"/>
          <w:tab w:val="left" w:pos="1418" w:leader="none"/>
        </w:tabs>
        <w:suppressAutoHyphens w:val="true"/>
        <w:spacing w:lineRule="auto" w:line="240" w:before="0" w:after="0"/>
        <w:ind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sz w:val="24"/>
          <w:szCs w:val="24"/>
          <w:lang w:eastAsia="ru-RU"/>
        </w:rPr>
        <w:t xml:space="preserve">Тара и упаковка Товара должны соответствовать требованиям Применимого права, предъявляемым к таре и упаковке соответствующего Товара. </w:t>
      </w:r>
      <w:r>
        <w:rPr>
          <w:rFonts w:eastAsia="Times New Roman" w:cs="Times New Roman" w:ascii="Times New Roman" w:hAnsi="Times New Roman"/>
          <w:bCs/>
          <w:sz w:val="24"/>
          <w:szCs w:val="24"/>
          <w:lang w:eastAsia="ru-RU"/>
        </w:rPr>
        <w:t xml:space="preserve">Отдельные требования к упаковке и маркировке негабаритного Товара, 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и в Заявке. </w:t>
      </w:r>
    </w:p>
    <w:p>
      <w:pPr>
        <w:pStyle w:val="Normal"/>
        <w:widowControl w:val="false"/>
        <w:shd w:val="clear" w:color="auto" w:fill="FFFFFF"/>
        <w:tabs>
          <w:tab w:val="clear" w:pos="708"/>
          <w:tab w:val="left" w:pos="1418" w:leader="none"/>
        </w:tabs>
        <w:suppressAutoHyphens w:val="true"/>
        <w:spacing w:lineRule="auto" w:line="240" w:before="0" w:after="0"/>
        <w:ind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Стоимость тары и упаковки включена в стоимость Товара. Тара и упаковка возврату </w:t>
        <w:br/>
        <w:t xml:space="preserve">не подлежат. </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Погрузка, доставка, разгрузка </w:t>
      </w:r>
      <w:r>
        <w:rPr>
          <w:rFonts w:eastAsia="Times New Roman" w:cs="Times New Roman" w:ascii="Times New Roman" w:hAnsi="Times New Roman"/>
          <w:sz w:val="24"/>
          <w:szCs w:val="24"/>
          <w:highlight w:val="lightGray"/>
          <w:lang w:eastAsia="ru-RU"/>
        </w:rPr>
        <w:t xml:space="preserve">и перемещение Товара (в том числе </w:t>
        <w:br/>
        <w:t>по территории Покупателя)</w:t>
      </w:r>
      <w:r>
        <w:rPr>
          <w:rStyle w:val="FootnoteReference"/>
          <w:rFonts w:eastAsia="Times New Roman" w:cs="Times New Roman" w:ascii="Times New Roman" w:hAnsi="Times New Roman"/>
          <w:sz w:val="24"/>
          <w:szCs w:val="24"/>
          <w:highlight w:val="lightGray"/>
          <w:vertAlign w:val="superscript"/>
          <w:lang w:eastAsia="ru-RU"/>
        </w:rPr>
        <w:footnoteReference w:id="5"/>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осуществляется</w:t>
      </w:r>
      <w:r>
        <w:rPr>
          <w:rFonts w:eastAsia="Times New Roman" w:cs="Times New Roman" w:ascii="Times New Roman" w:hAnsi="Times New Roman"/>
          <w:sz w:val="24"/>
          <w:szCs w:val="24"/>
          <w:lang w:eastAsia="ru-RU"/>
        </w:rPr>
        <w:t xml:space="preserve"> Поставщиком. Стоимость погрузки, доставки, разгрузки </w:t>
      </w:r>
      <w:r>
        <w:rPr>
          <w:rFonts w:eastAsia="Times New Roman" w:cs="Times New Roman" w:ascii="Times New Roman" w:hAnsi="Times New Roman"/>
          <w:sz w:val="24"/>
          <w:szCs w:val="24"/>
          <w:highlight w:val="lightGray"/>
          <w:lang w:eastAsia="ru-RU"/>
        </w:rPr>
        <w:t>и перемещения Товара</w:t>
      </w:r>
      <w:r>
        <w:rPr>
          <w:rFonts w:eastAsia="Times New Roman" w:cs="Times New Roman" w:ascii="Times New Roman" w:hAnsi="Times New Roman"/>
          <w:sz w:val="24"/>
          <w:szCs w:val="24"/>
          <w:lang w:eastAsia="ru-RU"/>
        </w:rPr>
        <w:t xml:space="preserve"> включена в Цену Договора.</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Досрочная поставка Товара допускается только при условии получения Поставщиком письменного согласия Покупателя. </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bookmarkStart w:id="2" w:name="_Ref361396594"/>
      <w:r>
        <w:rPr>
          <w:rFonts w:eastAsia="Times New Roman" w:cs="Times New Roman" w:ascii="Times New Roman" w:hAnsi="Times New Roman"/>
          <w:sz w:val="24"/>
          <w:szCs w:val="24"/>
          <w:lang w:eastAsia="ru-RU"/>
        </w:rPr>
        <w:t>Датой поставки Товара является дата подписания Сторонами Накладной</w:t>
        <w:br/>
        <w:t>ТОРГ-12/УПД.</w:t>
      </w:r>
      <w:bookmarkEnd w:id="2"/>
      <w:r>
        <w:rPr>
          <w:rFonts w:eastAsia="Times New Roman" w:cs="Times New Roman" w:ascii="Times New Roman" w:hAnsi="Times New Roman"/>
          <w:sz w:val="24"/>
          <w:szCs w:val="24"/>
          <w:lang w:eastAsia="ru-RU"/>
        </w:rPr>
        <w:t xml:space="preserve"> </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Приемка Товара осуществляется Покупателем в дату поставки Товара в присутствии представителя Поставщика. </w:t>
      </w:r>
    </w:p>
    <w:p>
      <w:pPr>
        <w:pStyle w:val="Normal"/>
        <w:widowControl w:val="false"/>
        <w:numPr>
          <w:ilvl w:val="1"/>
          <w:numId w:val="2"/>
        </w:numPr>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Если при передаче Товара Покупателю будет обнаружено несоответствие Товара требованиям Заявки и Договора, Покупатель вправе отказаться от получения Товара, сделав соответствующую отметку в Накладной ТОРГ-12/УПД.</w:t>
      </w:r>
    </w:p>
    <w:p>
      <w:pPr>
        <w:pStyle w:val="Normal"/>
        <w:widowControl w:val="false"/>
        <w:numPr>
          <w:ilvl w:val="1"/>
          <w:numId w:val="2"/>
        </w:numPr>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widowControl w:val="false"/>
        <w:shd w:val="clear" w:color="auto" w:fill="FFFFFF"/>
        <w:tabs>
          <w:tab w:val="clear" w:pos="708"/>
          <w:tab w:val="left" w:pos="1134" w:leader="none"/>
          <w:tab w:val="left" w:pos="1418" w:leader="none"/>
          <w:tab w:val="left" w:pos="1851"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widowControl w:val="false"/>
        <w:shd w:val="clear" w:color="auto" w:fill="FFFFFF"/>
        <w:tabs>
          <w:tab w:val="clear" w:pos="708"/>
          <w:tab w:val="left" w:pos="1134" w:leader="none"/>
          <w:tab w:val="left" w:pos="1418" w:leader="none"/>
          <w:tab w:val="left" w:pos="1851"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bookmarkStart w:id="3" w:name="_Ref361408232"/>
      <w:r>
        <w:rPr>
          <w:rFonts w:eastAsia="Times New Roman" w:cs="Times New Roman" w:ascii="Times New Roman" w:hAnsi="Times New Roman"/>
          <w:sz w:val="24"/>
          <w:szCs w:val="24"/>
          <w:lang w:eastAsia="ru-RU"/>
        </w:rPr>
        <w:t>Покупатель вправе 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 а Поставщик лишается права ссылаться на отсутствие платежа при просрочке поставки Товара по Заявке.</w:t>
      </w:r>
      <w:bookmarkEnd w:id="3"/>
    </w:p>
    <w:p>
      <w:pPr>
        <w:pStyle w:val="Normal"/>
        <w:widowControl w:val="false"/>
        <w:numPr>
          <w:ilvl w:val="1"/>
          <w:numId w:val="2"/>
        </w:numPr>
        <w:shd w:val="clear" w:color="auto" w:fill="FFFFFF"/>
        <w:tabs>
          <w:tab w:val="clear" w:pos="708"/>
          <w:tab w:val="left" w:pos="1418" w:leader="none"/>
          <w:tab w:val="left" w:pos="1851"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пунктом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а также возместить убытки, причиненные Покупателю ненадлежащим исполнением Договора, в том числе расходы на хранение Товара.</w:t>
      </w:r>
    </w:p>
    <w:p>
      <w:pPr>
        <w:pStyle w:val="Normal"/>
        <w:widowControl w:val="false"/>
        <w:shd w:val="clear" w:color="auto" w:fill="FFFFFF"/>
        <w:tabs>
          <w:tab w:val="clear" w:pos="708"/>
          <w:tab w:val="left" w:pos="1283" w:leader="none"/>
          <w:tab w:val="left" w:pos="1851"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Если Поставщик не вывезет Товар в указанный срок, Покупатель вправе самостоятельно возвратить Товар Поставщику. Расходы, понесенные Покупателем в связи                   с возвратом Товара, подлежат возмещению Поставщиком.</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
          <w:color w:val="000000"/>
          <w:sz w:val="24"/>
          <w:szCs w:val="24"/>
          <w:lang w:eastAsia="ru-RU"/>
        </w:rPr>
      </w:pPr>
      <w:r>
        <w:rPr>
          <w:rFonts w:eastAsia="Times New Roman" w:cs="Times New Roman" w:ascii="Times New Roman" w:hAnsi="Times New Roman"/>
          <w:sz w:val="24"/>
          <w:szCs w:val="24"/>
          <w:lang w:eastAsia="ru-RU"/>
        </w:rPr>
        <w:t>По иным вопросам, касающимся приемки Товара по количеству, качеству и комплектности, в части не противоречащей законодательству Российской Федерации 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rFonts w:eastAsia="Times New Roman" w:cs="Times New Roman" w:ascii="Times New Roman" w:hAnsi="Times New Roman"/>
          <w:b/>
          <w:bCs/>
          <w:color w:val="000000"/>
          <w:sz w:val="24"/>
          <w:szCs w:val="24"/>
          <w:lang w:eastAsia="ru-RU"/>
        </w:rPr>
        <w:t xml:space="preserve"> </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tabs>
          <w:tab w:val="clear" w:pos="708"/>
          <w:tab w:val="left" w:pos="1134" w:leader="none"/>
          <w:tab w:val="left" w:pos="1418"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sz w:val="24"/>
          <w:szCs w:val="24"/>
          <w:highlight w:val="lightGray"/>
          <w:lang w:eastAsia="ru-RU"/>
        </w:rPr>
      </w:pPr>
      <w:r>
        <w:rPr>
          <w:rFonts w:eastAsia="Times New Roman" w:cs="Times New Roman" w:ascii="Times New Roman" w:hAnsi="Times New Roman"/>
          <w:b/>
          <w:sz w:val="24"/>
          <w:szCs w:val="24"/>
          <w:highlight w:val="lightGray"/>
          <w:lang w:eastAsia="ru-RU"/>
        </w:rPr>
        <w:t>Гарантийный срок</w:t>
      </w:r>
      <w:r>
        <w:rPr>
          <w:rStyle w:val="FootnoteReference"/>
          <w:rFonts w:eastAsia="Times New Roman" w:cs="Times New Roman" w:ascii="Times New Roman" w:hAnsi="Times New Roman"/>
          <w:b/>
          <w:sz w:val="24"/>
          <w:szCs w:val="24"/>
          <w:highlight w:val="lightGray"/>
          <w:vertAlign w:val="superscript"/>
          <w:lang w:eastAsia="ru-RU"/>
        </w:rPr>
        <w:footnoteReference w:id="6"/>
      </w:r>
    </w:p>
    <w:p>
      <w:pPr>
        <w:pStyle w:val="Normal"/>
        <w:widowControl w:val="false"/>
        <w:numPr>
          <w:ilvl w:val="1"/>
          <w:numId w:val="2"/>
        </w:numPr>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Гарантийный срок на Товар, </w:t>
      </w:r>
      <w:r>
        <w:rPr>
          <w:rFonts w:eastAsia="Times New Roman" w:cs="Times New Roman" w:ascii="Times New Roman" w:hAnsi="Times New Roman"/>
          <w:sz w:val="24"/>
          <w:szCs w:val="24"/>
          <w:highlight w:val="lightGray"/>
          <w:lang w:eastAsia="ru-RU"/>
        </w:rPr>
        <w:t>поставленный по Договору</w:t>
      </w:r>
      <w:r>
        <w:rPr>
          <w:rFonts w:eastAsia="Times New Roman" w:cs="Times New Roman" w:ascii="Times New Roman" w:hAnsi="Times New Roman"/>
          <w:sz w:val="24"/>
          <w:szCs w:val="24"/>
          <w:lang w:eastAsia="ru-RU"/>
        </w:rPr>
        <w:t xml:space="preserve">, составляет </w:t>
      </w:r>
      <w:r>
        <w:rPr>
          <w:rFonts w:eastAsia="Times New Roman" w:cs="Times New Roman" w:ascii="Times New Roman" w:hAnsi="Times New Roman"/>
          <w:sz w:val="24"/>
          <w:szCs w:val="24"/>
          <w:highlight w:val="lightGray"/>
          <w:lang w:eastAsia="ru-RU"/>
        </w:rPr>
        <w:t>____ (______)</w:t>
      </w:r>
      <w:r>
        <w:rPr>
          <w:rFonts w:eastAsia="Times New Roman" w:cs="Times New Roman" w:ascii="Times New Roman" w:hAnsi="Times New Roman"/>
          <w:sz w:val="24"/>
          <w:szCs w:val="24"/>
          <w:lang w:eastAsia="ru-RU"/>
        </w:rPr>
        <w:t xml:space="preserve"> месяцев и начинает течь с даты подписания Сторонами Накладной ТОРГ-12/УПД. Гарантийный срок может быть продлен в соответствии с условиями Договора. </w:t>
      </w:r>
    </w:p>
    <w:p>
      <w:pPr>
        <w:pStyle w:val="Normal"/>
        <w:widowControl w:val="false"/>
        <w:tabs>
          <w:tab w:val="clear" w:pos="708"/>
          <w:tab w:val="left" w:pos="1134" w:leader="none"/>
          <w:tab w:val="left" w:pos="1851" w:leader="none"/>
        </w:tabs>
        <w:suppressAutoHyphens w:val="true"/>
        <w:spacing w:lineRule="auto" w:line="240" w:before="0" w:after="0"/>
        <w:ind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Установленный в отношении Товара гарантийный срок распространяется на все составные части и комплектующие Товара.</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к Товару, и Применимого права, возможность эксплуатации (использования) Товара в соответствии с его целевым назначением, а также несет безусловную ответственность 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3.5 Договора. </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и будет признан Сторонами действительным.</w:t>
      </w:r>
    </w:p>
    <w:p>
      <w:pPr>
        <w:pStyle w:val="Normal"/>
        <w:widowControl w:val="false"/>
        <w:numPr>
          <w:ilvl w:val="1"/>
          <w:numId w:val="2"/>
        </w:numPr>
        <w:shd w:val="clear" w:color="auto" w:fill="FFFFFF"/>
        <w:tabs>
          <w:tab w:val="clear" w:pos="708"/>
          <w:tab w:val="left" w:pos="1134" w:leader="none"/>
          <w:tab w:val="left" w:pos="1276"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4" w:name="OLE_LINK5"/>
      <w:bookmarkStart w:id="5" w:name="OLE_LINK6"/>
      <w:r>
        <w:rPr>
          <w:rFonts w:eastAsia="Times New Roman" w:cs="Times New Roman" w:ascii="Times New Roman" w:hAnsi="Times New Roman"/>
          <w:sz w:val="24"/>
          <w:szCs w:val="24"/>
          <w:lang w:eastAsia="ru-RU"/>
        </w:rPr>
        <w:t>Покупателем в соответствии с пунктом 4.3 Договора</w:t>
      </w:r>
      <w:bookmarkEnd w:id="4"/>
      <w:bookmarkEnd w:id="5"/>
      <w:r>
        <w:rPr>
          <w:rFonts w:eastAsia="Times New Roman" w:cs="Times New Roman" w:ascii="Times New Roman" w:hAnsi="Times New Roman"/>
          <w:sz w:val="24"/>
          <w:szCs w:val="24"/>
          <w:lang w:eastAsia="ru-RU"/>
        </w:rPr>
        <w:t xml:space="preserve">, путем замены или ремонта Товара. </w:t>
      </w:r>
    </w:p>
    <w:p>
      <w:pPr>
        <w:pStyle w:val="Normal"/>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Устранение недостатков путем ремонта Товара может осуществляться только по письменному согласованию с Покупателем. Поставщик вправе по согласованию с Покупателем вместо замены Товара возвратить Покупателю его стоимость. Вывоз Товара для целей устранения недостатков (дефектов) осуществляется силами Поставщика и за его счет.  </w:t>
      </w:r>
    </w:p>
    <w:p>
      <w:pPr>
        <w:pStyle w:val="Normal"/>
        <w:widowControl w:val="false"/>
        <w:numPr>
          <w:ilvl w:val="1"/>
          <w:numId w:val="2"/>
        </w:numPr>
        <w:shd w:val="clear" w:color="auto" w:fill="FFFFFF"/>
        <w:tabs>
          <w:tab w:val="clear" w:pos="708"/>
          <w:tab w:val="left" w:pos="1134" w:leader="none"/>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 по устранению недостатков (дефектов).</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 </w:t>
      </w:r>
    </w:p>
    <w:p>
      <w:pPr>
        <w:pStyle w:val="Normal"/>
        <w:widowControl w:val="false"/>
        <w:shd w:val="clear" w:color="auto" w:fill="FFFFFF"/>
        <w:tabs>
          <w:tab w:val="clear" w:pos="708"/>
          <w:tab w:val="left" w:pos="1190"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Ответственность Сторон</w:t>
      </w:r>
    </w:p>
    <w:p>
      <w:pPr>
        <w:pStyle w:val="Normal"/>
        <w:widowControl w:val="false"/>
        <w:numPr>
          <w:ilvl w:val="1"/>
          <w:numId w:val="2"/>
        </w:numPr>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Normal"/>
        <w:widowControl w:val="false"/>
        <w:numPr>
          <w:ilvl w:val="1"/>
          <w:numId w:val="2"/>
        </w:numPr>
        <w:tabs>
          <w:tab w:val="clear" w:pos="708"/>
          <w:tab w:val="left" w:pos="1276"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случае нарушения Покупателем сроков оплаты, установленных разделом 2 Договора, Поставщик вправе требовать уплаты Покупателем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но не более 5 (пяти) процентов от несвоевременно оплаченной суммы.</w:t>
      </w:r>
    </w:p>
    <w:p>
      <w:pPr>
        <w:pStyle w:val="Normal"/>
        <w:widowControl w:val="false"/>
        <w:numPr>
          <w:ilvl w:val="1"/>
          <w:numId w:val="2"/>
        </w:numPr>
        <w:tabs>
          <w:tab w:val="clear" w:pos="708"/>
          <w:tab w:val="left" w:pos="1276"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 случае </w:t>
      </w:r>
      <w:r>
        <w:rPr>
          <w:rFonts w:eastAsia="Times New Roman" w:cs="Times New Roman" w:ascii="Times New Roman" w:hAnsi="Times New Roman"/>
          <w:sz w:val="24"/>
          <w:szCs w:val="24"/>
          <w:lang w:eastAsia="ru-RU"/>
        </w:rPr>
        <w:t>нарушения Поставщиком обязательств по поставке Товара (</w:t>
      </w:r>
      <w:r>
        <w:rPr>
          <w:rFonts w:eastAsia="Calibri" w:cs="Times New Roman" w:ascii="Times New Roman" w:hAnsi="Times New Roman"/>
          <w:bCs/>
          <w:sz w:val="24"/>
          <w:szCs w:val="24"/>
          <w:lang w:eastAsia="ru-RU"/>
        </w:rPr>
        <w:t>нарушение срока поставки, недопоставка)</w:t>
      </w:r>
      <w:r>
        <w:rPr>
          <w:rFonts w:eastAsia="Times New Roman" w:cs="Times New Roman" w:ascii="Times New Roman" w:hAnsi="Times New Roman"/>
          <w:sz w:val="24"/>
          <w:szCs w:val="24"/>
          <w:lang w:eastAsia="ru-RU"/>
        </w:rPr>
        <w:t>, в том числе установленных в Заявке, а также в случае несвоевременного устранения выявленных недостатков Товара, Покупатель вправе требовать уплаты Поставщиком неустойки в размере 0,1 (ноль целых и одна десятая) процента от Цены Договора за каждый день просрочки.</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 случае нарушения Поставщиком требований пропускного 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3 к Договору. </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highlight w:val="lightGray"/>
          <w:lang w:eastAsia="ru-RU"/>
        </w:rPr>
      </w:pPr>
      <w:r>
        <w:rPr>
          <w:rFonts w:eastAsia="Times New Roman" w:cs="Times New Roman" w:ascii="Times New Roman" w:hAnsi="Times New Roman"/>
          <w:bCs/>
          <w:sz w:val="24"/>
          <w:szCs w:val="24"/>
          <w:highlight w:val="lightGray"/>
          <w:lang w:eastAsia="ru-RU"/>
        </w:rPr>
        <w:t xml:space="preserve">Если в результате составления и выставления Поставщиком счетов-фактур/УПД </w:t>
        <w:br/>
        <w:t xml:space="preserve">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w:t>
        <w:br/>
        <w:t xml:space="preserve">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w:t>
        <w:br/>
        <w:t>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Normal"/>
        <w:shd w:val="clear" w:color="auto" w:fill="FFFFFF"/>
        <w:tabs>
          <w:tab w:val="clear" w:pos="708"/>
          <w:tab w:val="left" w:pos="1276" w:leader="none"/>
        </w:tabs>
        <w:suppressAutoHyphens w:val="true"/>
        <w:spacing w:lineRule="auto" w:line="240" w:before="0" w:after="0"/>
        <w:ind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случае нарушения Поставщиком сроков предоставления счетов-фактур/УПД, установленных пунктом 2.9 Договора, Покупатель вправе требовать уплаты Поставщиком штрафа в размере 50 000 (Пятидесяти тысяч) рублей за каждый случай нарушения</w:t>
      </w:r>
      <w:r>
        <w:rPr>
          <w:rStyle w:val="FootnoteReference"/>
          <w:rFonts w:eastAsia="Times New Roman" w:cs="Times New Roman" w:ascii="Times New Roman" w:hAnsi="Times New Roman"/>
          <w:bCs/>
          <w:sz w:val="24"/>
          <w:szCs w:val="24"/>
          <w:vertAlign w:val="superscript"/>
          <w:lang w:eastAsia="ru-RU"/>
        </w:rPr>
        <w:footnoteReference w:id="7"/>
      </w:r>
      <w:r>
        <w:rPr>
          <w:rFonts w:eastAsia="Times New Roman" w:cs="Times New Roman" w:ascii="Times New Roman" w:hAnsi="Times New Roman"/>
          <w:bCs/>
          <w:sz w:val="24"/>
          <w:szCs w:val="24"/>
          <w:lang w:eastAsia="ru-RU"/>
        </w:rPr>
        <w:t>.</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Normal"/>
        <w:widowControl w:val="false"/>
        <w:numPr>
          <w:ilvl w:val="1"/>
          <w:numId w:val="2"/>
        </w:numPr>
        <w:shd w:val="clear" w:color="auto" w:fill="FFFFFF"/>
        <w:tabs>
          <w:tab w:val="clear" w:pos="708"/>
          <w:tab w:val="left" w:pos="1276"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сумма неустойки, подлежащая уплате виновной Стороной, определяется на основании решения суда.</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tabs>
          <w:tab w:val="clear" w:pos="708"/>
          <w:tab w:val="left" w:pos="0" w:leader="none"/>
        </w:tabs>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Конфиденциальность</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в процессе проведения переговоров, заключения и исполнения Договора, в отношении которой соблюдаются следующие условия:</w:t>
      </w:r>
    </w:p>
    <w:p>
      <w:pPr>
        <w:pStyle w:val="Normal"/>
        <w:widowControl w:val="false"/>
        <w:numPr>
          <w:ilvl w:val="0"/>
          <w:numId w:val="5"/>
        </w:numPr>
        <w:tabs>
          <w:tab w:val="clear" w:pos="708"/>
          <w:tab w:val="left" w:pos="0" w:leader="none"/>
          <w:tab w:val="left" w:pos="709"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данная Информация имеет действительную или потенциальную коммерческую ценность для Покупателя в силу неизвестности ее третьим лица</w:t>
      </w:r>
      <w:r>
        <w:rPr>
          <w:rFonts w:eastAsia="Times New Roman" w:cs="Times New Roman" w:ascii="Times New Roman" w:hAnsi="Times New Roman"/>
          <w:sz w:val="24"/>
          <w:szCs w:val="24"/>
          <w:lang w:eastAsia="ru-RU"/>
        </w:rPr>
        <w:t xml:space="preserve">м, в том числе по причине </w:t>
      </w:r>
      <w:r>
        <w:rPr>
          <w:rFonts w:eastAsia="Times New Roman" w:cs="Times New Roman" w:ascii="Times New Roman" w:hAnsi="Times New Roman"/>
          <w:bCs/>
          <w:sz w:val="24"/>
          <w:szCs w:val="24"/>
          <w:lang w:eastAsia="ru-RU"/>
        </w:rPr>
        <w:t>введения в отношении нее режима Коммерческой тайны;</w:t>
      </w:r>
    </w:p>
    <w:p>
      <w:pPr>
        <w:pStyle w:val="Normal"/>
        <w:widowControl w:val="false"/>
        <w:numPr>
          <w:ilvl w:val="0"/>
          <w:numId w:val="5"/>
        </w:numPr>
        <w:tabs>
          <w:tab w:val="clear" w:pos="708"/>
          <w:tab w:val="left" w:pos="0" w:leader="none"/>
          <w:tab w:val="left" w:pos="709"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 документ, содержащий Информацию, Покупателем может быть нанесен гриф «Коммерческая тайна» с указанием обладателя этой информации.</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Информация может включать в себя, в том числе, но не ограничиваясь:</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финансовую </w:t>
      </w:r>
      <w:r>
        <w:rPr>
          <w:rFonts w:eastAsia="Times New Roman" w:cs="Times New Roman" w:ascii="Times New Roman" w:hAnsi="Times New Roman"/>
          <w:bCs/>
          <w:sz w:val="24"/>
          <w:szCs w:val="24"/>
          <w:lang w:val="en-US" w:eastAsia="ru-RU"/>
        </w:rPr>
        <w:t>(</w:t>
      </w:r>
      <w:r>
        <w:rPr>
          <w:rFonts w:eastAsia="Times New Roman" w:cs="Times New Roman" w:ascii="Times New Roman" w:hAnsi="Times New Roman"/>
          <w:bCs/>
          <w:sz w:val="24"/>
          <w:szCs w:val="24"/>
          <w:lang w:eastAsia="ru-RU"/>
        </w:rPr>
        <w:t>бухгалтерскую) отчетность;</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учетные регистры бухгалтерского учета;</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бизнес-планы;</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сведения о финансовых, правовых, организационных и других взаимоотношениях между Покупателем и третьими лицами;</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сведения об объемах производства и / или реализации продукции и услуг Покупателя или его аффилированных лиц;</w:t>
      </w:r>
    </w:p>
    <w:p>
      <w:pPr>
        <w:pStyle w:val="Normal"/>
        <w:widowControl w:val="false"/>
        <w:numPr>
          <w:ilvl w:val="0"/>
          <w:numId w:val="5"/>
        </w:numPr>
        <w:tabs>
          <w:tab w:val="clear" w:pos="708"/>
          <w:tab w:val="left" w:pos="0" w:leader="none"/>
          <w:tab w:val="left" w:pos="1418"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материалы обобщения, анализа, оценки, иных действий по обработке вышеуказанной Информации и документов.</w:t>
      </w:r>
    </w:p>
    <w:p>
      <w:pPr>
        <w:pStyle w:val="Normal"/>
        <w:widowControl w:val="false"/>
        <w:numPr>
          <w:ilvl w:val="1"/>
          <w:numId w:val="2"/>
        </w:numPr>
        <w:shd w:val="clear" w:color="auto" w:fill="FFFFFF"/>
        <w:tabs>
          <w:tab w:val="clear" w:pos="708"/>
          <w:tab w:val="left" w:pos="0" w:leader="none"/>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6" w:name="_Ref361337849"/>
      <w:r>
        <w:rPr>
          <w:rFonts w:eastAsia="Times New Roman" w:cs="Times New Roman" w:ascii="Times New Roman" w:hAnsi="Times New Roman"/>
          <w:bCs/>
          <w:sz w:val="24"/>
          <w:szCs w:val="24"/>
          <w:lang w:eastAsia="ru-RU"/>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bCs/>
          <w:sz w:val="24"/>
          <w:szCs w:val="24"/>
          <w:lang w:eastAsia="ru-RU"/>
        </w:rPr>
        <w:t>(расторжения) или исполнения, в том числе:</w:t>
      </w:r>
      <w:bookmarkEnd w:id="6"/>
      <w:r>
        <w:rPr>
          <w:rFonts w:eastAsia="Times New Roman" w:cs="Times New Roman" w:ascii="Times New Roman" w:hAnsi="Times New Roman"/>
          <w:bCs/>
          <w:sz w:val="24"/>
          <w:szCs w:val="24"/>
          <w:lang w:eastAsia="ru-RU"/>
        </w:rPr>
        <w:t xml:space="preserve">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Не разглашать, не обсуждать содержание, не предоставлять копий, </w:t>
        <w:br/>
        <w:t xml:space="preserve">не публиковать и не </w:t>
      </w:r>
      <w:r>
        <w:rPr>
          <w:rFonts w:eastAsia="Times New Roman" w:cs="Times New Roman" w:ascii="Times New Roman" w:hAnsi="Times New Roman"/>
          <w:sz w:val="24"/>
          <w:szCs w:val="24"/>
          <w:lang w:eastAsia="ru-RU"/>
        </w:rPr>
        <w:t>раскрывать</w:t>
      </w:r>
      <w:r>
        <w:rPr>
          <w:rFonts w:eastAsia="Times New Roman" w:cs="Times New Roman" w:ascii="Times New Roman" w:hAnsi="Times New Roman"/>
          <w:bCs/>
          <w:sz w:val="24"/>
          <w:szCs w:val="24"/>
          <w:lang w:eastAsia="ru-RU"/>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пункте 6.6.7 Договора.</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Использовать Информацию исключительно для целей, для которых она была предоставлена.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7" w:name="_Ref361337832"/>
      <w:r>
        <w:rPr>
          <w:rFonts w:eastAsia="Times New Roman" w:cs="Times New Roman" w:ascii="Times New Roman" w:hAnsi="Times New Roman"/>
          <w:bCs/>
          <w:sz w:val="24"/>
          <w:szCs w:val="24"/>
          <w:lang w:eastAsia="ru-RU"/>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7"/>
    </w:p>
    <w:p>
      <w:pPr>
        <w:pStyle w:val="Normal"/>
        <w:widowControl w:val="false"/>
        <w:numPr>
          <w:ilvl w:val="2"/>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Не разглашать третьим лицам факты передачи или получения Информации.</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8" w:name="_Ref361337863"/>
      <w:r>
        <w:rPr>
          <w:rFonts w:eastAsia="Times New Roman" w:cs="Times New Roman" w:ascii="Times New Roman" w:hAnsi="Times New Roman"/>
          <w:bCs/>
          <w:sz w:val="24"/>
          <w:szCs w:val="24"/>
          <w:lang w:eastAsia="ru-RU"/>
        </w:rPr>
        <w:t xml:space="preserve">Поставщик, нарушивший условия настоящего раздела Договора, возмещает Покупателю убытки, вызванные таким нарушением, в течение 10 (десяти) календарных дней </w:t>
        <w:br/>
        <w:t>с даты получения соответствующего письменного требования Покупателя.</w:t>
      </w:r>
      <w:bookmarkEnd w:id="8"/>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widowControl w:val="false"/>
        <w:numPr>
          <w:ilvl w:val="0"/>
          <w:numId w:val="2"/>
        </w:numPr>
        <w:shd w:val="clear" w:color="auto" w:fill="FFFFFF"/>
        <w:tabs>
          <w:tab w:val="clear" w:pos="708"/>
          <w:tab w:val="left" w:pos="426" w:leader="none"/>
        </w:tabs>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Разрешение споров</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Споры, указанные в пункте 7.1 Договора, которые не были урегулированы Сторонами путем переговоров, подлежат разрешению в Арбитражном суде </w:t>
      </w:r>
      <w:r>
        <w:rPr>
          <w:rFonts w:eastAsia="Times New Roman" w:cs="Times New Roman" w:ascii="Times New Roman" w:hAnsi="Times New Roman"/>
          <w:bCs/>
          <w:sz w:val="24"/>
          <w:szCs w:val="24"/>
          <w:highlight w:val="lightGray"/>
          <w:lang w:eastAsia="ru-RU"/>
        </w:rPr>
        <w:t>____________________</w:t>
      </w:r>
      <w:r>
        <w:rPr>
          <w:rStyle w:val="FootnoteReference"/>
          <w:rFonts w:eastAsia="Times New Roman" w:cs="Times New Roman" w:ascii="Times New Roman" w:hAnsi="Times New Roman"/>
          <w:bCs/>
          <w:sz w:val="24"/>
          <w:szCs w:val="24"/>
          <w:highlight w:val="lightGray"/>
          <w:vertAlign w:val="superscript"/>
          <w:lang w:eastAsia="ru-RU"/>
        </w:rPr>
        <w:footnoteReference w:id="8"/>
      </w:r>
      <w:r>
        <w:rPr>
          <w:rFonts w:eastAsia="Times New Roman" w:cs="Times New Roman" w:ascii="Times New Roman" w:hAnsi="Times New Roman"/>
          <w:bCs/>
          <w:sz w:val="24"/>
          <w:szCs w:val="24"/>
          <w:lang w:eastAsia="ru-RU"/>
        </w:rPr>
        <w:t xml:space="preserve"> в соответствии с законодательством Российской Федерации. </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rFonts w:eastAsia="Times New Roman" w:cs="Times New Roman" w:ascii="Times New Roman" w:hAnsi="Times New Roman"/>
          <w:bCs/>
          <w:sz w:val="24"/>
          <w:szCs w:val="24"/>
          <w:highlight w:val="lightGray"/>
          <w:lang w:eastAsia="ru-RU"/>
        </w:rPr>
        <w:t>13.8</w:t>
      </w:r>
      <w:r>
        <w:rPr>
          <w:rFonts w:eastAsia="Times New Roman" w:cs="Times New Roman" w:ascii="Times New Roman" w:hAnsi="Times New Roman"/>
          <w:bCs/>
          <w:sz w:val="24"/>
          <w:szCs w:val="24"/>
          <w:lang w:eastAsia="ru-RU"/>
        </w:rPr>
        <w:t xml:space="preserve"> Договора.</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Условия настоящего раздела Договора сохраняют свою силу в случае признания Договора незаключенным и / или недействительным.</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Антикоррупционная оговорка</w:t>
      </w:r>
    </w:p>
    <w:p>
      <w:pPr>
        <w:pStyle w:val="Normal"/>
        <w:widowControl w:val="false"/>
        <w:numPr>
          <w:ilvl w:val="1"/>
          <w:numId w:val="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color w:val="000000"/>
          <w:sz w:val="24"/>
          <w:szCs w:val="24"/>
          <w:lang w:eastAsia="ru-RU"/>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rFonts w:eastAsia="Times New Roman" w:cs="Times New Roman" w:ascii="Times New Roman" w:hAnsi="Times New Roman"/>
          <w:bCs/>
          <w:color w:val="000000"/>
          <w:sz w:val="24"/>
          <w:szCs w:val="24"/>
          <w:lang w:eastAsia="ru-RU"/>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widowControl w:val="false"/>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bCs/>
          <w:color w:val="000000"/>
          <w:sz w:val="24"/>
          <w:szCs w:val="24"/>
          <w:lang w:eastAsia="ru-RU"/>
        </w:rPr>
        <w:t>8.2.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widowControl w:val="false"/>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bCs/>
          <w:color w:val="000000"/>
          <w:sz w:val="24"/>
          <w:szCs w:val="24"/>
          <w:lang w:eastAsia="ru-RU"/>
        </w:rPr>
        <w:t>8.3. 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widowControl w:val="false"/>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bCs/>
          <w:color w:val="000000"/>
          <w:sz w:val="24"/>
          <w:szCs w:val="24"/>
          <w:lang w:eastAsia="ru-RU"/>
        </w:rPr>
        <w:t>8.4.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widowControl w:val="false"/>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bCs/>
          <w:color w:val="000000"/>
          <w:sz w:val="24"/>
          <w:szCs w:val="24"/>
          <w:lang w:eastAsia="ru-RU"/>
        </w:rPr>
        <w:t xml:space="preserve">8.5.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widowControl w:val="false"/>
        <w:shd w:val="clear" w:color="auto" w:fill="FFFFFF"/>
        <w:tabs>
          <w:tab w:val="clear" w:pos="708"/>
          <w:tab w:val="left" w:pos="1134" w:leader="none"/>
        </w:tabs>
        <w:suppressAutoHyphens w:val="true"/>
        <w:spacing w:lineRule="auto" w:line="240" w:before="0" w:after="0"/>
        <w:ind w:firstLine="709"/>
        <w:jc w:val="both"/>
        <w:rPr>
          <w:rFonts w:ascii="Times New Roman" w:hAnsi="Times New Roman" w:eastAsia="Times New Roman" w:cs="Times New Roman"/>
          <w:bCs/>
          <w:color w:val="000000"/>
          <w:sz w:val="24"/>
          <w:szCs w:val="24"/>
          <w:lang w:eastAsia="ru-RU"/>
        </w:rPr>
      </w:pPr>
      <w:r>
        <w:rPr>
          <w:rFonts w:eastAsia="Times New Roman" w:cs="Times New Roman" w:ascii="Times New Roman" w:hAnsi="Times New Roman"/>
          <w:bCs/>
          <w:color w:val="000000"/>
          <w:sz w:val="24"/>
          <w:szCs w:val="24"/>
          <w:lang w:eastAsia="ru-RU"/>
        </w:rPr>
        <w:t xml:space="preserve">8.6.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widowControl w:val="false"/>
        <w:shd w:val="clear" w:color="auto" w:fill="FFFFFF"/>
        <w:tabs>
          <w:tab w:val="clear" w:pos="708"/>
          <w:tab w:val="left" w:pos="567" w:leader="none"/>
          <w:tab w:val="left" w:pos="1134" w:leader="none"/>
        </w:tabs>
        <w:suppressAutoHyphens w:val="true"/>
        <w:spacing w:lineRule="auto" w:line="240" w:before="0" w:after="0"/>
        <w:ind w:firstLine="709"/>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8.7.  Каналы связи Линия доверия Группы РусГидро: </w:t>
      </w:r>
    </w:p>
    <w:p>
      <w:pPr>
        <w:pStyle w:val="Normal"/>
        <w:widowControl w:val="false"/>
        <w:shd w:val="clear" w:color="auto" w:fill="FFFFFF"/>
        <w:tabs>
          <w:tab w:val="clear" w:pos="708"/>
          <w:tab w:val="left" w:pos="567" w:leader="none"/>
          <w:tab w:val="left" w:pos="1134"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8.7.1. Электронная почта: ld@rushydro.ru.</w:t>
      </w:r>
    </w:p>
    <w:p>
      <w:pPr>
        <w:pStyle w:val="Normal"/>
        <w:widowControl w:val="false"/>
        <w:shd w:val="clear" w:color="auto" w:fill="FFFFFF"/>
        <w:tabs>
          <w:tab w:val="clear" w:pos="708"/>
          <w:tab w:val="left" w:pos="567" w:leader="none"/>
          <w:tab w:val="left" w:pos="1134" w:leader="none"/>
        </w:tabs>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8.7.2. 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widowControl w:val="false"/>
        <w:shd w:val="clear" w:color="auto" w:fill="FFFFFF"/>
        <w:tabs>
          <w:tab w:val="clear" w:pos="708"/>
          <w:tab w:val="left" w:pos="0" w:leader="none"/>
          <w:tab w:val="left" w:pos="284" w:leader="none"/>
          <w:tab w:val="left" w:pos="567" w:leader="none"/>
        </w:tabs>
        <w:suppressAutoHyphens w:val="true"/>
        <w:spacing w:lineRule="auto" w:line="240" w:before="0" w:after="0"/>
        <w:ind w:firstLine="709"/>
        <w:contextualSpacing/>
        <w:jc w:val="both"/>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val="false"/>
        <w:shd w:val="clear" w:color="auto" w:fill="FFFFFF"/>
        <w:tabs>
          <w:tab w:val="clear" w:pos="708"/>
          <w:tab w:val="left" w:pos="0" w:leader="none"/>
          <w:tab w:val="left" w:pos="284" w:leader="none"/>
          <w:tab w:val="left" w:pos="567" w:leader="none"/>
        </w:tabs>
        <w:suppressAutoHyphens w:val="true"/>
        <w:spacing w:lineRule="auto" w:line="240" w:before="0" w:after="0"/>
        <w:ind w:firstLine="709"/>
        <w:contextualSpacing/>
        <w:jc w:val="both"/>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val="false"/>
        <w:shd w:val="clear" w:color="auto" w:fill="FFFFFF"/>
        <w:tabs>
          <w:tab w:val="clear" w:pos="708"/>
          <w:tab w:val="left" w:pos="0" w:leader="none"/>
          <w:tab w:val="left" w:pos="284" w:leader="none"/>
          <w:tab w:val="left" w:pos="567" w:leader="none"/>
        </w:tabs>
        <w:suppressAutoHyphens w:val="true"/>
        <w:spacing w:lineRule="auto" w:line="240" w:before="0" w:after="0"/>
        <w:ind w:firstLine="709"/>
        <w:contextualSpacing/>
        <w:jc w:val="both"/>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Обстоятельства непреодолимой силы (форс-мажор)</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sz w:val="24"/>
          <w:szCs w:val="24"/>
          <w:lang w:eastAsia="ru-RU"/>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Normal"/>
        <w:widowControl w:val="false"/>
        <w:numPr>
          <w:ilvl w:val="1"/>
          <w:numId w:val="2"/>
        </w:numPr>
        <w:shd w:val="clear" w:color="auto" w:fill="FFFFFF"/>
        <w:tabs>
          <w:tab w:val="clear" w:pos="708"/>
          <w:tab w:val="left" w:pos="0" w:leader="none"/>
          <w:tab w:val="left" w:pos="568"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Normal"/>
        <w:widowControl w:val="false"/>
        <w:shd w:val="clear" w:color="auto" w:fill="FFFFFF"/>
        <w:tabs>
          <w:tab w:val="clear" w:pos="708"/>
          <w:tab w:val="left" w:pos="0" w:leader="none"/>
          <w:tab w:val="left" w:pos="568" w:leader="none"/>
          <w:tab w:val="left" w:pos="1418" w:leader="none"/>
        </w:tabs>
        <w:suppressAutoHyphens w:val="true"/>
        <w:spacing w:lineRule="auto" w:line="240" w:before="0" w:after="0"/>
        <w:ind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При этом любая из Сторон вправе отказаться от исполнения Договора </w:t>
        <w:br/>
        <w:t>в одностороннем внесудебном порядке.</w:t>
      </w:r>
    </w:p>
    <w:p>
      <w:pPr>
        <w:pStyle w:val="Normal"/>
        <w:widowControl w:val="false"/>
        <w:shd w:val="clear" w:color="auto" w:fill="FFFFFF"/>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Особые положения</w:t>
      </w:r>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9" w:name="_Ref361337900"/>
      <w:r>
        <w:rPr>
          <w:rFonts w:eastAsia="Times New Roman" w:cs="Times New Roman" w:ascii="Times New Roman" w:hAnsi="Times New Roman"/>
          <w:bCs/>
          <w:sz w:val="20"/>
          <w:szCs w:val="20"/>
          <w:lang w:eastAsia="ru-RU"/>
        </w:rPr>
        <w:t xml:space="preserve">. </w:t>
      </w:r>
      <w:r>
        <w:rPr>
          <w:rFonts w:eastAsia="Times New Roman" w:cs="Times New Roman" w:ascii="Times New Roman" w:hAnsi="Times New Roman"/>
          <w:bCs/>
          <w:sz w:val="24"/>
          <w:szCs w:val="24"/>
          <w:lang w:eastAsia="ru-RU"/>
        </w:rPr>
        <w:t>Поставщик обязуется не привлекать и не допускать привлечения к исполнению обязательств по Договору организации:</w:t>
      </w:r>
    </w:p>
    <w:p>
      <w:pPr>
        <w:pStyle w:val="Normal"/>
        <w:widowControl w:val="false"/>
        <w:numPr>
          <w:ilvl w:val="1"/>
          <w:numId w:val="1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 </w:t>
      </w:r>
      <w:r>
        <w:rPr>
          <w:rFonts w:eastAsia="Times New Roman" w:cs="Times New Roman" w:ascii="Times New Roman" w:hAnsi="Times New Roman"/>
          <w:bCs/>
          <w:sz w:val="24"/>
          <w:szCs w:val="24"/>
          <w:lang w:eastAsia="ru-RU"/>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rFonts w:eastAsia="Times New Roman" w:cs="Times New Roman" w:ascii="Times New Roman" w:hAnsi="Times New Roman"/>
            <w:bCs/>
            <w:sz w:val="24"/>
            <w:szCs w:val="24"/>
            <w:lang w:eastAsia="ru-RU"/>
          </w:rPr>
          <w:t>№ 18162/09</w:t>
        </w:r>
      </w:hyperlink>
      <w:r>
        <w:rPr>
          <w:rFonts w:eastAsia="Times New Roman" w:cs="Times New Roman" w:ascii="Times New Roman" w:hAnsi="Times New Roman"/>
          <w:bCs/>
          <w:sz w:val="24"/>
          <w:szCs w:val="24"/>
          <w:lang w:eastAsia="ru-RU"/>
        </w:rPr>
        <w:t xml:space="preserve"> </w:t>
        <w:br/>
        <w:t xml:space="preserve">и от 25.05.2010 </w:t>
      </w:r>
      <w:hyperlink r:id="rId3">
        <w:r>
          <w:rPr>
            <w:rFonts w:eastAsia="Times New Roman" w:cs="Times New Roman" w:ascii="Times New Roman" w:hAnsi="Times New Roman"/>
            <w:bCs/>
            <w:sz w:val="24"/>
            <w:szCs w:val="24"/>
            <w:lang w:eastAsia="ru-RU"/>
          </w:rPr>
          <w:t>№ 15658/09</w:t>
        </w:r>
      </w:hyperlink>
      <w:r>
        <w:rPr>
          <w:rFonts w:eastAsia="Times New Roman" w:cs="Times New Roman" w:ascii="Times New Roman" w:hAnsi="Times New Roman"/>
          <w:bCs/>
          <w:sz w:val="24"/>
          <w:szCs w:val="24"/>
          <w:lang w:eastAsia="ru-RU"/>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w:t>
        <w:br/>
        <w:t xml:space="preserve">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w:t>
        <w:br/>
        <w:t xml:space="preserve">и / или </w:t>
      </w:r>
    </w:p>
    <w:p>
      <w:pPr>
        <w:pStyle w:val="Normal"/>
        <w:widowControl w:val="false"/>
        <w:numPr>
          <w:ilvl w:val="1"/>
          <w:numId w:val="12"/>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соответствующие </w:t>
      </w:r>
      <w:hyperlink r:id="rId4">
        <w:r>
          <w:rPr>
            <w:rFonts w:eastAsia="Times New Roman" w:cs="Times New Roman" w:ascii="Times New Roman" w:hAnsi="Times New Roman"/>
            <w:bCs/>
            <w:sz w:val="24"/>
            <w:szCs w:val="24"/>
            <w:lang w:eastAsia="ru-RU"/>
          </w:rPr>
          <w:t>Критери</w:t>
        </w:r>
      </w:hyperlink>
      <w:r>
        <w:rPr>
          <w:rFonts w:eastAsia="Times New Roman" w:cs="Times New Roman" w:ascii="Times New Roman" w:hAnsi="Times New Roman"/>
          <w:bCs/>
          <w:sz w:val="24"/>
          <w:szCs w:val="24"/>
          <w:lang w:eastAsia="ru-RU"/>
        </w:rPr>
        <w:t xml:space="preserve">ям самостоятельной оценки рисков </w:t>
        <w:br/>
        <w:t xml:space="preserve">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w:t>
        <w:br/>
        <w:t>от 30.05.2007 № ММ-3-06/333@).</w:t>
      </w:r>
      <w:bookmarkEnd w:id="9"/>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0" w:name="_Ref361337921"/>
      <w:r>
        <w:rPr>
          <w:rFonts w:eastAsia="Times New Roman" w:cs="Times New Roman" w:ascii="Times New Roman" w:hAnsi="Times New Roman"/>
          <w:bCs/>
          <w:sz w:val="24"/>
          <w:szCs w:val="24"/>
          <w:lang w:eastAsia="ru-RU"/>
        </w:rPr>
        <w:t xml:space="preserve"> </w:t>
      </w:r>
      <w:r>
        <w:rPr>
          <w:rFonts w:eastAsia="Times New Roman" w:cs="Times New Roman" w:ascii="Times New Roman" w:hAnsi="Times New Roman"/>
          <w:bCs/>
          <w:sz w:val="24"/>
          <w:szCs w:val="24"/>
          <w:lang w:eastAsia="ru-RU"/>
        </w:rPr>
        <w:t xml:space="preserve">Поставщик обязуется незамедлительно уведомить Покупателя о появлении </w:t>
        <w:br/>
        <w:t>в ходе исполнения Договора у привлеченных Поставщиком Субпоставщиков признаков недобросовестности, указанных в пункте 10.1 Договора, а также обеспечить прекращение участия таких организаций в исполнении Договора.</w:t>
      </w:r>
      <w:bookmarkEnd w:id="10"/>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1" w:name="_Ref361337948"/>
      <w:r>
        <w:rPr>
          <w:rFonts w:eastAsia="Times New Roman" w:cs="Times New Roman" w:ascii="Times New Roman" w:hAnsi="Times New Roman"/>
          <w:bCs/>
          <w:sz w:val="24"/>
          <w:szCs w:val="24"/>
          <w:lang w:eastAsia="ru-RU"/>
        </w:rPr>
        <w:t xml:space="preserve">. В случае нарушения Поставщиком обязательств, установленных пунктами 10.1, 10.2 Договора, Покупатель вправе в одностороннем внесудебном порядке отказаться </w:t>
        <w:br/>
        <w:t xml:space="preserve">от Договора путем направления уведомления об отказе от Договора (исполнения Договора) </w:t>
        <w:br/>
        <w:t xml:space="preserve">с указанием даты прекращения (расторжения) Договора, которая не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w:t>
        <w:br/>
        <w:t>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до наступления указанной Покупателем даты расторжения.</w:t>
      </w:r>
      <w:bookmarkEnd w:id="11"/>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2" w:name="_Ref361337980"/>
      <w:r>
        <w:rPr>
          <w:rFonts w:eastAsia="Times New Roman" w:cs="Times New Roman" w:ascii="Times New Roman" w:hAnsi="Times New Roman"/>
          <w:bCs/>
          <w:sz w:val="24"/>
          <w:szCs w:val="24"/>
          <w:lang w:eastAsia="ru-RU"/>
        </w:rPr>
        <w:t>. Поставщик обязан уплатить Покупателю штраф в размере суммы денежных средств, перечисленных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10.1, 10.2 Договора.</w:t>
      </w:r>
      <w:bookmarkEnd w:id="12"/>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3" w:name="_Ref373243071"/>
      <w:r>
        <w:rPr>
          <w:rFonts w:eastAsia="Times New Roman" w:cs="Times New Roman" w:ascii="Times New Roman" w:hAnsi="Times New Roman"/>
          <w:bCs/>
          <w:sz w:val="24"/>
          <w:szCs w:val="24"/>
          <w:lang w:eastAsia="ru-RU"/>
        </w:rPr>
        <w:t xml:space="preserve">. Штраф, предусмотренный пунктом 10.4 Договора, оплачивается Поставщиком </w:t>
        <w:br/>
        <w:t xml:space="preserve">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w:t>
        <w:br/>
        <w:t>вне независимости от направления уведомления об отказе от Договора (исполнения Договора), предусмотренного пунктом 10.3 Договора.</w:t>
      </w:r>
      <w:bookmarkEnd w:id="13"/>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bookmarkStart w:id="14" w:name="_Ref361337992"/>
      <w:r>
        <w:rPr>
          <w:rFonts w:eastAsia="Times New Roman" w:cs="Times New Roman" w:ascii="Times New Roman" w:hAnsi="Times New Roman"/>
          <w:bCs/>
          <w:sz w:val="24"/>
          <w:szCs w:val="24"/>
          <w:lang w:eastAsia="ru-RU"/>
        </w:rPr>
        <w:t xml:space="preserve">. Покупатель вправе приостановить осуществление любых платежей 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10.4. Договора. </w:t>
        <w:br/>
        <w:t>При этом Покупатель не будет считаться просрочившим и / или нарушившим свои обязательства по Договору.</w:t>
      </w:r>
      <w:bookmarkEnd w:id="14"/>
    </w:p>
    <w:p>
      <w:pPr>
        <w:pStyle w:val="Normal"/>
        <w:widowControl w:val="false"/>
        <w:numPr>
          <w:ilvl w:val="1"/>
          <w:numId w:val="13"/>
        </w:numPr>
        <w:shd w:val="clear" w:color="auto" w:fill="FFFFFF"/>
        <w:tabs>
          <w:tab w:val="clear" w:pos="708"/>
          <w:tab w:val="left" w:pos="1134"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Независимо от других положений Договора, положения пунктов 10.4, 10.5 Договора продолжают действовать в течение 4 (четырех) лет после его прекращения (расторжения) или исполнения.</w:t>
      </w:r>
    </w:p>
    <w:p>
      <w:pPr>
        <w:pStyle w:val="Normal"/>
        <w:shd w:val="clear" w:color="auto" w:fill="FFFFFF"/>
        <w:tabs>
          <w:tab w:val="clear" w:pos="708"/>
          <w:tab w:val="left" w:pos="1134" w:leader="none"/>
        </w:tabs>
        <w:suppressAutoHyphens w:val="true"/>
        <w:spacing w:lineRule="auto" w:line="240" w:before="0" w:after="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widowControl w:val="false"/>
        <w:numPr>
          <w:ilvl w:val="0"/>
          <w:numId w:val="2"/>
        </w:numPr>
        <w:shd w:val="clear" w:color="auto" w:fill="FFFFFF"/>
        <w:tabs>
          <w:tab w:val="clear" w:pos="708"/>
          <w:tab w:val="left" w:pos="426" w:leader="none"/>
        </w:tabs>
        <w:suppressAutoHyphens w:val="true"/>
        <w:spacing w:lineRule="auto" w:line="240" w:before="0" w:after="0"/>
        <w:ind w:left="0" w:hanging="0"/>
        <w:contextualSpacing/>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bCs/>
          <w:sz w:val="24"/>
          <w:szCs w:val="24"/>
          <w:lang w:eastAsia="ru-RU"/>
        </w:rPr>
        <w:t>Заверения</w:t>
      </w:r>
      <w:r>
        <w:rPr>
          <w:rFonts w:eastAsia="Times New Roman" w:cs="Times New Roman" w:ascii="Times New Roman" w:hAnsi="Times New Roman"/>
          <w:b/>
          <w:sz w:val="24"/>
          <w:szCs w:val="24"/>
          <w:lang w:eastAsia="ru-RU"/>
        </w:rPr>
        <w:t xml:space="preserve"> Сторон</w:t>
      </w:r>
    </w:p>
    <w:p>
      <w:pPr>
        <w:pStyle w:val="Normal"/>
        <w:widowControl w:val="false"/>
        <w:numPr>
          <w:ilvl w:val="1"/>
          <w:numId w:val="2"/>
        </w:numPr>
        <w:shd w:val="clear" w:color="auto" w:fill="FFFFFF"/>
        <w:tabs>
          <w:tab w:val="clear" w:pos="708"/>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Каждая</w:t>
      </w:r>
      <w:r>
        <w:rPr>
          <w:rFonts w:eastAsia="Times New Roman" w:cs="Times New Roman" w:ascii="Times New Roman" w:hAnsi="Times New Roman"/>
          <w:sz w:val="24"/>
          <w:szCs w:val="24"/>
          <w:lang w:eastAsia="ru-RU"/>
        </w:rPr>
        <w:t xml:space="preserve"> из Сторон заявляет и подтверждает другой Стороне, что: </w:t>
      </w:r>
    </w:p>
    <w:p>
      <w:pPr>
        <w:pStyle w:val="Normal"/>
        <w:widowControl w:val="false"/>
        <w:numPr>
          <w:ilvl w:val="0"/>
          <w:numId w:val="6"/>
        </w:numPr>
        <w:shd w:val="clear" w:color="auto" w:fill="FFFFFF"/>
        <w:tabs>
          <w:tab w:val="clear" w:pos="708"/>
          <w:tab w:val="left" w:pos="0" w:leader="none"/>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Normal"/>
        <w:widowControl w:val="false"/>
        <w:numPr>
          <w:ilvl w:val="0"/>
          <w:numId w:val="6"/>
        </w:numPr>
        <w:shd w:val="clear" w:color="auto" w:fill="FFFFFF"/>
        <w:tabs>
          <w:tab w:val="clear" w:pos="708"/>
          <w:tab w:val="left" w:pos="0" w:leader="none"/>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Normal"/>
        <w:widowControl w:val="false"/>
        <w:numPr>
          <w:ilvl w:val="0"/>
          <w:numId w:val="6"/>
        </w:numPr>
        <w:shd w:val="clear" w:color="auto" w:fill="FFFFFF"/>
        <w:tabs>
          <w:tab w:val="clear" w:pos="708"/>
          <w:tab w:val="left" w:pos="0" w:leader="none"/>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Normal"/>
        <w:widowControl w:val="false"/>
        <w:numPr>
          <w:ilvl w:val="0"/>
          <w:numId w:val="6"/>
        </w:numPr>
        <w:shd w:val="clear" w:color="auto" w:fill="FFFFFF"/>
        <w:tabs>
          <w:tab w:val="clear" w:pos="708"/>
          <w:tab w:val="left" w:pos="0" w:leader="none"/>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лица, подписывающие от имени Сторон Договор, надлежащим образом уполномочены на его подписание;</w:t>
      </w:r>
    </w:p>
    <w:p>
      <w:pPr>
        <w:pStyle w:val="Normal"/>
        <w:widowControl w:val="false"/>
        <w:numPr>
          <w:ilvl w:val="0"/>
          <w:numId w:val="6"/>
        </w:numPr>
        <w:shd w:val="clear" w:color="auto" w:fill="FFFFFF"/>
        <w:tabs>
          <w:tab w:val="clear" w:pos="708"/>
          <w:tab w:val="left" w:pos="0" w:leader="none"/>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Поставщик заявляет и заверяет Покупателя в том, что на момент заключения Договора:</w:t>
      </w:r>
    </w:p>
    <w:p>
      <w:pPr>
        <w:pStyle w:val="Normal"/>
        <w:widowControl w:val="false"/>
        <w:numPr>
          <w:ilvl w:val="0"/>
          <w:numId w:val="8"/>
        </w:numPr>
        <w:shd w:val="clear" w:color="auto" w:fill="FFFFFF"/>
        <w:tabs>
          <w:tab w:val="clear" w:pos="708"/>
          <w:tab w:val="left" w:pos="0" w:leader="none"/>
          <w:tab w:val="left" w:pos="709"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учредителем / учредителями Поставщика являются лица, не являющиеся массовыми учредителем / учредителями;</w:t>
      </w:r>
    </w:p>
    <w:p>
      <w:pPr>
        <w:pStyle w:val="Normal"/>
        <w:widowControl w:val="false"/>
        <w:numPr>
          <w:ilvl w:val="0"/>
          <w:numId w:val="8"/>
        </w:numPr>
        <w:shd w:val="clear" w:color="auto" w:fill="FFFFFF"/>
        <w:tabs>
          <w:tab w:val="clear" w:pos="708"/>
          <w:tab w:val="left" w:pos="0" w:leader="none"/>
          <w:tab w:val="left" w:pos="709"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руководителем Поставщика является лицо, не являющееся массовым руководителем;</w:t>
      </w:r>
    </w:p>
    <w:p>
      <w:pPr>
        <w:pStyle w:val="Normal"/>
        <w:widowControl w:val="false"/>
        <w:numPr>
          <w:ilvl w:val="0"/>
          <w:numId w:val="8"/>
        </w:numPr>
        <w:shd w:val="clear" w:color="auto" w:fill="FFFFFF"/>
        <w:tabs>
          <w:tab w:val="clear" w:pos="708"/>
          <w:tab w:val="left" w:pos="0" w:leader="none"/>
          <w:tab w:val="left" w:pos="709"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фактически находится по адресу, указанному в Едином государственном реестре юридических лиц; </w:t>
      </w:r>
    </w:p>
    <w:p>
      <w:pPr>
        <w:pStyle w:val="Normal"/>
        <w:widowControl w:val="false"/>
        <w:numPr>
          <w:ilvl w:val="0"/>
          <w:numId w:val="8"/>
        </w:numPr>
        <w:shd w:val="clear" w:color="auto" w:fill="FFFFFF"/>
        <w:tabs>
          <w:tab w:val="clear" w:pos="708"/>
          <w:tab w:val="left" w:pos="0" w:leader="none"/>
          <w:tab w:val="left" w:pos="709"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Normal"/>
        <w:widowControl w:val="false"/>
        <w:numPr>
          <w:ilvl w:val="0"/>
          <w:numId w:val="7"/>
        </w:numPr>
        <w:shd w:val="clear" w:color="auto" w:fill="FFFFFF"/>
        <w:tabs>
          <w:tab w:val="clear" w:pos="708"/>
          <w:tab w:val="left" w:pos="0" w:leader="none"/>
          <w:tab w:val="left" w:pos="567"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Договору или в связи с ним;</w:t>
      </w:r>
    </w:p>
    <w:p>
      <w:pPr>
        <w:pStyle w:val="Normal"/>
        <w:widowControl w:val="false"/>
        <w:numPr>
          <w:ilvl w:val="0"/>
          <w:numId w:val="7"/>
        </w:numPr>
        <w:shd w:val="clear" w:color="auto" w:fill="FFFFFF"/>
        <w:tabs>
          <w:tab w:val="clear" w:pos="708"/>
          <w:tab w:val="left" w:pos="0" w:leader="none"/>
          <w:tab w:val="left" w:pos="567"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тщательно изучил всю информацию, связанную с Договором, </w:t>
        <w:br/>
        <w:t>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и трудности исполнения обязательств, возникающих из Договора или в связи с ним;</w:t>
      </w:r>
    </w:p>
    <w:p>
      <w:pPr>
        <w:pStyle w:val="Normal"/>
        <w:widowControl w:val="false"/>
        <w:numPr>
          <w:ilvl w:val="0"/>
          <w:numId w:val="7"/>
        </w:numPr>
        <w:shd w:val="clear" w:color="auto" w:fill="FFFFFF"/>
        <w:tabs>
          <w:tab w:val="clear" w:pos="708"/>
          <w:tab w:val="left" w:pos="0" w:leader="none"/>
          <w:tab w:val="left" w:pos="567"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Normal"/>
        <w:widowControl w:val="false"/>
        <w:numPr>
          <w:ilvl w:val="0"/>
          <w:numId w:val="7"/>
        </w:numPr>
        <w:shd w:val="clear" w:color="auto" w:fill="FFFFFF"/>
        <w:tabs>
          <w:tab w:val="clear" w:pos="708"/>
          <w:tab w:val="left" w:pos="0" w:leader="none"/>
          <w:tab w:val="left" w:pos="567"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val="false"/>
        <w:numPr>
          <w:ilvl w:val="1"/>
          <w:numId w:val="2"/>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случае, если </w:t>
      </w:r>
      <w:r>
        <w:rPr>
          <w:rFonts w:eastAsia="Times New Roman" w:cs="Times New Roman" w:ascii="Times New Roman" w:hAnsi="Times New Roman"/>
          <w:bCs/>
          <w:sz w:val="24"/>
          <w:szCs w:val="24"/>
          <w:lang w:eastAsia="ru-RU"/>
        </w:rPr>
        <w:t xml:space="preserve">Поставщик </w:t>
      </w:r>
      <w:r>
        <w:rPr>
          <w:rFonts w:eastAsia="Times New Roman" w:cs="Times New Roman" w:ascii="Times New Roman" w:hAnsi="Times New Roman"/>
          <w:sz w:val="24"/>
          <w:szCs w:val="24"/>
          <w:lang w:eastAsia="ru-RU"/>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rFonts w:eastAsia="Times New Roman" w:cs="Times New Roman" w:ascii="Times New Roman" w:hAnsi="Times New Roman"/>
          <w:bCs/>
          <w:sz w:val="24"/>
          <w:szCs w:val="24"/>
          <w:lang w:eastAsia="ru-RU"/>
        </w:rPr>
        <w:t xml:space="preserve">Поставщик </w:t>
      </w:r>
      <w:r>
        <w:rPr>
          <w:rFonts w:eastAsia="Times New Roman" w:cs="Times New Roman" w:ascii="Times New Roman" w:hAnsi="Times New Roman"/>
          <w:sz w:val="24"/>
          <w:szCs w:val="24"/>
          <w:lang w:eastAsia="ru-RU"/>
        </w:rPr>
        <w:t xml:space="preserve">обязан </w:t>
        <w:br/>
        <w:t>по письменному требованию Покупателя уплатить последнему штраф в размере 5 (пяти) процентов от Цены Договора, указанной в пункте 2.1 Договора.</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Normal"/>
        <w:shd w:val="clear" w:color="auto" w:fill="FFFFFF"/>
        <w:tabs>
          <w:tab w:val="clear" w:pos="708"/>
          <w:tab w:val="left" w:pos="1134" w:leader="none"/>
          <w:tab w:val="left" w:pos="1418" w:leader="none"/>
        </w:tabs>
        <w:suppressAutoHyphens w:val="true"/>
        <w:spacing w:lineRule="auto" w:line="240" w:before="0" w:after="0"/>
        <w:ind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tabs>
          <w:tab w:val="clear" w:pos="708"/>
          <w:tab w:val="left" w:pos="426" w:leader="none"/>
        </w:tabs>
        <w:suppressAutoHyphens w:val="true"/>
        <w:spacing w:lineRule="auto" w:line="240" w:before="0" w:after="0"/>
        <w:ind w:left="0" w:hanging="0"/>
        <w:contextualSpacing/>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bCs/>
          <w:sz w:val="24"/>
          <w:szCs w:val="24"/>
          <w:lang w:eastAsia="ru-RU"/>
        </w:rPr>
        <w:t>П</w:t>
      </w:r>
      <w:r>
        <w:rPr>
          <w:rFonts w:eastAsia="Times New Roman" w:cs="Times New Roman" w:ascii="Times New Roman" w:hAnsi="Times New Roman"/>
          <w:b/>
          <w:sz w:val="24"/>
          <w:szCs w:val="24"/>
          <w:lang w:eastAsia="ru-RU"/>
        </w:rPr>
        <w:t>рекращение (расторжение) Договора</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rFonts w:eastAsia="Times New Roman" w:cs="Times New Roman" w:ascii="Times New Roman" w:hAnsi="Times New Roman"/>
          <w:sz w:val="24"/>
          <w:szCs w:val="24"/>
          <w:highlight w:val="lightGray"/>
          <w:lang w:eastAsia="ru-RU"/>
        </w:rPr>
        <w:t>13.8</w:t>
      </w:r>
      <w:r>
        <w:rPr>
          <w:rFonts w:eastAsia="Times New Roman" w:cs="Times New Roman" w:ascii="Times New Roman" w:hAnsi="Times New Roman"/>
          <w:sz w:val="24"/>
          <w:szCs w:val="24"/>
          <w:lang w:eastAsia="ru-RU"/>
        </w:rPr>
        <w:t xml:space="preserve"> Договора, с приложением подписанного соглашения о расторжении Договора. Уведомление должно быть рассмотрено Стороной</w:t>
      </w:r>
      <w:r>
        <w:rPr>
          <w:rFonts w:eastAsia="Times New Roman" w:cs="Times New Roman" w:ascii="Times New Roman" w:hAnsi="Times New Roman"/>
          <w:spacing w:val="2"/>
          <w:sz w:val="24"/>
          <w:szCs w:val="24"/>
          <w:lang w:eastAsia="ru-RU"/>
        </w:rPr>
        <w:t>–</w:t>
      </w:r>
      <w:r>
        <w:rPr>
          <w:rFonts w:eastAsia="Times New Roman" w:cs="Times New Roman" w:ascii="Times New Roman" w:hAnsi="Times New Roman"/>
          <w:sz w:val="24"/>
          <w:szCs w:val="24"/>
          <w:lang w:eastAsia="ru-RU"/>
        </w:rPr>
        <w:t>получателем в течение 30 (тридцати) календарных дней со дня его получения.</w:t>
      </w:r>
    </w:p>
    <w:p>
      <w:pPr>
        <w:pStyle w:val="Normal"/>
        <w:widowControl w:val="false"/>
        <w:numPr>
          <w:ilvl w:val="1"/>
          <w:numId w:val="2"/>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Покупатель вправе в одностороннем внесудебном порядке отказаться от Договора при условии обязательного направления письменного уведомления об этом Поставщику не позднее чем за 30 (тридцать) календарных дней до предполагаемой даты расторжения Договора. В этом случае Договор считается прекращенным (расторгнутым) со дня, следующего за днем получения Поставщиком уведомления Покупателя об отказе от Договора (исполнения Договора). </w:t>
      </w:r>
    </w:p>
    <w:p>
      <w:pPr>
        <w:pStyle w:val="Normal"/>
        <w:widowControl w:val="false"/>
        <w:numPr>
          <w:ilvl w:val="1"/>
          <w:numId w:val="2"/>
        </w:numPr>
        <w:shd w:val="clear" w:color="auto" w:fill="FFFFFF"/>
        <w:tabs>
          <w:tab w:val="clear" w:pos="708"/>
          <w:tab w:val="left" w:pos="709"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4"/>
          <w:szCs w:val="24"/>
          <w:lang w:eastAsia="ru-RU"/>
        </w:rPr>
        <w:t xml:space="preserve">В случае существенного нарушения Договора Поставщиком Покупатель вправе в одностороннем внесудебном порядке отказаться от Договора. </w:t>
      </w:r>
    </w:p>
    <w:p>
      <w:pPr>
        <w:pStyle w:val="Normal"/>
        <w:shd w:val="clear" w:color="auto" w:fill="FFFFFF"/>
        <w:tabs>
          <w:tab w:val="clear" w:pos="708"/>
          <w:tab w:val="left" w:pos="1134" w:leader="none"/>
          <w:tab w:val="left" w:pos="1418" w:leader="none"/>
        </w:tabs>
        <w:suppressAutoHyphens w:val="true"/>
        <w:spacing w:lineRule="auto" w:line="240" w:before="0" w:after="0"/>
        <w:ind w:firstLine="709"/>
        <w:contextualSpacing/>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4"/>
          <w:szCs w:val="24"/>
          <w:lang w:eastAsia="ru-RU"/>
        </w:rPr>
        <w:t xml:space="preserve">Стороны установили, что существенным нарушением Договора Поставщиком является: </w:t>
      </w:r>
    </w:p>
    <w:p>
      <w:pPr>
        <w:pStyle w:val="Normal"/>
        <w:widowControl w:val="false"/>
        <w:numPr>
          <w:ilvl w:val="0"/>
          <w:numId w:val="11"/>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нарушение Поставщиком общего срока поставки Товара по Договору, а также промежуточных сроков поставки Товара (партий Товара), установленных Заявками Покупателя, более чем на 30 (тридцать) календарных дней по причинам, не зависящим от Покупателя; </w:t>
      </w:r>
    </w:p>
    <w:p>
      <w:pPr>
        <w:pStyle w:val="Normal"/>
        <w:widowControl w:val="false"/>
        <w:numPr>
          <w:ilvl w:val="0"/>
          <w:numId w:val="11"/>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30 (тридцать) календарных дней, либо такие недостатки (дефекты) являются неустранимыми; </w:t>
      </w:r>
    </w:p>
    <w:p>
      <w:pPr>
        <w:pStyle w:val="Normal"/>
        <w:widowControl w:val="false"/>
        <w:numPr>
          <w:ilvl w:val="0"/>
          <w:numId w:val="11"/>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наложение ареста на имущество Поставщика, введение арбитражным судом процедуры несостоятельности (банкротства) в отношении Поставщика; </w:t>
      </w:r>
    </w:p>
    <w:p>
      <w:pPr>
        <w:pStyle w:val="Normal"/>
        <w:widowControl w:val="false"/>
        <w:numPr>
          <w:ilvl w:val="0"/>
          <w:numId w:val="11"/>
        </w:numPr>
        <w:tabs>
          <w:tab w:val="clear" w:pos="708"/>
          <w:tab w:val="left" w:pos="1418" w:leader="none"/>
        </w:tabs>
        <w:suppressAutoHyphens w:val="true"/>
        <w:spacing w:lineRule="auto" w:line="240" w:before="0" w:after="0"/>
        <w:ind w:left="0"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Поставщика об обстоятельствах, указанных в разделе 11 Договора, и имеющих существенное значение для его заключения и исполнения. </w:t>
      </w:r>
    </w:p>
    <w:p>
      <w:pPr>
        <w:pStyle w:val="Normal"/>
        <w:widowControl w:val="false"/>
        <w:numPr>
          <w:ilvl w:val="1"/>
          <w:numId w:val="10"/>
        </w:numPr>
        <w:shd w:val="clear" w:color="auto" w:fill="FFFFFF"/>
        <w:tabs>
          <w:tab w:val="clear" w:pos="708"/>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 случае отказа Покупателя от Договора в случаях, предусмотренных пунктами 12.3, 12.3 Договора, последний считается прекращенным (расторгнутым) со дня, следующего за днем получения Поставщиком уведомления Покупателя об отказе от Договора (исполнения Договора). </w:t>
      </w:r>
    </w:p>
    <w:p>
      <w:pPr>
        <w:pStyle w:val="Normal"/>
        <w:widowControl w:val="false"/>
        <w:numPr>
          <w:ilvl w:val="1"/>
          <w:numId w:val="10"/>
        </w:numPr>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 даты прекращения (расторжения) Договора Поставщик обязан прекратить поставку Товара.</w:t>
      </w:r>
    </w:p>
    <w:p>
      <w:pPr>
        <w:pStyle w:val="Normal"/>
        <w:widowControl w:val="false"/>
        <w:numPr>
          <w:ilvl w:val="1"/>
          <w:numId w:val="10"/>
        </w:numPr>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Normal"/>
        <w:widowControl w:val="false"/>
        <w:suppressAutoHyphens w:val="true"/>
        <w:spacing w:lineRule="auto" w:line="240" w:before="0" w:after="0"/>
        <w:ind w:left="709" w:hanging="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tabs>
          <w:tab w:val="clear" w:pos="708"/>
          <w:tab w:val="left" w:pos="426" w:leader="none"/>
        </w:tabs>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Заключительные положения</w:t>
      </w:r>
    </w:p>
    <w:p>
      <w:pPr>
        <w:pStyle w:val="Normal"/>
        <w:widowControl w:val="false"/>
        <w:numPr>
          <w:ilvl w:val="1"/>
          <w:numId w:val="2"/>
        </w:numPr>
        <w:shd w:val="clear" w:color="auto" w:fill="FFFFFF"/>
        <w:tabs>
          <w:tab w:val="clear" w:pos="708"/>
          <w:tab w:val="left" w:pos="142"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Договор вступает в силу с даты его подписания Сторонами и действует </w:t>
        <w:br/>
        <w:t xml:space="preserve">до полного исполнения ими принятых на себя обязательств. </w:t>
      </w:r>
      <w:r>
        <w:rPr>
          <w:rFonts w:eastAsia="Times New Roman" w:cs="Times New Roman" w:ascii="Times New Roman" w:hAnsi="Times New Roman"/>
          <w:sz w:val="24"/>
          <w:szCs w:val="24"/>
          <w:highlight w:val="lightGray"/>
          <w:lang w:eastAsia="ru-RU"/>
        </w:rPr>
        <w:t xml:space="preserve">В соответствии с пунктом 2 статьи 425 ГК РФ, условия Договора применяются к отношениям Сторон, возникшим </w:t>
        <w:br/>
        <w:t>с __________</w:t>
      </w:r>
      <w:r>
        <w:rPr>
          <w:rFonts w:eastAsia="Times New Roman" w:cs="Times New Roman" w:ascii="Times New Roman" w:hAnsi="Times New Roman"/>
          <w:sz w:val="24"/>
          <w:szCs w:val="24"/>
          <w:lang w:eastAsia="ru-RU"/>
        </w:rPr>
        <w:t>.</w:t>
      </w:r>
    </w:p>
    <w:p>
      <w:pPr>
        <w:pStyle w:val="Normal"/>
        <w:widowControl w:val="false"/>
        <w:numPr>
          <w:ilvl w:val="1"/>
          <w:numId w:val="2"/>
        </w:numPr>
        <w:suppressAutoHyphens w:val="true"/>
        <w:snapToGrid w:val="false"/>
        <w:spacing w:lineRule="auto" w:line="240" w:before="0" w:after="0"/>
        <w:ind w:left="0"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 xml:space="preserve">Договор заключается в электронной форме с использованием программно-аппаратных средств </w:t>
      </w:r>
      <w:r>
        <w:rPr>
          <w:rFonts w:eastAsia="Times New Roman" w:cs="Times New Roman" w:ascii="Times New Roman" w:hAnsi="Times New Roman"/>
          <w:i/>
          <w:sz w:val="24"/>
          <w:szCs w:val="24"/>
          <w:highlight w:val="lightGray"/>
          <w:lang w:eastAsia="ru-RU"/>
        </w:rPr>
        <w:t>электронной площадки</w:t>
      </w:r>
      <w:r>
        <w:rPr>
          <w:rFonts w:eastAsia="Times New Roman" w:cs="Times New Roman" w:ascii="Times New Roman" w:hAnsi="Times New Roman"/>
          <w:sz w:val="24"/>
          <w:szCs w:val="24"/>
          <w:highlight w:val="lightGray"/>
          <w:lang w:eastAsia="ru-RU"/>
        </w:rPr>
        <w:t xml:space="preserve"> путем его подписания усиленными квалифицированными электронными подписями (далее – УКЭП) уполномоченных представителей Сторон. </w:t>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rFonts w:eastAsia="Times New Roman" w:cs="Times New Roman" w:ascii="Times New Roman" w:hAnsi="Times New Roman"/>
          <w:sz w:val="24"/>
          <w:szCs w:val="24"/>
          <w:highlight w:val="lightGray"/>
          <w:vertAlign w:val="superscript"/>
          <w:lang w:eastAsia="ru-RU"/>
        </w:rPr>
        <w:footnoteReference w:id="9"/>
      </w:r>
      <w:r>
        <w:rPr>
          <w:rFonts w:eastAsia="Times New Roman" w:cs="Times New Roman" w:ascii="Times New Roman" w:hAnsi="Times New Roman"/>
          <w:sz w:val="24"/>
          <w:szCs w:val="24"/>
          <w:highlight w:val="lightGray"/>
          <w:lang w:eastAsia="ru-RU"/>
        </w:rPr>
        <w:t>.</w:t>
      </w:r>
    </w:p>
    <w:p>
      <w:pPr>
        <w:pStyle w:val="Normal"/>
        <w:widowControl w:val="false"/>
        <w:suppressAutoHyphens w:val="true"/>
        <w:snapToGrid w:val="false"/>
        <w:spacing w:lineRule="auto" w:line="240" w:before="0" w:after="0"/>
        <w:ind w:firstLine="709"/>
        <w:jc w:val="both"/>
        <w:rPr>
          <w:rFonts w:ascii="Times New Roman" w:hAnsi="Times New Roman" w:eastAsia="Times New Roman" w:cs="Times New Roman"/>
          <w:i/>
          <w:i/>
          <w:sz w:val="24"/>
          <w:szCs w:val="24"/>
          <w:highlight w:val="lightGray"/>
          <w:lang w:eastAsia="ru-RU"/>
        </w:rPr>
      </w:pPr>
      <w:r>
        <w:rPr>
          <w:rFonts w:eastAsia="Times New Roman" w:cs="Times New Roman" w:ascii="Times New Roman" w:hAnsi="Times New Roman"/>
          <w:i/>
          <w:sz w:val="24"/>
          <w:szCs w:val="24"/>
          <w:highlight w:val="lightGray"/>
          <w:lang w:eastAsia="ru-RU"/>
        </w:rPr>
        <w:t>Либо</w:t>
      </w:r>
    </w:p>
    <w:p>
      <w:pPr>
        <w:pStyle w:val="Normal"/>
        <w:widowControl w:val="false"/>
        <w:suppressAutoHyphens w:val="true"/>
        <w:snapToGrid w:val="false"/>
        <w:spacing w:lineRule="auto" w:line="240" w:before="0" w:after="0"/>
        <w:ind w:firstLine="709"/>
        <w:jc w:val="both"/>
        <w:rPr>
          <w:rFonts w:ascii="Times New Roman" w:hAnsi="Times New Roman" w:eastAsia="Times New Roman" w:cs="Times New Roman"/>
          <w:i/>
          <w:i/>
          <w:sz w:val="24"/>
          <w:szCs w:val="24"/>
          <w:highlight w:val="lightGray"/>
          <w:lang w:eastAsia="ru-RU"/>
        </w:rPr>
      </w:pPr>
      <w:r>
        <w:rPr>
          <w:rFonts w:eastAsia="Times New Roman" w:cs="Times New Roman" w:ascii="Times New Roman" w:hAnsi="Times New Roman"/>
          <w:sz w:val="24"/>
          <w:szCs w:val="24"/>
          <w:highlight w:val="lightGray"/>
          <w:lang w:eastAsia="ru-RU"/>
        </w:rPr>
        <w:t>Договор заключается в электронной форме с</w:t>
      </w:r>
      <w:r>
        <w:rPr>
          <w:rFonts w:eastAsia="Times New Roman" w:cs="Times New Roman" w:ascii="Times New Roman" w:hAnsi="Times New Roman"/>
          <w:i/>
          <w:sz w:val="24"/>
          <w:szCs w:val="24"/>
          <w:highlight w:val="lightGray"/>
          <w:lang w:eastAsia="ru-RU"/>
        </w:rPr>
        <w:t xml:space="preserve"> </w:t>
      </w:r>
      <w:r>
        <w:rPr>
          <w:rFonts w:eastAsia="Times New Roman" w:cs="Times New Roman" w:ascii="Times New Roman" w:hAnsi="Times New Roman"/>
          <w:sz w:val="24"/>
          <w:szCs w:val="24"/>
          <w:highlight w:val="lightGray"/>
          <w:lang w:eastAsia="ru-RU"/>
        </w:rPr>
        <w:t>использованием программно-аппаратных средств</w:t>
      </w:r>
      <w:r>
        <w:rPr>
          <w:rFonts w:eastAsia="Times New Roman" w:cs="Times New Roman" w:ascii="Times New Roman" w:hAnsi="Times New Roman"/>
          <w:i/>
          <w:sz w:val="24"/>
          <w:szCs w:val="24"/>
          <w:highlight w:val="lightGray"/>
          <w:lang w:eastAsia="ru-RU"/>
        </w:rPr>
        <w:t xml:space="preserve"> информационной системы электронного документооборота общего пользования</w:t>
      </w:r>
      <w:r>
        <w:rPr>
          <w:rFonts w:eastAsia="Times New Roman" w:cs="Times New Roman" w:ascii="Times New Roman" w:hAnsi="Times New Roman"/>
          <w:sz w:val="24"/>
          <w:szCs w:val="24"/>
          <w:highlight w:val="lightGray"/>
          <w:lang w:eastAsia="ru-RU"/>
        </w:rPr>
        <w:t xml:space="preserve"> путем его подписания усиленными квалифицированными электронными подписями (далее – УКЭП) уполномоченных представителей Сторон.</w:t>
      </w:r>
    </w:p>
    <w:p>
      <w:pPr>
        <w:pStyle w:val="Normal"/>
        <w:widowControl w:val="false"/>
        <w:suppressAutoHyphens w:val="true"/>
        <w:spacing w:lineRule="auto" w:line="240" w:before="0" w:after="0"/>
        <w:ind w:firstLine="709"/>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lightGray"/>
          <w:lang w:eastAsia="ru-RU"/>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rFonts w:eastAsia="Times New Roman" w:cs="Times New Roman" w:ascii="Times New Roman" w:hAnsi="Times New Roman"/>
          <w:sz w:val="24"/>
          <w:szCs w:val="24"/>
          <w:highlight w:val="lightGray"/>
          <w:vertAlign w:val="superscript"/>
          <w:lang w:eastAsia="ru-RU"/>
        </w:rPr>
        <w:footnoteReference w:id="10"/>
      </w:r>
      <w:r>
        <w:rPr>
          <w:rFonts w:eastAsia="Times New Roman" w:cs="Times New Roman" w:ascii="Times New Roman" w:hAnsi="Times New Roman"/>
          <w:sz w:val="24"/>
          <w:szCs w:val="24"/>
          <w:highlight w:val="lightGray"/>
          <w:lang w:eastAsia="ru-RU"/>
        </w:rPr>
        <w:t>.</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rFonts w:eastAsia="Times New Roman" w:cs="Times New Roman" w:ascii="Times New Roman" w:hAnsi="Times New Roman"/>
          <w:sz w:val="24"/>
          <w:szCs w:val="24"/>
          <w:highlight w:val="lightGray"/>
          <w:lang w:eastAsia="ru-RU"/>
        </w:rPr>
        <w:t>13.7</w:t>
      </w:r>
      <w:r>
        <w:rPr>
          <w:rFonts w:eastAsia="Times New Roman" w:cs="Times New Roman" w:ascii="Times New Roman" w:hAnsi="Times New Roman"/>
          <w:sz w:val="24"/>
          <w:szCs w:val="24"/>
          <w:lang w:eastAsia="ru-RU"/>
        </w:rPr>
        <w:t xml:space="preserve"> Договора. </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 случае наличия любых расхождений между содержанием Договора </w:t>
        <w:br/>
        <w:t>и приложений к нему, приоритет имеет текст Договора.</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rFonts w:eastAsia="Times New Roman" w:cs="Times New Roman" w:ascii="Times New Roman" w:hAnsi="Times New Roman"/>
          <w:sz w:val="24"/>
          <w:szCs w:val="24"/>
          <w:highlight w:val="lightGray"/>
          <w:lang w:eastAsia="ru-RU"/>
        </w:rPr>
        <w:t>13.8</w:t>
      </w:r>
      <w:r>
        <w:rPr>
          <w:rFonts w:eastAsia="Times New Roman" w:cs="Times New Roman" w:ascii="Times New Roman" w:hAnsi="Times New Roman"/>
          <w:sz w:val="24"/>
          <w:szCs w:val="24"/>
          <w:lang w:eastAsia="ru-RU"/>
        </w:rPr>
        <w:t xml:space="preserve">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bookmarkStart w:id="15" w:name="_Ref361338004"/>
      <w:r>
        <w:rPr>
          <w:rFonts w:eastAsia="Times New Roman" w:cs="Times New Roman" w:ascii="Times New Roman" w:hAnsi="Times New Roman"/>
          <w:sz w:val="24"/>
          <w:szCs w:val="24"/>
          <w:lang w:eastAsia="ru-RU"/>
        </w:rPr>
        <w:t xml:space="preserve">Стороны обязуются уведомлять друг друга об изменении адреса и / или реквизитов, указанных в разделе 15 Договора, не позднее 3 (трех) рабочих дней после такого изменения в порядке, установленном пунктом </w:t>
      </w:r>
      <w:r>
        <w:rPr>
          <w:rFonts w:eastAsia="Times New Roman" w:cs="Times New Roman" w:ascii="Times New Roman" w:hAnsi="Times New Roman"/>
          <w:sz w:val="24"/>
          <w:szCs w:val="24"/>
          <w:highlight w:val="lightGray"/>
          <w:lang w:eastAsia="ru-RU"/>
        </w:rPr>
        <w:t>13.8</w:t>
      </w:r>
      <w:r>
        <w:rPr>
          <w:rFonts w:eastAsia="Times New Roman" w:cs="Times New Roman" w:ascii="Times New Roman" w:hAnsi="Times New Roman"/>
          <w:sz w:val="24"/>
          <w:szCs w:val="24"/>
          <w:lang w:eastAsia="ru-RU"/>
        </w:rPr>
        <w:t xml:space="preserve"> Договора.</w:t>
      </w:r>
      <w:bookmarkEnd w:id="15"/>
      <w:r>
        <w:rPr>
          <w:rFonts w:eastAsia="Times New Roman" w:cs="Times New Roman" w:ascii="Times New Roman" w:hAnsi="Times New Roman"/>
          <w:sz w:val="24"/>
          <w:szCs w:val="24"/>
          <w:lang w:eastAsia="ru-RU"/>
        </w:rPr>
        <w:t xml:space="preserve"> </w:t>
      </w:r>
    </w:p>
    <w:p>
      <w:pPr>
        <w:pStyle w:val="Normal"/>
        <w:widowControl w:val="false"/>
        <w:numPr>
          <w:ilvl w:val="1"/>
          <w:numId w:val="2"/>
        </w:numPr>
        <w:shd w:val="clear" w:color="auto" w:fill="FFFFFF"/>
        <w:tabs>
          <w:tab w:val="clear" w:pos="708"/>
          <w:tab w:val="left" w:pos="0" w:leader="none"/>
          <w:tab w:val="left" w:pos="1134"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sz w:val="24"/>
          <w:szCs w:val="24"/>
          <w:lang w:eastAsia="ru-RU"/>
        </w:rPr>
        <w:t>Письма, уведомления и / или сообщения направляются Стороне</w:t>
      </w:r>
      <w:r>
        <w:rPr>
          <w:rFonts w:eastAsia="Times New Roman" w:cs="Times New Roman" w:ascii="Times New Roman" w:hAnsi="Times New Roman"/>
          <w:bCs/>
          <w:sz w:val="24"/>
          <w:szCs w:val="24"/>
          <w:lang w:eastAsia="ru-RU"/>
        </w:rPr>
        <w:t>-</w:t>
      </w:r>
      <w:r>
        <w:rPr>
          <w:rFonts w:eastAsia="Times New Roman" w:cs="Times New Roman" w:ascii="Times New Roman" w:hAnsi="Times New Roman"/>
          <w:sz w:val="24"/>
          <w:szCs w:val="24"/>
          <w:lang w:eastAsia="ru-RU"/>
        </w:rPr>
        <w:t>получателю по адресу ее места нахождения, указанному в разделе 15 Договора, или в ранее полученном уведомлении Стороны об изменении адреса, одним из следующих способов, при этом документ</w:t>
      </w:r>
      <w:r>
        <w:rPr>
          <w:rFonts w:eastAsia="Times New Roman" w:cs="Times New Roman" w:ascii="Times New Roman" w:hAnsi="Times New Roman"/>
          <w:bCs/>
          <w:sz w:val="24"/>
          <w:szCs w:val="24"/>
          <w:lang w:eastAsia="ru-RU"/>
        </w:rPr>
        <w:t xml:space="preserve"> будет считаться полученным</w:t>
      </w:r>
      <w:r>
        <w:rPr>
          <w:rFonts w:eastAsia="Times New Roman" w:cs="Times New Roman" w:ascii="Times New Roman" w:hAnsi="Times New Roman"/>
          <w:sz w:val="24"/>
          <w:szCs w:val="24"/>
          <w:lang w:eastAsia="ru-RU"/>
        </w:rPr>
        <w:t xml:space="preserve">: </w:t>
      </w:r>
    </w:p>
    <w:p>
      <w:pPr>
        <w:pStyle w:val="Normal"/>
        <w:widowControl w:val="false"/>
        <w:numPr>
          <w:ilvl w:val="2"/>
          <w:numId w:val="2"/>
        </w:numPr>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 xml:space="preserve">Заказным почтовым отправлением с уведомлением о вручении – </w:t>
      </w:r>
      <w:r>
        <w:rPr>
          <w:rFonts w:eastAsia="Times New Roman" w:cs="Times New Roman" w:ascii="Times New Roman" w:hAnsi="Times New Roman"/>
          <w:sz w:val="24"/>
          <w:szCs w:val="24"/>
          <w:lang w:eastAsia="ru-RU"/>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Normal"/>
        <w:widowControl w:val="false"/>
        <w:numPr>
          <w:ilvl w:val="2"/>
          <w:numId w:val="2"/>
        </w:numPr>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bCs/>
          <w:sz w:val="24"/>
          <w:szCs w:val="24"/>
          <w:lang w:eastAsia="ru-RU"/>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rFonts w:eastAsia="Times New Roman" w:cs="Times New Roman" w:ascii="Times New Roman" w:hAnsi="Times New Roman"/>
          <w:sz w:val="24"/>
          <w:szCs w:val="24"/>
          <w:lang w:eastAsia="ru-RU"/>
        </w:rPr>
        <w:t xml:space="preserve">; </w:t>
      </w:r>
    </w:p>
    <w:p>
      <w:pPr>
        <w:pStyle w:val="Normal"/>
        <w:widowControl w:val="false"/>
        <w:numPr>
          <w:ilvl w:val="2"/>
          <w:numId w:val="2"/>
        </w:numPr>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Посредством электронной почты (</w:t>
      </w:r>
      <w:r>
        <w:rPr>
          <w:rFonts w:eastAsia="Times New Roman" w:cs="Times New Roman" w:ascii="Times New Roman" w:hAnsi="Times New Roman"/>
          <w:bCs/>
          <w:sz w:val="24"/>
          <w:szCs w:val="24"/>
          <w:lang w:val="en-US" w:eastAsia="ru-RU"/>
        </w:rPr>
        <w:t>e</w:t>
      </w:r>
      <w:r>
        <w:rPr>
          <w:rFonts w:eastAsia="Times New Roman" w:cs="Times New Roman" w:ascii="Times New Roman" w:hAnsi="Times New Roman"/>
          <w:bCs/>
          <w:sz w:val="24"/>
          <w:szCs w:val="24"/>
          <w:lang w:eastAsia="ru-RU"/>
        </w:rPr>
        <w:t>-</w:t>
      </w:r>
      <w:r>
        <w:rPr>
          <w:rFonts w:eastAsia="Times New Roman" w:cs="Times New Roman" w:ascii="Times New Roman" w:hAnsi="Times New Roman"/>
          <w:bCs/>
          <w:sz w:val="24"/>
          <w:szCs w:val="24"/>
          <w:lang w:val="en-US" w:eastAsia="ru-RU"/>
        </w:rPr>
        <w:t>mail</w:t>
      </w:r>
      <w:r>
        <w:rPr>
          <w:rFonts w:eastAsia="Times New Roman" w:cs="Times New Roman" w:ascii="Times New Roman" w:hAnsi="Times New Roman"/>
          <w:bCs/>
          <w:sz w:val="24"/>
          <w:szCs w:val="24"/>
          <w:lang w:eastAsia="ru-RU"/>
        </w:rPr>
        <w:t>) – в дату направления электронного сообщения, зафиксированную на почтовом сервере отправителя.</w:t>
      </w:r>
    </w:p>
    <w:p>
      <w:pPr>
        <w:pStyle w:val="Normal"/>
        <w:widowControl w:val="false"/>
        <w:shd w:val="clear" w:color="auto" w:fill="FFFFFF"/>
        <w:tabs>
          <w:tab w:val="clear" w:pos="708"/>
          <w:tab w:val="left" w:pos="0" w:leader="none"/>
          <w:tab w:val="left" w:pos="1418" w:leader="none"/>
        </w:tabs>
        <w:suppressAutoHyphens w:val="true"/>
        <w:spacing w:lineRule="auto" w:line="240" w:before="0" w:after="0"/>
        <w:ind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rFonts w:eastAsia="Times New Roman" w:cs="Times New Roman" w:ascii="Times New Roman" w:hAnsi="Times New Roman"/>
          <w:bCs/>
          <w:sz w:val="24"/>
          <w:szCs w:val="24"/>
          <w:highlight w:val="lightGray"/>
          <w:lang w:eastAsia="ru-RU"/>
        </w:rPr>
        <w:t>13.8.1 – 13.8.2</w:t>
      </w:r>
      <w:r>
        <w:rPr>
          <w:rFonts w:eastAsia="Times New Roman" w:cs="Times New Roman" w:ascii="Times New Roman" w:hAnsi="Times New Roman"/>
          <w:bCs/>
          <w:sz w:val="24"/>
          <w:szCs w:val="24"/>
          <w:lang w:eastAsia="ru-RU"/>
        </w:rPr>
        <w:t xml:space="preserve"> Договора. </w:t>
      </w:r>
    </w:p>
    <w:p>
      <w:pPr>
        <w:pStyle w:val="Normal"/>
        <w:widowControl w:val="false"/>
        <w:numPr>
          <w:ilvl w:val="1"/>
          <w:numId w:val="2"/>
        </w:numPr>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sz w:val="24"/>
          <w:szCs w:val="24"/>
          <w:lang w:eastAsia="ru-RU"/>
        </w:rPr>
        <w:t xml:space="preserve">Уступка (передача), в том числе в залог, прав (требований) к Покупателю </w:t>
        <w:br/>
        <w:t>по денежным обязательствам, возникших из Договора и принадлежащих Поставщику, допускается только с предварительного письменного согласия Покупателя и оформляется трехсторонним договором</w:t>
      </w:r>
      <w:r>
        <w:rPr>
          <w:rFonts w:eastAsia="Times New Roman" w:cs="Times New Roman" w:ascii="Times New Roman" w:hAnsi="Times New Roman"/>
          <w:bCs/>
          <w:sz w:val="24"/>
          <w:szCs w:val="24"/>
          <w:lang w:eastAsia="ru-RU"/>
        </w:rPr>
        <w:t>.</w:t>
      </w:r>
      <w:r>
        <w:rPr>
          <w:rFonts w:eastAsia="Times New Roman" w:cs="Times New Roman" w:ascii="Times New Roman" w:hAnsi="Times New Roman"/>
          <w:sz w:val="24"/>
          <w:szCs w:val="24"/>
          <w:lang w:eastAsia="ru-RU"/>
        </w:rPr>
        <w:t xml:space="preserve"> </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Во всем остальном, что не урегулировано Договором, Стороны руководствуются законодательством Российской Федерации. </w:t>
      </w:r>
    </w:p>
    <w:p>
      <w:pPr>
        <w:pStyle w:val="Normal"/>
        <w:widowControl w:val="false"/>
        <w:numPr>
          <w:ilvl w:val="1"/>
          <w:numId w:val="2"/>
        </w:numPr>
        <w:shd w:val="clear" w:color="auto" w:fill="FFFFFF"/>
        <w:tabs>
          <w:tab w:val="clear" w:pos="708"/>
          <w:tab w:val="left" w:pos="0" w:leader="none"/>
          <w:tab w:val="left" w:pos="1418" w:leader="none"/>
        </w:tabs>
        <w:suppressAutoHyphens w:val="true"/>
        <w:spacing w:lineRule="auto" w:line="240" w:before="0" w:after="0"/>
        <w:ind w:left="0" w:firstLine="709"/>
        <w:contextualSpacing/>
        <w:jc w:val="both"/>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lang w:eastAsia="ru-RU"/>
        </w:rPr>
        <w:t>Договор составлен в 2 (двух) оригинальных экземплярах, имеющих равную юридическую силу, по 1 (одному) для каждой из Сторон</w:t>
      </w:r>
      <w:r>
        <w:rPr>
          <w:rStyle w:val="FootnoteReference"/>
          <w:rFonts w:eastAsia="Times New Roman" w:cs="Times New Roman" w:ascii="Times New Roman" w:hAnsi="Times New Roman"/>
          <w:sz w:val="24"/>
          <w:szCs w:val="24"/>
          <w:highlight w:val="lightGray"/>
          <w:vertAlign w:val="superscript"/>
          <w:lang w:eastAsia="ru-RU"/>
        </w:rPr>
        <w:footnoteReference w:id="11"/>
      </w:r>
      <w:r>
        <w:rPr>
          <w:rFonts w:eastAsia="Times New Roman" w:cs="Times New Roman" w:ascii="Times New Roman" w:hAnsi="Times New Roman"/>
          <w:sz w:val="24"/>
          <w:szCs w:val="24"/>
          <w:highlight w:val="lightGray"/>
          <w:lang w:eastAsia="ru-RU"/>
        </w:rPr>
        <w:t>.</w:t>
      </w:r>
    </w:p>
    <w:p>
      <w:pPr>
        <w:pStyle w:val="Normal"/>
        <w:shd w:val="clear" w:color="auto" w:fill="FFFFFF"/>
        <w:tabs>
          <w:tab w:val="clear" w:pos="708"/>
          <w:tab w:val="left" w:pos="0" w:leader="none"/>
          <w:tab w:val="left" w:pos="1418" w:leader="none"/>
        </w:tabs>
        <w:suppressAutoHyphens w:val="true"/>
        <w:spacing w:lineRule="auto" w:line="240" w:before="0" w:after="0"/>
        <w:ind w:firstLine="709"/>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 xml:space="preserve">Список приложений </w:t>
      </w:r>
    </w:p>
    <w:p>
      <w:pPr>
        <w:pStyle w:val="Normal"/>
        <w:shd w:val="clear" w:color="auto" w:fill="FFFFFF"/>
        <w:tabs>
          <w:tab w:val="clear" w:pos="708"/>
          <w:tab w:val="left" w:pos="0" w:leader="none"/>
        </w:tabs>
        <w:suppressAutoHyphens w:val="true"/>
        <w:spacing w:lineRule="auto" w:line="240" w:before="0" w:after="0"/>
        <w:ind w:firstLine="709"/>
        <w:jc w:val="both"/>
        <w:rPr>
          <w:rFonts w:ascii="Times New Roman" w:hAnsi="Times New Roman" w:eastAsia="Calibri" w:cs="Times New Roman"/>
          <w:sz w:val="24"/>
          <w:szCs w:val="24"/>
        </w:rPr>
      </w:pPr>
      <w:bookmarkStart w:id="16" w:name="sub_1"/>
      <w:r>
        <w:rPr>
          <w:rFonts w:eastAsia="Calibri" w:cs="Times New Roman" w:ascii="Times New Roman" w:hAnsi="Times New Roman"/>
          <w:sz w:val="24"/>
          <w:szCs w:val="24"/>
        </w:rPr>
        <w:t>Приложение № 1 – Спецификация;</w:t>
      </w:r>
    </w:p>
    <w:p>
      <w:pPr>
        <w:pStyle w:val="Normal"/>
        <w:shd w:val="clear" w:color="auto" w:fill="FFFFFF"/>
        <w:tabs>
          <w:tab w:val="clear" w:pos="708"/>
          <w:tab w:val="left" w:pos="0" w:leader="none"/>
          <w:tab w:val="left" w:pos="2694" w:leader="none"/>
        </w:tabs>
        <w:suppressAutoHyphens w:val="true"/>
        <w:spacing w:lineRule="auto" w:line="240" w:before="0" w:after="0"/>
        <w:ind w:firstLine="709"/>
        <w:jc w:val="both"/>
        <w:rPr>
          <w:rFonts w:ascii="Times New Roman" w:hAnsi="Times New Roman" w:eastAsia="Times New Roman" w:cs="Times New Roman"/>
          <w:sz w:val="24"/>
          <w:szCs w:val="24"/>
          <w:lang w:eastAsia="x-none"/>
        </w:rPr>
      </w:pPr>
      <w:r>
        <w:rPr>
          <w:rFonts w:eastAsia="Times New Roman" w:cs="Times New Roman" w:ascii="Times New Roman" w:hAnsi="Times New Roman"/>
          <w:sz w:val="24"/>
          <w:szCs w:val="24"/>
          <w:lang w:eastAsia="x-none"/>
        </w:rPr>
        <w:t>Приложение № 2 –</w:t>
      </w:r>
      <w:r>
        <w:rPr>
          <w:rFonts w:eastAsia="Calibri" w:cs="Times New Roman" w:ascii="Times New Roman" w:hAnsi="Times New Roman"/>
          <w:sz w:val="24"/>
          <w:szCs w:val="24"/>
        </w:rPr>
        <w:t xml:space="preserve"> Форма Заявки на поставку Товара;</w:t>
      </w:r>
      <w:bookmarkEnd w:id="16"/>
    </w:p>
    <w:p>
      <w:pPr>
        <w:pStyle w:val="Normal"/>
        <w:widowControl w:val="false"/>
        <w:suppressAutoHyphens w:val="true"/>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Приложение № 3 </w:t>
      </w:r>
      <w:r>
        <w:rPr>
          <w:rFonts w:eastAsia="Calibri" w:cs="Times New Roman" w:ascii="Times New Roman" w:hAnsi="Times New Roman"/>
          <w:sz w:val="24"/>
          <w:szCs w:val="24"/>
        </w:rPr>
        <w:t>–</w:t>
      </w:r>
      <w:r>
        <w:rPr>
          <w:rFonts w:eastAsia="Times New Roman" w:cs="Times New Roman" w:ascii="Times New Roman" w:hAnsi="Times New Roman"/>
          <w:bCs/>
          <w:sz w:val="24"/>
          <w:szCs w:val="24"/>
          <w:lang w:eastAsia="ru-RU"/>
        </w:rPr>
        <w:t xml:space="preserve"> Размер ответственности Поставщика за нарушения пропускного и внутриобъектового режима, требований охраны труда, пожарной и промышленной безопасности.</w:t>
      </w:r>
    </w:p>
    <w:p>
      <w:pPr>
        <w:pStyle w:val="Normal"/>
        <w:widowControl w:val="false"/>
        <w:suppressAutoHyphens w:val="true"/>
        <w:spacing w:lineRule="auto" w:line="240" w:before="0" w:after="0"/>
        <w:ind w:firstLine="709"/>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widowControl w:val="false"/>
        <w:numPr>
          <w:ilvl w:val="0"/>
          <w:numId w:val="2"/>
        </w:numPr>
        <w:shd w:val="clear" w:color="auto" w:fill="FFFFFF"/>
        <w:suppressAutoHyphens w:val="true"/>
        <w:spacing w:lineRule="auto" w:line="240" w:before="0" w:after="0"/>
        <w:ind w:left="0" w:hanging="0"/>
        <w:contextualSpacing/>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Адреса и платежные реквизиты Сторон</w:t>
      </w:r>
    </w:p>
    <w:p>
      <w:pPr>
        <w:pStyle w:val="Normal"/>
        <w:shd w:val="clear" w:color="auto" w:fill="FFFFFF"/>
        <w:tabs>
          <w:tab w:val="clear" w:pos="708"/>
          <w:tab w:val="left" w:pos="426" w:leader="none"/>
        </w:tabs>
        <w:suppressAutoHyphens w:val="true"/>
        <w:spacing w:lineRule="auto" w:line="240" w:before="0" w:after="0"/>
        <w:ind w:firstLine="709"/>
        <w:contextualSpacing/>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tbl>
      <w:tblPr>
        <w:tblW w:w="9781"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769"/>
        <w:gridCol w:w="143"/>
        <w:gridCol w:w="4633"/>
        <w:gridCol w:w="236"/>
      </w:tblGrid>
      <w:tr>
        <w:trPr/>
        <w:tc>
          <w:tcPr>
            <w:tcW w:w="4912" w:type="dxa"/>
            <w:gridSpan w:val="2"/>
            <w:tcBorders/>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Покупатель:</w:t>
            </w:r>
          </w:p>
        </w:tc>
        <w:tc>
          <w:tcPr>
            <w:tcW w:w="4869" w:type="dxa"/>
            <w:gridSpan w:val="2"/>
            <w:tcBorders/>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tc>
      </w:tr>
      <w:tr>
        <w:trPr/>
        <w:tc>
          <w:tcPr>
            <w:tcW w:w="4912" w:type="dxa"/>
            <w:gridSpan w:val="2"/>
            <w:tcBorders/>
            <w:shd w:color="auto" w:fill="BFBFBF"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Акционерное общество  «Транспортная компания РусГидро»</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Юридический адрес: 655619, Российская Федерация, Республика </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Хакасия, г. Саяногорск, р.п. Черемушки, стр. 101</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Почтовый адрес: 655619, Российская Федерация, </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Республика Хакасия, г. Саяногорск, </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р.п. Черемушки, стр.101</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Грузополучатель: Приволжский филиал Акционерного общества «Транспортная компания  РусГидро» (Приволжский филиал АО «ТК РусГидро»)</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Адрес филиала: 445350, Самарская обл.,</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г.о. Жигулевск, ш. Московское, зд. 2, стр. 3 </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ИНН 1902018248  КПП 634543001</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р/с 40702810254400069450</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Поволжский банк ПАО «Сбербанк России» г.Самара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к/с 30101810200000000607</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БИК 043601607</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8(84862)7-57-22</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hyperlink r:id="rId5">
              <w:r>
                <w:rPr>
                  <w:rFonts w:eastAsia="Times New Roman" w:cs="Times New Roman" w:ascii="Times New Roman" w:hAnsi="Times New Roman"/>
                  <w:color w:val="0000FF"/>
                  <w:sz w:val="24"/>
                  <w:szCs w:val="24"/>
                  <w:u w:val="single"/>
                  <w:lang w:eastAsia="ru-RU"/>
                </w:rPr>
                <w:t>office_volga_TK@rushydro.ru</w:t>
              </w:r>
            </w:hyperlink>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4869" w:type="dxa"/>
            <w:gridSpan w:val="2"/>
            <w:tcBorders/>
            <w:shd w:color="auto" w:fill="BFBFBF" w:val="clear"/>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(наименование юридического лица)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Юридический адрес:</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Почтовый адрес:</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ОГРН 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ИНН ____________ / КПП___________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расчетного счета)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(наименование банка, в котором</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открыт расчетный счет)</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корреспондентского счета банка)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(БИК банка)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телефона)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(номер факса)</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c>
          <w:tcPr>
            <w:tcW w:w="4769" w:type="dxa"/>
            <w:tcBorders/>
          </w:tcPr>
          <w:p>
            <w:pPr>
              <w:pStyle w:val="Normal"/>
              <w:widowControl w:val="false"/>
              <w:suppressAutoHyphens w:val="true"/>
              <w:spacing w:lineRule="auto" w:line="240" w:before="0" w:after="0"/>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t xml:space="preserve">_______________ / _______________ </w:t>
            </w:r>
          </w:p>
          <w:p>
            <w:pPr>
              <w:pStyle w:val="Normal"/>
              <w:widowControl w:val="false"/>
              <w:suppressAutoHyphens w:val="true"/>
              <w:spacing w:lineRule="auto" w:line="240" w:before="0" w:after="0"/>
              <w:rPr>
                <w:rFonts w:ascii="Times New Roman" w:hAnsi="Times New Roman" w:eastAsia="Times New Roman" w:cs="Times New Roman"/>
                <w:sz w:val="24"/>
                <w:szCs w:val="24"/>
                <w:highlight w:val="lightGray"/>
                <w:lang w:eastAsia="ru-RU"/>
              </w:rPr>
            </w:pPr>
            <w:r>
              <w:rPr>
                <w:rFonts w:eastAsia="Times New Roman" w:cs="Times New Roman" w:ascii="Times New Roman" w:hAnsi="Times New Roman"/>
                <w:sz w:val="24"/>
                <w:szCs w:val="24"/>
                <w:highlight w:val="lightGray"/>
                <w:lang w:eastAsia="ru-RU"/>
              </w:rPr>
            </w:r>
          </w:p>
        </w:tc>
        <w:tc>
          <w:tcPr>
            <w:tcW w:w="4776" w:type="dxa"/>
            <w:gridSpan w:val="2"/>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highlight w:val="lightGray"/>
                <w:lang w:eastAsia="ru-RU"/>
              </w:rPr>
              <w:t>_______________ / _______________</w:t>
            </w:r>
            <w:r>
              <w:rPr>
                <w:rFonts w:eastAsia="Times New Roman" w:cs="Times New Roman" w:ascii="Times New Roman" w:hAnsi="Times New Roman"/>
                <w:sz w:val="24"/>
                <w:szCs w:val="24"/>
                <w:lang w:eastAsia="ru-RU"/>
              </w:rPr>
              <w:t xml:space="preserve"> </w:t>
            </w:r>
          </w:p>
        </w:tc>
        <w:tc>
          <w:tcPr>
            <w:tcW w:w="236" w:type="dxa"/>
            <w:tcBorders/>
          </w:tcPr>
          <w:p>
            <w:pPr>
              <w:pStyle w:val="Normal"/>
              <w:widowControl w:val="false"/>
              <w:suppressAutoHyphens w:val="true"/>
              <w:spacing w:lineRule="auto" w:line="240" w:before="0" w:after="0"/>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r>
          </w:p>
        </w:tc>
      </w:tr>
    </w:tbl>
    <w:p>
      <w:pPr>
        <w:sectPr>
          <w:headerReference w:type="default" r:id="rId6"/>
          <w:headerReference w:type="first" r:id="rId7"/>
          <w:footerReference w:type="default" r:id="rId8"/>
          <w:footnotePr>
            <w:numFmt w:val="decimal"/>
          </w:footnotePr>
          <w:type w:val="nextPage"/>
          <w:pgSz w:w="11906" w:h="16838"/>
          <w:pgMar w:left="1418" w:right="851" w:gutter="0" w:header="709" w:top="1134" w:footer="709" w:bottom="1134"/>
          <w:pgNumType w:fmt="decimal"/>
          <w:formProt w:val="false"/>
          <w:titlePg/>
          <w:textDirection w:val="lrTb"/>
          <w:docGrid w:type="default" w:linePitch="360" w:charSpace="12288"/>
        </w:sectPr>
      </w:pP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Приложение № 1</w:t>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к Договору поставки</w:t>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от «____» _____20 _ г. № _____</w:t>
      </w:r>
    </w:p>
    <w:p>
      <w:pPr>
        <w:pStyle w:val="Normal"/>
        <w:suppressAutoHyphens w:val="true"/>
        <w:spacing w:lineRule="auto" w:line="240" w:before="0" w:after="0"/>
        <w:ind w:firstLine="709"/>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widowControl w:val="false"/>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СПЕЦИФИКАЦИЯ </w:t>
      </w:r>
    </w:p>
    <w:p>
      <w:pPr>
        <w:pStyle w:val="Normal"/>
        <w:widowControl w:val="false"/>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bl>
      <w:tblPr>
        <w:tblW w:w="5000" w:type="pct"/>
        <w:jc w:val="left"/>
        <w:tblInd w:w="-714" w:type="dxa"/>
        <w:tblLayout w:type="fixed"/>
        <w:tblCellMar>
          <w:top w:w="0" w:type="dxa"/>
          <w:left w:w="108" w:type="dxa"/>
          <w:bottom w:w="0" w:type="dxa"/>
          <w:right w:w="108" w:type="dxa"/>
        </w:tblCellMar>
        <w:tblLook w:val="04a0" w:noHBand="0" w:noVBand="1" w:firstColumn="1" w:lastRow="0" w:lastColumn="0" w:firstRow="1"/>
      </w:tblPr>
      <w:tblGrid>
        <w:gridCol w:w="451"/>
        <w:gridCol w:w="393"/>
        <w:gridCol w:w="602"/>
        <w:gridCol w:w="612"/>
        <w:gridCol w:w="612"/>
        <w:gridCol w:w="777"/>
        <w:gridCol w:w="723"/>
        <w:gridCol w:w="626"/>
        <w:gridCol w:w="730"/>
        <w:gridCol w:w="690"/>
        <w:gridCol w:w="516"/>
        <w:gridCol w:w="648"/>
        <w:gridCol w:w="552"/>
        <w:gridCol w:w="515"/>
        <w:gridCol w:w="716"/>
        <w:gridCol w:w="471"/>
      </w:tblGrid>
      <w:tr>
        <w:trPr>
          <w:trHeight w:val="526" w:hRule="atLeast"/>
        </w:trPr>
        <w:tc>
          <w:tcPr>
            <w:tcW w:w="4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 xml:space="preserve">№ </w:t>
            </w:r>
            <w:r>
              <w:rPr>
                <w:rFonts w:eastAsia="Times New Roman" w:cs="Times New Roman" w:ascii="Times New Roman" w:hAnsi="Times New Roman"/>
                <w:bCs/>
                <w:sz w:val="20"/>
                <w:szCs w:val="20"/>
                <w:lang w:eastAsia="ru-RU"/>
              </w:rPr>
              <w:t>партии</w:t>
            </w:r>
          </w:p>
        </w:tc>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 xml:space="preserve">№ </w:t>
            </w:r>
            <w:r>
              <w:rPr>
                <w:rFonts w:eastAsia="Times New Roman" w:cs="Times New Roman" w:ascii="Times New Roman" w:hAnsi="Times New Roman"/>
                <w:bCs/>
                <w:sz w:val="20"/>
                <w:szCs w:val="20"/>
                <w:lang w:eastAsia="ru-RU"/>
              </w:rPr>
              <w:t>поз.</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Наименование Товара</w:t>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Артикул, тип, марка</w:t>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Завод изготовитель</w:t>
            </w:r>
          </w:p>
        </w:tc>
        <w:tc>
          <w:tcPr>
            <w:tcW w:w="7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Страна происхождения Товара</w:t>
            </w:r>
            <w:r>
              <w:rPr>
                <w:rStyle w:val="FootnoteReference"/>
                <w:rFonts w:eastAsia="Times New Roman" w:cs="Times New Roman" w:ascii="Times New Roman" w:hAnsi="Times New Roman"/>
                <w:bCs/>
                <w:sz w:val="20"/>
                <w:szCs w:val="20"/>
                <w:vertAlign w:val="superscript"/>
                <w:lang w:eastAsia="ru-RU"/>
              </w:rPr>
              <w:footnoteReference w:id="12"/>
            </w:r>
          </w:p>
        </w:tc>
        <w:tc>
          <w:tcPr>
            <w:tcW w:w="7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sz w:val="20"/>
                <w:szCs w:val="20"/>
                <w:lang w:eastAsia="ru-RU"/>
              </w:rPr>
              <w:t>Страна регистрации производителя Товара</w:t>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Код ОКПД 2 (с наименованием)</w:t>
            </w:r>
          </w:p>
        </w:tc>
        <w:tc>
          <w:tcPr>
            <w:tcW w:w="7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Единица измерения</w:t>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
                <w:bCs/>
                <w:sz w:val="20"/>
                <w:szCs w:val="20"/>
                <w:lang w:eastAsia="ru-RU"/>
              </w:rPr>
            </w:pPr>
            <w:r>
              <w:rPr>
                <w:rFonts w:eastAsia="Times New Roman" w:cs="Times New Roman" w:ascii="Times New Roman" w:hAnsi="Times New Roman"/>
                <w:b/>
                <w:bCs/>
                <w:sz w:val="20"/>
                <w:szCs w:val="20"/>
                <w:lang w:eastAsia="ru-RU"/>
              </w:rPr>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highlight w:val="lightGray"/>
                <w:lang w:eastAsia="ru-RU"/>
              </w:rPr>
              <w:t>Порядковый номер(а) реестровой(ых) записи(ей)</w:t>
            </w:r>
            <w:r>
              <w:rPr>
                <w:rStyle w:val="FootnoteReference"/>
                <w:rFonts w:eastAsia="Times New Roman" w:cs="Times New Roman" w:ascii="Times New Roman" w:hAnsi="Times New Roman"/>
                <w:bCs/>
                <w:sz w:val="20"/>
                <w:szCs w:val="20"/>
                <w:highlight w:val="lightGray"/>
                <w:vertAlign w:val="superscript"/>
                <w:lang w:eastAsia="ru-RU"/>
              </w:rPr>
              <w:footnoteReference w:id="13"/>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r>
          </w:p>
        </w:tc>
        <w:tc>
          <w:tcPr>
            <w:tcW w:w="5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Количество</w:t>
            </w:r>
          </w:p>
        </w:tc>
        <w:tc>
          <w:tcPr>
            <w:tcW w:w="6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Цена за единицу, руб. без НДС</w:t>
            </w:r>
          </w:p>
        </w:tc>
        <w:tc>
          <w:tcPr>
            <w:tcW w:w="5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Цена, руб. без НДС</w:t>
            </w:r>
          </w:p>
        </w:tc>
        <w:tc>
          <w:tcPr>
            <w:tcW w:w="5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НДС</w:t>
            </w:r>
          </w:p>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(___%) руб.*</w:t>
            </w:r>
          </w:p>
        </w:tc>
        <w:tc>
          <w:tcPr>
            <w:tcW w:w="7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Стоимость, руб., с НДС*</w:t>
            </w:r>
          </w:p>
        </w:tc>
        <w:tc>
          <w:tcPr>
            <w:tcW w:w="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lang w:eastAsia="ru-RU"/>
              </w:rPr>
            </w:pPr>
            <w:r>
              <w:rPr>
                <w:rFonts w:eastAsia="Times New Roman" w:cs="Times New Roman" w:ascii="Times New Roman" w:hAnsi="Times New Roman"/>
                <w:bCs/>
                <w:sz w:val="20"/>
                <w:szCs w:val="20"/>
                <w:lang w:eastAsia="ru-RU"/>
              </w:rPr>
              <w:t>Перечень сопроводительных документов (в том числе подтверждающих качество Товара)</w:t>
            </w:r>
          </w:p>
        </w:tc>
      </w:tr>
      <w:tr>
        <w:trPr>
          <w:trHeight w:val="538"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highlight w:val="lightGray"/>
                <w:lang w:eastAsia="ru-RU"/>
              </w:rPr>
            </w:pPr>
            <w:r>
              <w:rPr>
                <w:rFonts w:eastAsia="Times New Roman" w:cs="Times New Roman" w:ascii="Times New Roman" w:hAnsi="Times New Roman"/>
                <w:bCs/>
                <w:sz w:val="20"/>
                <w:szCs w:val="20"/>
                <w:highlight w:val="lightGray"/>
                <w:lang w:eastAsia="ru-RU"/>
              </w:rPr>
              <w:t>1</w:t>
            </w:r>
          </w:p>
        </w:tc>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lightGray"/>
                <w:lang w:eastAsia="ru-RU"/>
              </w:rPr>
            </w:pPr>
            <w:r>
              <w:rPr>
                <w:rFonts w:eastAsia="Times New Roman" w:cs="Times New Roman" w:ascii="Times New Roman" w:hAnsi="Times New Roman"/>
                <w:sz w:val="20"/>
                <w:szCs w:val="20"/>
                <w:highlight w:val="lightGray"/>
                <w:lang w:eastAsia="ru-RU"/>
              </w:rPr>
              <w:t>1</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3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538"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highlight w:val="lightGray"/>
                <w:lang w:eastAsia="ru-RU"/>
              </w:rPr>
            </w:pPr>
            <w:r>
              <w:rPr>
                <w:rFonts w:eastAsia="Times New Roman" w:cs="Times New Roman" w:ascii="Times New Roman" w:hAnsi="Times New Roman"/>
                <w:bCs/>
                <w:sz w:val="20"/>
                <w:szCs w:val="20"/>
                <w:highlight w:val="lightGray"/>
                <w:lang w:eastAsia="ru-RU"/>
              </w:rPr>
            </w:r>
          </w:p>
        </w:tc>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lightGray"/>
                <w:lang w:eastAsia="ru-RU"/>
              </w:rPr>
            </w:pPr>
            <w:r>
              <w:rPr>
                <w:rFonts w:eastAsia="Times New Roman" w:cs="Times New Roman" w:ascii="Times New Roman" w:hAnsi="Times New Roman"/>
                <w:sz w:val="20"/>
                <w:szCs w:val="20"/>
                <w:highlight w:val="lightGray"/>
                <w:lang w:eastAsia="ru-RU"/>
              </w:rPr>
              <w:t>2</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3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62" w:hRule="atLeast"/>
        </w:trPr>
        <w:tc>
          <w:tcPr>
            <w:tcW w:w="8447" w:type="dxa"/>
            <w:gridSpan w:val="1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lightGray"/>
                <w:lang w:eastAsia="ru-RU"/>
              </w:rPr>
              <w:t>Итого стоимость партии Товара №1</w:t>
            </w:r>
            <w:r>
              <w:rPr>
                <w:rFonts w:eastAsia="Times New Roman" w:cs="Times New Roman" w:ascii="Times New Roman" w:hAnsi="Times New Roman"/>
                <w:sz w:val="20"/>
                <w:szCs w:val="20"/>
                <w:lang w:eastAsia="ru-RU"/>
              </w:rPr>
              <w:t>, руб. с НДС*</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538"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highlight w:val="lightGray"/>
                <w:lang w:eastAsia="ru-RU"/>
              </w:rPr>
            </w:pPr>
            <w:r>
              <w:rPr>
                <w:rFonts w:eastAsia="Times New Roman" w:cs="Times New Roman" w:ascii="Times New Roman" w:hAnsi="Times New Roman"/>
                <w:bCs/>
                <w:sz w:val="20"/>
                <w:szCs w:val="20"/>
                <w:highlight w:val="lightGray"/>
                <w:lang w:eastAsia="ru-RU"/>
              </w:rPr>
              <w:t>2</w:t>
            </w:r>
          </w:p>
        </w:tc>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lightGray"/>
                <w:lang w:eastAsia="ru-RU"/>
              </w:rPr>
            </w:pPr>
            <w:r>
              <w:rPr>
                <w:rFonts w:eastAsia="Times New Roman" w:cs="Times New Roman" w:ascii="Times New Roman" w:hAnsi="Times New Roman"/>
                <w:sz w:val="20"/>
                <w:szCs w:val="20"/>
                <w:highlight w:val="lightGray"/>
                <w:lang w:eastAsia="ru-RU"/>
              </w:rPr>
              <w:t>3</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3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538"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sz w:val="20"/>
                <w:szCs w:val="20"/>
                <w:highlight w:val="lightGray"/>
                <w:lang w:eastAsia="ru-RU"/>
              </w:rPr>
            </w:pPr>
            <w:r>
              <w:rPr>
                <w:rFonts w:eastAsia="Times New Roman" w:cs="Times New Roman" w:ascii="Times New Roman" w:hAnsi="Times New Roman"/>
                <w:bCs/>
                <w:sz w:val="20"/>
                <w:szCs w:val="20"/>
                <w:highlight w:val="lightGray"/>
                <w:lang w:eastAsia="ru-RU"/>
              </w:rPr>
            </w:r>
          </w:p>
        </w:tc>
        <w:tc>
          <w:tcPr>
            <w:tcW w:w="3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lightGray"/>
                <w:lang w:eastAsia="ru-RU"/>
              </w:rPr>
            </w:pPr>
            <w:r>
              <w:rPr>
                <w:rFonts w:eastAsia="Times New Roman" w:cs="Times New Roman" w:ascii="Times New Roman" w:hAnsi="Times New Roman"/>
                <w:sz w:val="20"/>
                <w:szCs w:val="20"/>
                <w:highlight w:val="lightGray"/>
                <w:lang w:eastAsia="ru-RU"/>
              </w:rPr>
              <w:t>4</w:t>
            </w:r>
          </w:p>
        </w:tc>
        <w:tc>
          <w:tcPr>
            <w:tcW w:w="6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2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2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3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64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5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7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c>
          <w:tcPr>
            <w:tcW w:w="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62" w:hRule="atLeast"/>
        </w:trPr>
        <w:tc>
          <w:tcPr>
            <w:tcW w:w="8447" w:type="dxa"/>
            <w:gridSpan w:val="1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lightGray"/>
                <w:lang w:eastAsia="ru-RU"/>
              </w:rPr>
              <w:t>Итого стоимость партии Товара №2</w:t>
            </w:r>
            <w:r>
              <w:rPr>
                <w:rFonts w:eastAsia="Times New Roman" w:cs="Times New Roman" w:ascii="Times New Roman" w:hAnsi="Times New Roman"/>
                <w:sz w:val="20"/>
                <w:szCs w:val="20"/>
                <w:lang w:eastAsia="ru-RU"/>
              </w:rPr>
              <w:t>, руб. с НДС*</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r>
        <w:trPr>
          <w:trHeight w:val="262" w:hRule="atLeast"/>
        </w:trPr>
        <w:tc>
          <w:tcPr>
            <w:tcW w:w="8447" w:type="dxa"/>
            <w:gridSpan w:val="1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lightGray"/>
                <w:lang w:eastAsia="ru-RU"/>
              </w:rPr>
              <w:t>Итого стоимость всего Товара (с учетом доставки), руб. с НДС*:</w:t>
            </w:r>
          </w:p>
        </w:tc>
        <w:tc>
          <w:tcPr>
            <w:tcW w:w="118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sz w:val="20"/>
                <w:szCs w:val="20"/>
                <w:highlight w:val="yellow"/>
                <w:lang w:eastAsia="ru-RU"/>
              </w:rPr>
            </w:pPr>
            <w:r>
              <w:rPr>
                <w:rFonts w:eastAsia="Times New Roman" w:cs="Times New Roman" w:ascii="Times New Roman" w:hAnsi="Times New Roman"/>
                <w:sz w:val="20"/>
                <w:szCs w:val="20"/>
                <w:highlight w:val="yellow"/>
                <w:lang w:eastAsia="ru-RU"/>
              </w:rPr>
            </w:r>
          </w:p>
        </w:tc>
      </w:tr>
    </w:tbl>
    <w:p>
      <w:pPr>
        <w:pStyle w:val="Normal"/>
        <w:widowControl w:val="false"/>
        <w:suppressAutoHyphens w:val="true"/>
        <w:spacing w:lineRule="auto" w:line="240" w:before="0" w:after="0"/>
        <w:ind w:left="-680" w:right="680" w:hanging="0"/>
        <w:jc w:val="both"/>
        <w:rPr>
          <w:rFonts w:ascii="Times New Roman" w:hAnsi="Times New Roman" w:eastAsia="Times New Roman" w:cs="Times New Roman"/>
          <w:sz w:val="20"/>
          <w:szCs w:val="20"/>
          <w:lang w:eastAsia="ru-RU"/>
        </w:rPr>
      </w:pPr>
      <w:r>
        <w:rPr>
          <w:rFonts w:eastAsia="Times New Roman" w:cs="Times New Roman" w:ascii="Times New Roman" w:hAnsi="Times New Roman"/>
          <w:i/>
          <w:iCs/>
          <w:sz w:val="20"/>
          <w:szCs w:val="20"/>
          <w:lang w:eastAsia="ru-RU"/>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widowControl w:val="false"/>
        <w:suppressAutoHyphens w:val="true"/>
        <w:spacing w:lineRule="auto" w:line="240" w:before="0" w:after="0"/>
        <w:ind w:left="-680" w:right="680" w:hanging="0"/>
        <w:jc w:val="both"/>
        <w:rPr>
          <w:rFonts w:ascii="Times New Roman" w:hAnsi="Times New Roman" w:eastAsia="Times New Roman" w:cs="Times New Roman"/>
          <w:i/>
          <w:i/>
          <w:sz w:val="20"/>
          <w:szCs w:val="20"/>
          <w:highlight w:val="yellow"/>
          <w:lang w:eastAsia="ru-RU"/>
        </w:rPr>
      </w:pPr>
      <w:r>
        <w:rPr>
          <w:rFonts w:eastAsia="Times New Roman" w:cs="Times New Roman" w:ascii="Times New Roman" w:hAnsi="Times New Roman"/>
          <w:i/>
          <w:sz w:val="20"/>
          <w:szCs w:val="20"/>
          <w:highlight w:val="yellow"/>
          <w:lang w:eastAsia="ru-RU"/>
        </w:rPr>
      </w:r>
    </w:p>
    <w:p>
      <w:pPr>
        <w:pStyle w:val="Normal"/>
        <w:widowControl w:val="false"/>
        <w:suppressAutoHyphens w:val="true"/>
        <w:spacing w:lineRule="auto" w:line="240" w:before="0" w:after="0"/>
        <w:rPr>
          <w:rFonts w:ascii="Times New Roman" w:hAnsi="Times New Roman" w:eastAsia="Times New Roman" w:cs="Times New Roman"/>
          <w:i/>
          <w:i/>
          <w:highlight w:val="lightGray"/>
          <w:lang w:eastAsia="ru-RU"/>
        </w:rPr>
      </w:pPr>
      <w:r>
        <w:rPr>
          <w:rFonts w:eastAsia="Times New Roman" w:cs="Times New Roman" w:ascii="Times New Roman" w:hAnsi="Times New Roman"/>
          <w:i/>
          <w:highlight w:val="lightGray"/>
          <w:lang w:eastAsia="ru-RU"/>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widowControl w:val="false"/>
        <w:suppressAutoHyphens w:val="true"/>
        <w:spacing w:lineRule="auto" w:line="240" w:before="0" w:after="0"/>
        <w:rPr>
          <w:rFonts w:ascii="Times New Roman" w:hAnsi="Times New Roman" w:eastAsia="Times New Roman" w:cs="Times New Roman"/>
          <w:i/>
          <w:i/>
          <w:lang w:eastAsia="ru-RU"/>
        </w:rPr>
      </w:pPr>
      <w:r>
        <w:rPr>
          <w:rFonts w:eastAsia="Times New Roman" w:cs="Times New Roman" w:ascii="Times New Roman" w:hAnsi="Times New Roman"/>
          <w:i/>
          <w:highlight w:val="lightGray"/>
          <w:lang w:eastAsia="ru-RU"/>
        </w:rPr>
        <w:t>2. По требованию Покупателя Поставщик обязан представить запрашиваемую информацию/документы, расчеты, обосновывающие стоимость доставки.</w:t>
      </w:r>
      <w:r>
        <w:rPr>
          <w:rFonts w:eastAsia="Times New Roman" w:cs="Times New Roman" w:ascii="Times New Roman" w:hAnsi="Times New Roman"/>
          <w:i/>
          <w:lang w:eastAsia="ru-RU"/>
        </w:rPr>
        <w:t xml:space="preserve"> </w:t>
      </w:r>
    </w:p>
    <w:p>
      <w:pPr>
        <w:pStyle w:val="Normal"/>
        <w:widowControl w:val="false"/>
        <w:suppressAutoHyphens w:val="true"/>
        <w:spacing w:lineRule="auto" w:line="240" w:before="0" w:after="0"/>
        <w:jc w:val="both"/>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highlight w:val="lightGray"/>
          <w:lang w:eastAsia="ru-RU"/>
        </w:rPr>
        <w:t>]</w:t>
      </w:r>
    </w:p>
    <w:p>
      <w:pPr>
        <w:pStyle w:val="Normal"/>
        <w:widowControl w:val="false"/>
        <w:suppressAutoHyphens w:val="true"/>
        <w:spacing w:lineRule="auto" w:line="240" w:before="0" w:after="0"/>
        <w:ind w:firstLine="709"/>
        <w:jc w:val="both"/>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t xml:space="preserve"> </w:t>
      </w:r>
    </w:p>
    <w:p>
      <w:pPr>
        <w:pStyle w:val="Normal"/>
        <w:suppressAutoHyphens w:val="true"/>
        <w:spacing w:lineRule="auto" w:line="240" w:before="0" w:after="0"/>
        <w:ind w:firstLine="709"/>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suppressAutoHyphens w:val="true"/>
        <w:spacing w:lineRule="auto" w:line="240" w:before="0" w:after="0"/>
        <w:ind w:firstLine="709"/>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widowControl w:val="false"/>
        <w:numPr>
          <w:ilvl w:val="0"/>
          <w:numId w:val="0"/>
        </w:numPr>
        <w:suppressAutoHyphens w:val="true"/>
        <w:spacing w:lineRule="auto" w:line="240" w:before="0" w:after="0"/>
        <w:ind w:left="0" w:hanging="0"/>
        <w:jc w:val="center"/>
        <w:outlineLvl w:val="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ПОДПИСИ СТОРОН:</w:t>
      </w:r>
    </w:p>
    <w:p>
      <w:pPr>
        <w:pStyle w:val="Normal"/>
        <w:widowControl w:val="false"/>
        <w:numPr>
          <w:ilvl w:val="0"/>
          <w:numId w:val="0"/>
        </w:numPr>
        <w:suppressAutoHyphens w:val="true"/>
        <w:spacing w:lineRule="auto" w:line="240" w:before="0" w:after="0"/>
        <w:ind w:left="0" w:firstLine="709"/>
        <w:jc w:val="center"/>
        <w:outlineLvl w:val="0"/>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W w:w="9815" w:type="dxa"/>
        <w:jc w:val="left"/>
        <w:tblInd w:w="-176"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Покупатель:</w:t>
            </w:r>
          </w:p>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4819"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c>
      </w:tr>
    </w:tbl>
    <w:p>
      <w:pPr>
        <w:sectPr>
          <w:headerReference w:type="default" r:id="rId9"/>
          <w:headerReference w:type="first" r:id="rId10"/>
          <w:footerReference w:type="default" r:id="rId11"/>
          <w:footerReference w:type="first" r:id="rId12"/>
          <w:footnotePr>
            <w:numFmt w:val="decimal"/>
          </w:footnotePr>
          <w:type w:val="nextPage"/>
          <w:pgSz w:w="11906" w:h="16838"/>
          <w:pgMar w:left="1418" w:right="851" w:gutter="0" w:header="709" w:top="1134" w:footer="709" w:bottom="1134"/>
          <w:pgNumType w:fmt="decimal"/>
          <w:formProt w:val="false"/>
          <w:textDirection w:val="lrTb"/>
          <w:docGrid w:type="default" w:linePitch="299" w:charSpace="12288"/>
        </w:sectPr>
      </w:pP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Приложение № 2</w:t>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к Договору поставки</w:t>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от «____» __________ 20 _ г. № ____</w:t>
      </w:r>
    </w:p>
    <w:p>
      <w:pPr>
        <w:pStyle w:val="Normal"/>
        <w:widowControl w:val="false"/>
        <w:suppressAutoHyphens w:val="true"/>
        <w:spacing w:lineRule="auto" w:line="240" w:before="0" w:after="0"/>
        <w:ind w:firstLine="5812"/>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ind w:firstLine="5812"/>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tabs>
          <w:tab w:val="clear" w:pos="708"/>
          <w:tab w:val="left" w:pos="2700" w:leader="none"/>
        </w:tabs>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Заявка </w:t>
      </w:r>
    </w:p>
    <w:p>
      <w:pPr>
        <w:pStyle w:val="Normal"/>
        <w:widowControl w:val="false"/>
        <w:tabs>
          <w:tab w:val="clear" w:pos="708"/>
          <w:tab w:val="left" w:pos="1843" w:leader="none"/>
        </w:tabs>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на поставку Товара</w:t>
      </w:r>
    </w:p>
    <w:p>
      <w:pPr>
        <w:pStyle w:val="Normal"/>
        <w:widowControl w:val="false"/>
        <w:tabs>
          <w:tab w:val="clear" w:pos="708"/>
          <w:tab w:val="left" w:pos="1843" w:leader="none"/>
          <w:tab w:val="left" w:pos="4395" w:leader="none"/>
        </w:tabs>
        <w:suppressAutoHyphens w:val="true"/>
        <w:spacing w:lineRule="auto" w:line="240" w:before="0" w:after="0"/>
        <w:ind w:firstLine="709"/>
        <w:jc w:val="center"/>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t>(форма)</w:t>
      </w:r>
    </w:p>
    <w:p>
      <w:pPr>
        <w:pStyle w:val="Normal"/>
        <w:widowControl w:val="false"/>
        <w:tabs>
          <w:tab w:val="clear" w:pos="708"/>
          <w:tab w:val="left" w:pos="2700" w:leader="none"/>
        </w:tabs>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tabs>
          <w:tab w:val="clear" w:pos="708"/>
          <w:tab w:val="left" w:pos="2700" w:leader="none"/>
        </w:tabs>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Заявка №___</w:t>
      </w:r>
    </w:p>
    <w:p>
      <w:pPr>
        <w:pStyle w:val="Normal"/>
        <w:widowControl w:val="false"/>
        <w:tabs>
          <w:tab w:val="clear" w:pos="708"/>
          <w:tab w:val="left" w:pos="2700" w:leader="none"/>
        </w:tabs>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на поставку Товара </w:t>
      </w:r>
    </w:p>
    <w:p>
      <w:pPr>
        <w:pStyle w:val="Normal"/>
        <w:widowControl w:val="false"/>
        <w:tabs>
          <w:tab w:val="clear" w:pos="708"/>
          <w:tab w:val="left" w:pos="2700" w:leader="none"/>
        </w:tabs>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 xml:space="preserve">по договору поставки №______________ от «____» _____201_ г. </w:t>
      </w:r>
    </w:p>
    <w:p>
      <w:pPr>
        <w:pStyle w:val="Normal"/>
        <w:widowControl w:val="false"/>
        <w:suppressAutoHyphens w:val="true"/>
        <w:spacing w:lineRule="auto" w:line="240" w:before="0" w:after="0"/>
        <w:ind w:firstLine="709"/>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widowControl w:val="false"/>
        <w:suppressAutoHyphens w:val="true"/>
        <w:spacing w:lineRule="auto" w:line="240" w:before="0" w:after="0"/>
        <w:ind w:firstLine="709"/>
        <w:jc w:val="right"/>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bl>
      <w:tblPr>
        <w:tblW w:w="5000" w:type="pct"/>
        <w:jc w:val="left"/>
        <w:tblInd w:w="25" w:type="dxa"/>
        <w:tblLayout w:type="fixed"/>
        <w:tblCellMar>
          <w:top w:w="0" w:type="dxa"/>
          <w:left w:w="108" w:type="dxa"/>
          <w:bottom w:w="0" w:type="dxa"/>
          <w:right w:w="108" w:type="dxa"/>
        </w:tblCellMar>
        <w:tblLook w:val="04a0" w:noHBand="0" w:noVBand="1" w:firstColumn="1" w:lastRow="0" w:lastColumn="0" w:firstRow="1"/>
      </w:tblPr>
      <w:tblGrid>
        <w:gridCol w:w="528"/>
        <w:gridCol w:w="982"/>
        <w:gridCol w:w="1116"/>
        <w:gridCol w:w="706"/>
        <w:gridCol w:w="1066"/>
        <w:gridCol w:w="1174"/>
        <w:gridCol w:w="982"/>
        <w:gridCol w:w="1408"/>
        <w:gridCol w:w="834"/>
        <w:gridCol w:w="840"/>
      </w:tblGrid>
      <w:tr>
        <w:trPr>
          <w:trHeight w:val="543"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 xml:space="preserve">№ </w:t>
            </w:r>
            <w:r>
              <w:rPr>
                <w:rFonts w:eastAsia="Times New Roman" w:cs="Times New Roman" w:ascii="Times New Roman" w:hAnsi="Times New Roman"/>
                <w:bCs/>
                <w:color w:val="000000"/>
                <w:lang w:eastAsia="ru-RU"/>
              </w:rPr>
              <w:t xml:space="preserve">п/п </w:t>
            </w:r>
          </w:p>
        </w:tc>
        <w:tc>
          <w:tcPr>
            <w:tcW w:w="9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Наименование Товара</w:t>
            </w:r>
          </w:p>
        </w:tc>
        <w:tc>
          <w:tcPr>
            <w:tcW w:w="11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Артикул, тип, марка</w:t>
            </w:r>
          </w:p>
        </w:tc>
        <w:tc>
          <w:tcPr>
            <w:tcW w:w="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 xml:space="preserve">Количество </w:t>
            </w:r>
          </w:p>
        </w:tc>
        <w:tc>
          <w:tcPr>
            <w:tcW w:w="10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Единица измерения</w:t>
            </w:r>
          </w:p>
        </w:tc>
        <w:tc>
          <w:tcPr>
            <w:tcW w:w="117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Цена за единицу, руб. без НДС</w:t>
            </w:r>
          </w:p>
        </w:tc>
        <w:tc>
          <w:tcPr>
            <w:tcW w:w="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НДС (___%), руб.*</w:t>
            </w:r>
          </w:p>
        </w:tc>
        <w:tc>
          <w:tcPr>
            <w:tcW w:w="140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Стоимость, в том числе НДС, руб.*</w:t>
            </w:r>
          </w:p>
        </w:tc>
        <w:tc>
          <w:tcPr>
            <w:tcW w:w="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Место поставки</w:t>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Дата поставки</w:t>
            </w:r>
          </w:p>
        </w:tc>
      </w:tr>
      <w:tr>
        <w:trPr>
          <w:trHeight w:val="556"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2"/>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1.</w:t>
            </w:r>
          </w:p>
        </w:tc>
        <w:tc>
          <w:tcPr>
            <w:tcW w:w="9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1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0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17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40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r>
      <w:tr>
        <w:trPr>
          <w:trHeight w:val="556" w:hRule="atLeast"/>
        </w:trPr>
        <w:tc>
          <w:tcPr>
            <w:tcW w:w="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2"/>
              <w:jc w:val="center"/>
              <w:rPr>
                <w:rFonts w:ascii="Times New Roman" w:hAnsi="Times New Roman" w:eastAsia="Times New Roman" w:cs="Times New Roman"/>
                <w:bCs/>
                <w:color w:val="000000"/>
                <w:lang w:eastAsia="ru-RU"/>
              </w:rPr>
            </w:pPr>
            <w:r>
              <w:rPr>
                <w:rFonts w:eastAsia="Times New Roman" w:cs="Times New Roman" w:ascii="Times New Roman" w:hAnsi="Times New Roman"/>
                <w:bCs/>
                <w:color w:val="000000"/>
                <w:lang w:eastAsia="ru-RU"/>
              </w:rPr>
              <w:t>2.</w:t>
            </w:r>
          </w:p>
        </w:tc>
        <w:tc>
          <w:tcPr>
            <w:tcW w:w="9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1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0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17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140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8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c>
          <w:tcPr>
            <w:tcW w:w="8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highlight w:val="yellow"/>
                <w:lang w:eastAsia="ru-RU"/>
              </w:rPr>
            </w:pPr>
            <w:r>
              <w:rPr>
                <w:rFonts w:eastAsia="Times New Roman" w:cs="Times New Roman" w:ascii="Times New Roman" w:hAnsi="Times New Roman"/>
                <w:color w:val="000000"/>
                <w:highlight w:val="yellow"/>
                <w:lang w:eastAsia="ru-RU"/>
              </w:rPr>
            </w:r>
          </w:p>
        </w:tc>
      </w:tr>
      <w:tr>
        <w:trPr>
          <w:trHeight w:val="556" w:hRule="atLeast"/>
        </w:trPr>
        <w:tc>
          <w:tcPr>
            <w:tcW w:w="9636"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firstLine="709"/>
              <w:rPr>
                <w:rFonts w:ascii="Times New Roman" w:hAnsi="Times New Roman" w:eastAsia="Times New Roman" w:cs="Times New Roman"/>
                <w:color w:val="000000"/>
                <w:sz w:val="24"/>
                <w:szCs w:val="24"/>
                <w:highlight w:val="yellow"/>
                <w:lang w:eastAsia="ru-RU"/>
              </w:rPr>
            </w:pPr>
            <w:r>
              <w:rPr>
                <w:rFonts w:eastAsia="Times New Roman" w:cs="Times New Roman" w:ascii="Times New Roman" w:hAnsi="Times New Roman"/>
                <w:color w:val="000000"/>
                <w:sz w:val="24"/>
                <w:szCs w:val="24"/>
                <w:lang w:eastAsia="ru-RU"/>
              </w:rPr>
              <w:t>Итого:</w:t>
            </w:r>
          </w:p>
        </w:tc>
      </w:tr>
    </w:tbl>
    <w:p>
      <w:pPr>
        <w:pStyle w:val="Normal"/>
        <w:widowControl w:val="false"/>
        <w:suppressAutoHyphens w:val="tru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i/>
          <w:iCs/>
          <w:sz w:val="20"/>
          <w:szCs w:val="20"/>
          <w:lang w:eastAsia="ru-RU"/>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widowControl w:val="false"/>
        <w:numPr>
          <w:ilvl w:val="0"/>
          <w:numId w:val="0"/>
        </w:numPr>
        <w:suppressAutoHyphens w:val="true"/>
        <w:spacing w:lineRule="auto" w:line="240" w:before="0" w:after="0"/>
        <w:ind w:left="0" w:firstLine="709"/>
        <w:jc w:val="center"/>
        <w:outlineLvl w:val="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val="false"/>
        <w:numPr>
          <w:ilvl w:val="0"/>
          <w:numId w:val="0"/>
        </w:numPr>
        <w:suppressAutoHyphens w:val="true"/>
        <w:spacing w:lineRule="auto" w:line="240" w:before="0" w:after="0"/>
        <w:ind w:left="0" w:hanging="0"/>
        <w:jc w:val="center"/>
        <w:outlineLvl w:val="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ПОДПИСИ СТОРОН:</w:t>
      </w:r>
    </w:p>
    <w:p>
      <w:pPr>
        <w:pStyle w:val="Normal"/>
        <w:widowControl w:val="false"/>
        <w:numPr>
          <w:ilvl w:val="0"/>
          <w:numId w:val="0"/>
        </w:numPr>
        <w:suppressAutoHyphens w:val="true"/>
        <w:spacing w:lineRule="auto" w:line="240" w:before="0" w:after="0"/>
        <w:ind w:left="0" w:firstLine="709"/>
        <w:jc w:val="center"/>
        <w:outlineLvl w:val="0"/>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818"/>
        <w:gridCol w:w="5104"/>
      </w:tblGrid>
      <w:tr>
        <w:trPr/>
        <w:tc>
          <w:tcPr>
            <w:tcW w:w="4818"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Покупатель:</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5104" w:type="dxa"/>
            <w:tcBorders/>
            <w:shd w:color="auto" w:fill="auto" w:val="clear"/>
          </w:tcPr>
          <w:p>
            <w:pPr>
              <w:pStyle w:val="Normal"/>
              <w:widowControl w:val="false"/>
              <w:suppressAutoHyphens w:val="true"/>
              <w:spacing w:lineRule="auto" w:line="240" w:before="0" w:after="0"/>
              <w:ind w:hanging="1"/>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p>
            <w:pPr>
              <w:pStyle w:val="Normal"/>
              <w:widowControl w:val="false"/>
              <w:suppressAutoHyphens w:val="true"/>
              <w:spacing w:lineRule="auto" w:line="240" w:before="0" w:after="0"/>
              <w:ind w:hang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ind w:hang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c>
      </w:tr>
    </w:tbl>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jc w:val="center"/>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t>(конец формы)</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0"/>
        </w:numPr>
        <w:suppressAutoHyphens w:val="true"/>
        <w:spacing w:lineRule="auto" w:line="240" w:before="0" w:after="0"/>
        <w:ind w:left="0" w:hanging="0"/>
        <w:jc w:val="center"/>
        <w:outlineLvl w:val="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ПОДПИСИ СТОРОН:</w:t>
      </w:r>
    </w:p>
    <w:p>
      <w:pPr>
        <w:pStyle w:val="Normal"/>
        <w:widowControl w:val="false"/>
        <w:numPr>
          <w:ilvl w:val="0"/>
          <w:numId w:val="0"/>
        </w:numPr>
        <w:suppressAutoHyphens w:val="true"/>
        <w:spacing w:lineRule="auto" w:line="240" w:before="0" w:after="0"/>
        <w:ind w:left="0" w:firstLine="709"/>
        <w:jc w:val="center"/>
        <w:outlineLvl w:val="0"/>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818"/>
        <w:gridCol w:w="5104"/>
      </w:tblGrid>
      <w:tr>
        <w:trPr/>
        <w:tc>
          <w:tcPr>
            <w:tcW w:w="4818"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Покупатель:</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5104" w:type="dxa"/>
            <w:tcBorders/>
            <w:shd w:color="auto" w:fill="auto" w:val="clear"/>
          </w:tcPr>
          <w:p>
            <w:pPr>
              <w:pStyle w:val="Normal"/>
              <w:widowControl w:val="false"/>
              <w:suppressAutoHyphens w:val="true"/>
              <w:spacing w:lineRule="auto" w:line="240" w:before="0" w:after="0"/>
              <w:ind w:hanging="1"/>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p>
            <w:pPr>
              <w:pStyle w:val="Normal"/>
              <w:widowControl w:val="false"/>
              <w:suppressAutoHyphens w:val="true"/>
              <w:spacing w:lineRule="auto" w:line="240" w:before="0" w:after="0"/>
              <w:ind w:hang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ind w:hang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c>
      </w:tr>
    </w:tbl>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r>
        <w:br w:type="page"/>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Приложение № 3</w:t>
      </w:r>
    </w:p>
    <w:p>
      <w:pPr>
        <w:pStyle w:val="Normal"/>
        <w:widowControl w:val="false"/>
        <w:suppressAutoHyphens w:val="true"/>
        <w:spacing w:lineRule="auto" w:line="240" w:before="0" w:after="0"/>
        <w:ind w:firstLine="4820"/>
        <w:rPr>
          <w:rFonts w:ascii="Times New Roman" w:hAnsi="Times New Roman" w:eastAsia="Times New Roman" w:cs="Times New Roman"/>
          <w:lang w:eastAsia="ru-RU"/>
        </w:rPr>
      </w:pPr>
      <w:r>
        <w:rPr>
          <w:rFonts w:eastAsia="Times New Roman" w:cs="Times New Roman" w:ascii="Times New Roman" w:hAnsi="Times New Roman"/>
          <w:lang w:eastAsia="ru-RU"/>
        </w:rPr>
        <w:t>к Договору поставки</w:t>
      </w:r>
    </w:p>
    <w:p>
      <w:pPr>
        <w:pStyle w:val="Normal"/>
        <w:widowControl w:val="false"/>
        <w:suppressAutoHyphens w:val="true"/>
        <w:spacing w:lineRule="auto" w:line="240" w:before="0" w:after="0"/>
        <w:ind w:firstLine="4820"/>
        <w:rPr>
          <w:rFonts w:ascii="Times New Roman" w:hAnsi="Times New Roman" w:eastAsia="Times New Roman" w:cs="Times New Roman"/>
          <w:bCs/>
          <w:lang w:eastAsia="ru-RU"/>
        </w:rPr>
      </w:pPr>
      <w:r>
        <w:rPr>
          <w:rFonts w:eastAsia="Times New Roman" w:cs="Times New Roman" w:ascii="Times New Roman" w:hAnsi="Times New Roman"/>
          <w:lang w:eastAsia="ru-RU"/>
        </w:rPr>
        <w:t>от «____» __________ 20 _ г. № _____</w:t>
      </w:r>
    </w:p>
    <w:p>
      <w:pPr>
        <w:pStyle w:val="Normal"/>
        <w:shd w:val="clear" w:color="auto" w:fill="FFFFFF"/>
        <w:tabs>
          <w:tab w:val="clear" w:pos="708"/>
          <w:tab w:val="left" w:pos="1418" w:leader="none"/>
        </w:tabs>
        <w:suppressAutoHyphens w:val="true"/>
        <w:spacing w:lineRule="auto" w:line="240" w:before="0" w:after="0"/>
        <w:ind w:firstLine="709"/>
        <w:contextualSpacing/>
        <w:jc w:val="center"/>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rmal"/>
        <w:suppressAutoHyphens w:val="true"/>
        <w:spacing w:lineRule="auto" w:line="240" w:before="0" w:after="0"/>
        <w:ind w:firstLine="709"/>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suppressAutoHyphens w:val="true"/>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Размер ответственности Поставщика за нарушения</w:t>
      </w:r>
    </w:p>
    <w:p>
      <w:pPr>
        <w:pStyle w:val="Normal"/>
        <w:widowControl w:val="false"/>
        <w:suppressAutoHyphens w:val="true"/>
        <w:spacing w:lineRule="auto" w:line="240" w:before="0" w:after="0"/>
        <w:jc w:val="center"/>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пропускного и внутриобъектового режима, требований охраны труда,</w:t>
      </w:r>
    </w:p>
    <w:p>
      <w:pPr>
        <w:pStyle w:val="Normal"/>
        <w:widowControl w:val="false"/>
        <w:suppressAutoHyphens w:val="true"/>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bCs/>
          <w:sz w:val="24"/>
          <w:szCs w:val="24"/>
          <w:lang w:eastAsia="ru-RU"/>
        </w:rPr>
        <w:t>пожарной и промышленной безопасности</w:t>
      </w:r>
    </w:p>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bl>
      <w:tblPr>
        <w:tblW w:w="5000" w:type="pct"/>
        <w:jc w:val="left"/>
        <w:tblInd w:w="0" w:type="dxa"/>
        <w:tblLayout w:type="fixed"/>
        <w:tblCellMar>
          <w:top w:w="0" w:type="dxa"/>
          <w:left w:w="108" w:type="dxa"/>
          <w:bottom w:w="0" w:type="dxa"/>
          <w:right w:w="108" w:type="dxa"/>
        </w:tblCellMar>
        <w:tblLook w:val="01e0" w:noHBand="0" w:noVBand="0" w:firstColumn="1" w:lastRow="1" w:lastColumn="1" w:firstRow="1"/>
      </w:tblPr>
      <w:tblGrid>
        <w:gridCol w:w="3827"/>
        <w:gridCol w:w="5809"/>
      </w:tblGrid>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Виды нарушений</w:t>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Штрафные санкции</w:t>
            </w:r>
          </w:p>
        </w:tc>
      </w:tr>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 Нарушение правил пожарной безопасности (ППБ):</w:t>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r>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1.1. Нарушение ППБ без возникновения пожара</w:t>
            </w:r>
          </w:p>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25 000 (двадцать пять тысяч) рублей за каждый случай нарушения.</w:t>
            </w:r>
          </w:p>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1.2. Нарушение ППБ, ставшее причиной возникновения пожара, не причинившего ущерб имуществу Покупателя</w:t>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50 000 (пятьдесят тысяч) рублей за каждый случай нарушения.</w:t>
            </w:r>
          </w:p>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1.3. Нарушение ППБ, ставшее причиной возникновения пожара, причинившего ущерб имуществу Покупателя.</w:t>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rFonts w:eastAsia="Times New Roman" w:cs="Times New Roman" w:ascii="Times New Roman" w:hAnsi="Times New Roman"/>
                <w:sz w:val="24"/>
                <w:szCs w:val="24"/>
                <w:lang w:eastAsia="ru-RU"/>
              </w:rPr>
              <w:t>250 000 (двести пятьдесят тысяч) рублей за каждый случай нарушения.</w:t>
            </w:r>
          </w:p>
        </w:tc>
      </w:tr>
      <w:tr>
        <w:trPr/>
        <w:tc>
          <w:tcPr>
            <w:tcW w:w="382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w:t>
            </w:r>
            <w:r>
              <w:rPr>
                <w:rFonts w:eastAsia="Times New Roman" w:cs="Times New Roman" w:ascii="Times New Roman" w:hAnsi="Times New Roman"/>
                <w:b/>
                <w:sz w:val="24"/>
                <w:szCs w:val="24"/>
                <w:lang w:eastAsia="ru-RU"/>
              </w:rPr>
              <w:t xml:space="preserve"> </w:t>
            </w:r>
            <w:r>
              <w:rPr>
                <w:rFonts w:eastAsia="Times New Roman" w:cs="Times New Roman" w:ascii="Times New Roman" w:hAnsi="Times New Roman"/>
                <w:sz w:val="24"/>
                <w:szCs w:val="24"/>
                <w:lang w:eastAsia="ru-RU"/>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rFonts w:eastAsia="Times New Roman" w:cs="Times New Roman" w:ascii="Times New Roman" w:hAnsi="Times New Roman"/>
                <w:b/>
                <w:sz w:val="24"/>
                <w:szCs w:val="24"/>
                <w:lang w:eastAsia="ru-RU"/>
              </w:rPr>
              <w:t xml:space="preserve"> </w:t>
            </w:r>
          </w:p>
        </w:tc>
        <w:tc>
          <w:tcPr>
            <w:tcW w:w="580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- 50 000 (пятьдесят тысяч) рублей за каждый случай нарушения;</w:t>
            </w:r>
          </w:p>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- 500 (пятьсот) рублей в случае утраты или приведения в негодность электронного пропуска, выданного Покупателем. </w:t>
            </w:r>
          </w:p>
          <w:p>
            <w:pPr>
              <w:pStyle w:val="Normal"/>
              <w:widowControl w:val="false"/>
              <w:suppressAutoHyphens w:val="true"/>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bl>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numPr>
          <w:ilvl w:val="0"/>
          <w:numId w:val="0"/>
        </w:numPr>
        <w:suppressAutoHyphens w:val="true"/>
        <w:spacing w:lineRule="auto" w:line="240" w:before="0" w:after="0"/>
        <w:ind w:left="0" w:hanging="0"/>
        <w:jc w:val="center"/>
        <w:outlineLvl w:val="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t>ПОДПИСИ СТОРОН:</w:t>
      </w:r>
    </w:p>
    <w:p>
      <w:pPr>
        <w:pStyle w:val="Normal"/>
        <w:widowControl w:val="false"/>
        <w:numPr>
          <w:ilvl w:val="0"/>
          <w:numId w:val="0"/>
        </w:numPr>
        <w:suppressAutoHyphens w:val="true"/>
        <w:spacing w:lineRule="auto" w:line="240" w:before="0" w:after="0"/>
        <w:ind w:left="0" w:firstLine="709"/>
        <w:jc w:val="center"/>
        <w:outlineLvl w:val="0"/>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tbl>
      <w:tblPr>
        <w:tblW w:w="9652"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820"/>
        <w:gridCol w:w="4831"/>
      </w:tblGrid>
      <w:tr>
        <w:trPr/>
        <w:tc>
          <w:tcPr>
            <w:tcW w:w="4820"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Покупатель:</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tc>
        <w:tc>
          <w:tcPr>
            <w:tcW w:w="4831" w:type="dxa"/>
            <w:tcBorders/>
            <w:shd w:color="auto" w:fill="auto" w:val="clear"/>
          </w:tcPr>
          <w:p>
            <w:pPr>
              <w:pStyle w:val="Normal"/>
              <w:widowControl w:val="false"/>
              <w:suppressAutoHyphens w:val="true"/>
              <w:spacing w:lineRule="auto" w:line="240" w:before="0" w:after="0"/>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Поставщик:</w:t>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val="false"/>
              <w:suppressAutoHyphens w:val="tru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_____________________/___________</w:t>
            </w:r>
          </w:p>
          <w:p>
            <w:pPr>
              <w:pStyle w:val="Normal"/>
              <w:widowControl w:val="false"/>
              <w:suppressAutoHyphens w:val="true"/>
              <w:spacing w:lineRule="auto" w:line="240" w:before="0" w:after="0"/>
              <w:ind w:firstLine="709"/>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tc>
      </w:tr>
    </w:tbl>
    <w:p>
      <w:pPr>
        <w:pStyle w:val="Normal"/>
        <w:widowControl w:val="false"/>
        <w:suppressAutoHyphens w:val="true"/>
        <w:spacing w:lineRule="auto" w:line="240" w:before="0" w:after="0"/>
        <w:ind w:firstLine="709"/>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widowControl/>
        <w:bidi w:val="0"/>
        <w:spacing w:lineRule="auto" w:line="259" w:before="0" w:after="160"/>
        <w:jc w:val="left"/>
        <w:rPr/>
      </w:pPr>
      <w:r>
        <w:rPr/>
      </w:r>
    </w:p>
    <w:sectPr>
      <w:headerReference w:type="default" r:id="rId13"/>
      <w:headerReference w:type="first" r:id="rId14"/>
      <w:footerReference w:type="default" r:id="rId15"/>
      <w:footerReference w:type="first" r:id="rId16"/>
      <w:footnotePr>
        <w:numFmt w:val="decimal"/>
      </w:footnotePr>
      <w:type w:val="nextPage"/>
      <w:pgSz w:w="11906" w:h="16838"/>
      <w:pgMar w:left="1418" w:right="851" w:gutter="0" w:header="709" w:top="1134" w:footer="709"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Calibri">
    <w:charset w:val="01"/>
    <w:family w:val="roman"/>
    <w:pitch w:val="variable"/>
  </w:font>
  <w:font w:name="Liberation Sans">
    <w:altName w:val="Arial"/>
    <w:charset w:val="01"/>
    <w:family w:val="roman"/>
    <w:pitch w:val="variable"/>
  </w:font>
  <w:font w:name="Times New Roman">
    <w:charset w:val="01"/>
    <w:family w:val="roman"/>
    <w:pitch w:val="variable"/>
  </w:font>
  <w:font w:name="Cambri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17</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19</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21</w:t>
    </w:r>
    <w:r>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rStyle w:val="Style11"/>
        </w:rPr>
      </w:pPr>
      <w:r>
        <w:rPr>
          <w:rStyle w:val="Style11"/>
        </w:rPr>
        <w:footnoteRef/>
      </w:r>
      <w:r>
        <w:rPr>
          <w:highlight w:val="lightGray"/>
        </w:rPr>
        <w:t xml:space="preserve"> </w:t>
      </w:r>
      <w:r>
        <w:rPr>
          <w:highlight w:val="lightGray"/>
        </w:rPr>
        <w:t xml:space="preserve">Не применяется к поставке товаров, оборудования и материалов, указанных в Приложении № 4 к Методике применения типовых финансовых условий договоров, покупателем (заказчиком) по которым является </w:t>
        <w:br/>
        <w:t>ПАО «РусГидро» (утв. приказом от 29.12.2017 № 938).</w:t>
      </w:r>
      <w:r>
        <w:rPr>
          <w:rStyle w:val="Style11"/>
        </w:rPr>
        <w:t xml:space="preserve">  </w:t>
      </w:r>
    </w:p>
  </w:footnote>
  <w:footnote w:id="3">
    <w:p>
      <w:pPr>
        <w:pStyle w:val="FootnoteText"/>
        <w:jc w:val="both"/>
        <w:rPr/>
      </w:pPr>
      <w:r>
        <w:rPr>
          <w:rStyle w:val="Style11"/>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1"/>
        </w:rPr>
        <w:footnoteRef/>
      </w:r>
      <w:r>
        <w:rPr/>
        <w:t xml:space="preserve"> </w:t>
      </w:r>
      <w:r>
        <w:rPr/>
        <w:t>Исключается из Договора в случае, если Поставщиком применяется упрощенная система налогообложения</w:t>
      </w:r>
    </w:p>
  </w:footnote>
  <w:footnote w:id="5">
    <w:p>
      <w:pPr>
        <w:pStyle w:val="FootnoteText"/>
        <w:jc w:val="both"/>
        <w:rPr/>
      </w:pPr>
      <w:r>
        <w:rPr>
          <w:rStyle w:val="Style11"/>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6">
    <w:p>
      <w:pPr>
        <w:pStyle w:val="Annotationtext"/>
        <w:jc w:val="both"/>
        <w:rPr/>
      </w:pPr>
      <w:r>
        <w:rPr>
          <w:rStyle w:val="Style11"/>
        </w:rPr>
        <w:footnoteRef/>
      </w:r>
      <w:r>
        <w:rPr>
          <w:highlight w:val="lightGray"/>
        </w:rPr>
        <w:t xml:space="preserve"> </w:t>
      </w:r>
      <w:r>
        <w:rPr>
          <w:highlight w:val="lightGray"/>
        </w:rPr>
        <w:t>Данный раздел исключается, если исходя из специфики (характеристик) Товара гарантийный срок на него не устанавливается (например, при поставке визиток, сувенирной и канцелярской продукции и т.п.).</w:t>
      </w:r>
    </w:p>
  </w:footnote>
  <w:footnote w:id="7">
    <w:p>
      <w:pPr>
        <w:pStyle w:val="FootnoteText"/>
        <w:rPr/>
      </w:pPr>
      <w:r>
        <w:rPr>
          <w:rStyle w:val="Style11"/>
        </w:rPr>
        <w:footnoteRef/>
      </w:r>
      <w:r>
        <w:rPr/>
        <w:t xml:space="preserve"> </w:t>
      </w:r>
      <w:r>
        <w:rPr/>
        <w:t>Исключается из Договора в случае, если контрагентом применяется упрощенная система налогообложения</w:t>
      </w:r>
    </w:p>
  </w:footnote>
  <w:footnote w:id="8">
    <w:p>
      <w:pPr>
        <w:pStyle w:val="FootnoteText"/>
        <w:rPr/>
      </w:pPr>
      <w:r>
        <w:rPr>
          <w:rStyle w:val="Style11"/>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9">
    <w:p>
      <w:pPr>
        <w:pStyle w:val="FootnoteText"/>
        <w:rPr/>
      </w:pPr>
      <w:r>
        <w:rPr>
          <w:rStyle w:val="Style11"/>
        </w:rPr>
        <w:footnoteRef/>
      </w:r>
      <w:r>
        <w:rPr/>
        <w:t xml:space="preserve"> </w:t>
      </w:r>
      <w:r>
        <w:rPr>
          <w:highlight w:val="lightGray"/>
        </w:rPr>
        <w:t>Применяется в случае проведения закупочных процедур только среди МСП.</w:t>
      </w:r>
    </w:p>
  </w:footnote>
  <w:footnote w:id="10">
    <w:p>
      <w:pPr>
        <w:pStyle w:val="FootnoteText"/>
        <w:jc w:val="both"/>
        <w:rPr/>
      </w:pPr>
      <w:r>
        <w:rPr>
          <w:rStyle w:val="Style11"/>
        </w:rPr>
        <w:footnoteRef/>
      </w:r>
      <w:r>
        <w:rPr/>
        <w:t xml:space="preserve"> </w:t>
      </w:r>
      <w:r>
        <w:rPr>
          <w:highlight w:val="lightGray"/>
        </w:rPr>
        <w:t>Применяется в случае подписания контрагентом соглашения о переходе на электронный юридически значимый документооборот (Соглашения об ЭДО)</w:t>
      </w:r>
      <w:r>
        <w:rPr/>
        <w:t>.</w:t>
      </w:r>
    </w:p>
  </w:footnote>
  <w:footnote w:id="11">
    <w:p>
      <w:pPr>
        <w:pStyle w:val="FootnoteText"/>
        <w:jc w:val="both"/>
        <w:rPr/>
      </w:pPr>
      <w:r>
        <w:rPr>
          <w:rStyle w:val="Style11"/>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12">
    <w:p>
      <w:pPr>
        <w:pStyle w:val="FootnoteText"/>
        <w:jc w:val="both"/>
        <w:rPr/>
      </w:pPr>
      <w:r>
        <w:rPr>
          <w:rStyle w:val="Style11"/>
        </w:rPr>
        <w:footnoteRef/>
      </w:r>
      <w:r>
        <w:rPr/>
        <w:t xml:space="preserve"> </w:t>
      </w:r>
      <w:r>
        <w:rPr/>
        <w:t>В соответствии с Общероссийским классификатором стран мира (утв. Постановлением Госстандарта России от 14.12.2001 N 529-ст.).</w:t>
      </w:r>
    </w:p>
  </w:footnote>
  <w:footnote w:id="13">
    <w:p>
      <w:pPr>
        <w:pStyle w:val="FootnoteText"/>
        <w:jc w:val="both"/>
        <w:rPr/>
      </w:pPr>
      <w:r>
        <w:rPr>
          <w:rStyle w:val="Style11"/>
        </w:rPr>
        <w:footnoteRef/>
      </w:r>
      <w:r>
        <w:rPr>
          <w:highlight w:val="lightGray"/>
        </w:rPr>
        <w:t xml:space="preserve"> </w:t>
      </w:r>
      <w:r>
        <w:rPr>
          <w:highlight w:val="lightGray"/>
        </w:rPr>
        <w:t>Порядковый номер (номера) реестровой записи (реестровых записей), под которой (которыми) Товар включен в реестры, предусмотренные пунктом 2 Постановления Правительства РФ от 03.12.2020 № 2013 «О минимальной доле закупок товаров российского происхождения»</w:t>
      </w:r>
      <w:r>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1875" w:leader="none"/>
        <w:tab w:val="center" w:pos="4153" w:leader="none"/>
        <w:tab w:val="right" w:pos="8306" w:leader="none"/>
      </w:tabs>
      <w:spacing w:before="0" w:after="160"/>
      <w:jc w:val="right"/>
      <w:rPr/>
    </w:pPr>
    <w:r>
      <w:rPr/>
      <w:t>ТФД № 2.4.1.</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ТФД № 2.4.1.</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1875" w:leader="none"/>
        <w:tab w:val="center" w:pos="4153" w:leader="none"/>
        <w:tab w:val="right" w:pos="8306" w:leader="none"/>
      </w:tabs>
      <w:spacing w:before="0" w:after="160"/>
      <w:jc w:val="right"/>
      <w:rPr/>
    </w:pPr>
    <w:r>
      <w:rPr/>
      <w:t>ТФД № 2.4.1.</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1875" w:leader="none"/>
        <w:tab w:val="center" w:pos="4153" w:leader="none"/>
        <w:tab w:val="right" w:pos="8306" w:leader="none"/>
      </w:tabs>
      <w:spacing w:before="0" w:after="160"/>
      <w:jc w:val="right"/>
      <w:rPr/>
    </w:pPr>
    <w:r>
      <w:rPr/>
      <w:t>ТФД № 2.4.1.</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708"/>
        </w:tabs>
        <w:ind w:left="1708" w:hanging="432"/>
      </w:pPr>
      <w:rPr>
        <w:sz w:val="24"/>
        <w:b w:val="false"/>
        <w:szCs w:val="24"/>
      </w:rPr>
    </w:lvl>
    <w:lvl w:ilvl="2">
      <w:start w:val="1"/>
      <w:numFmt w:val="decimal"/>
      <w:lvlText w:val="%1.%2.%3."/>
      <w:lvlJc w:val="left"/>
      <w:pPr>
        <w:tabs>
          <w:tab w:val="num" w:pos="4690"/>
        </w:tabs>
        <w:ind w:left="4474"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0">
    <w:lvl w:ilvl="0">
      <w:start w:val="12"/>
      <w:numFmt w:val="decimal"/>
      <w:lvlText w:val="%1."/>
      <w:lvlJc w:val="left"/>
      <w:pPr>
        <w:tabs>
          <w:tab w:val="num" w:pos="0"/>
        </w:tabs>
        <w:ind w:left="405" w:hanging="405"/>
      </w:pPr>
      <w:rPr/>
    </w:lvl>
    <w:lvl w:ilvl="1">
      <w:start w:val="4"/>
      <w:numFmt w:val="decimal"/>
      <w:lvlText w:val="%1.%2."/>
      <w:lvlJc w:val="left"/>
      <w:pPr>
        <w:tabs>
          <w:tab w:val="num" w:pos="0"/>
        </w:tabs>
        <w:ind w:left="1114" w:hanging="405"/>
      </w:pPr>
      <w:rPr/>
    </w:lvl>
    <w:lvl w:ilvl="2">
      <w:start w:val="1"/>
      <w:numFmt w:val="decimal"/>
      <w:lvlText w:val="%1.%2.%3."/>
      <w:lvlJc w:val="left"/>
      <w:pPr>
        <w:tabs>
          <w:tab w:val="num" w:pos="0"/>
        </w:tabs>
        <w:ind w:left="3272" w:hanging="720"/>
      </w:pPr>
      <w:rPr/>
    </w:lvl>
    <w:lvl w:ilvl="3">
      <w:start w:val="1"/>
      <w:numFmt w:val="decimal"/>
      <w:lvlText w:val="%1.%2.%3.%4."/>
      <w:lvlJc w:val="left"/>
      <w:pPr>
        <w:tabs>
          <w:tab w:val="num" w:pos="0"/>
        </w:tabs>
        <w:ind w:left="4548" w:hanging="720"/>
      </w:pPr>
      <w:rPr/>
    </w:lvl>
    <w:lvl w:ilvl="4">
      <w:start w:val="1"/>
      <w:numFmt w:val="decimal"/>
      <w:lvlText w:val="%1.%2.%3.%4.%5."/>
      <w:lvlJc w:val="left"/>
      <w:pPr>
        <w:tabs>
          <w:tab w:val="num" w:pos="0"/>
        </w:tabs>
        <w:ind w:left="6184" w:hanging="1080"/>
      </w:pPr>
      <w:rPr/>
    </w:lvl>
    <w:lvl w:ilvl="5">
      <w:start w:val="1"/>
      <w:numFmt w:val="decimal"/>
      <w:lvlText w:val="%1.%2.%3.%4.%5.%6."/>
      <w:lvlJc w:val="left"/>
      <w:pPr>
        <w:tabs>
          <w:tab w:val="num" w:pos="0"/>
        </w:tabs>
        <w:ind w:left="7460" w:hanging="1080"/>
      </w:pPr>
      <w:rPr/>
    </w:lvl>
    <w:lvl w:ilvl="6">
      <w:start w:val="1"/>
      <w:numFmt w:val="decimal"/>
      <w:lvlText w:val="%1.%2.%3.%4.%5.%6.%7."/>
      <w:lvlJc w:val="left"/>
      <w:pPr>
        <w:tabs>
          <w:tab w:val="num" w:pos="0"/>
        </w:tabs>
        <w:ind w:left="8736" w:hanging="1080"/>
      </w:pPr>
      <w:rPr/>
    </w:lvl>
    <w:lvl w:ilvl="7">
      <w:start w:val="1"/>
      <w:numFmt w:val="decimal"/>
      <w:lvlText w:val="%1.%2.%3.%4.%5.%6.%7.%8."/>
      <w:lvlJc w:val="left"/>
      <w:pPr>
        <w:tabs>
          <w:tab w:val="num" w:pos="0"/>
        </w:tabs>
        <w:ind w:left="10372" w:hanging="1440"/>
      </w:pPr>
      <w:rPr/>
    </w:lvl>
    <w:lvl w:ilvl="8">
      <w:start w:val="1"/>
      <w:numFmt w:val="decimal"/>
      <w:lvlText w:val="%1.%2.%3.%4.%5.%6.%7.%8.%9."/>
      <w:lvlJc w:val="left"/>
      <w:pPr>
        <w:tabs>
          <w:tab w:val="num" w:pos="0"/>
        </w:tabs>
        <w:ind w:left="11648" w:hanging="1440"/>
      </w:pPr>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0"/>
      <w:numFmt w:val="decimal"/>
      <w:lvlText w:val="%1"/>
      <w:lvlJc w:val="left"/>
      <w:pPr>
        <w:tabs>
          <w:tab w:val="num" w:pos="0"/>
        </w:tabs>
        <w:ind w:left="360" w:hanging="360"/>
      </w:pPr>
      <w:rPr/>
    </w:lvl>
    <w:lvl w:ilvl="1">
      <w:start w:val="1"/>
      <w:numFmt w:val="decimal"/>
      <w:lvlText w:val="%1.%2"/>
      <w:lvlJc w:val="left"/>
      <w:pPr>
        <w:tabs>
          <w:tab w:val="num" w:pos="0"/>
        </w:tabs>
        <w:ind w:left="502" w:hanging="360"/>
      </w:pPr>
      <w:rPr/>
    </w:lvl>
    <w:lvl w:ilvl="2">
      <w:start w:val="1"/>
      <w:numFmt w:val="decimal"/>
      <w:lvlText w:val="%1.%2.%3"/>
      <w:lvlJc w:val="left"/>
      <w:pPr>
        <w:tabs>
          <w:tab w:val="num" w:pos="0"/>
        </w:tabs>
        <w:ind w:left="1004" w:hanging="720"/>
      </w:pPr>
      <w:rPr/>
    </w:lvl>
    <w:lvl w:ilvl="3">
      <w:start w:val="1"/>
      <w:numFmt w:val="decimal"/>
      <w:lvlText w:val="%1.%2.%3.%4"/>
      <w:lvlJc w:val="left"/>
      <w:pPr>
        <w:tabs>
          <w:tab w:val="num" w:pos="0"/>
        </w:tabs>
        <w:ind w:left="1146" w:hanging="720"/>
      </w:pPr>
      <w:rPr/>
    </w:lvl>
    <w:lvl w:ilvl="4">
      <w:start w:val="1"/>
      <w:numFmt w:val="decimal"/>
      <w:lvlText w:val="%1.%2.%3.%4.%5"/>
      <w:lvlJc w:val="left"/>
      <w:pPr>
        <w:tabs>
          <w:tab w:val="num" w:pos="0"/>
        </w:tabs>
        <w:ind w:left="1288" w:hanging="720"/>
      </w:pPr>
      <w:rPr/>
    </w:lvl>
    <w:lvl w:ilvl="5">
      <w:start w:val="1"/>
      <w:numFmt w:val="decimal"/>
      <w:lvlText w:val="%1.%2.%3.%4.%5.%6"/>
      <w:lvlJc w:val="left"/>
      <w:pPr>
        <w:tabs>
          <w:tab w:val="num" w:pos="0"/>
        </w:tabs>
        <w:ind w:left="1790" w:hanging="1080"/>
      </w:pPr>
      <w:rPr/>
    </w:lvl>
    <w:lvl w:ilvl="6">
      <w:start w:val="1"/>
      <w:numFmt w:val="decimal"/>
      <w:lvlText w:val="%1.%2.%3.%4.%5.%6.%7"/>
      <w:lvlJc w:val="left"/>
      <w:pPr>
        <w:tabs>
          <w:tab w:val="num" w:pos="0"/>
        </w:tabs>
        <w:ind w:left="1932" w:hanging="1080"/>
      </w:pPr>
      <w:rPr/>
    </w:lvl>
    <w:lvl w:ilvl="7">
      <w:start w:val="1"/>
      <w:numFmt w:val="decimal"/>
      <w:lvlText w:val="%1.%2.%3.%4.%5.%6.%7.%8"/>
      <w:lvlJc w:val="left"/>
      <w:pPr>
        <w:tabs>
          <w:tab w:val="num" w:pos="0"/>
        </w:tabs>
        <w:ind w:left="2434" w:hanging="1440"/>
      </w:pPr>
      <w:rPr/>
    </w:lvl>
    <w:lvl w:ilvl="8">
      <w:start w:val="1"/>
      <w:numFmt w:val="decimal"/>
      <w:lvlText w:val="%1.%2.%3.%4.%5.%6.%7.%8.%9"/>
      <w:lvlJc w:val="left"/>
      <w:pPr>
        <w:tabs>
          <w:tab w:val="num" w:pos="0"/>
        </w:tabs>
        <w:ind w:left="2576"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9" w:customStyle="1">
    <w:name w:val="Текст примечания Знак"/>
    <w:basedOn w:val="DefaultParagraphFont"/>
    <w:link w:val="Annotationtext"/>
    <w:qFormat/>
    <w:rsid w:val="00b75d0a"/>
    <w:rPr/>
  </w:style>
  <w:style w:type="character" w:styleId="Style10" w:customStyle="1">
    <w:name w:val="Текст сноски Знак"/>
    <w:basedOn w:val="DefaultParagraphFont"/>
    <w:uiPriority w:val="99"/>
    <w:qFormat/>
    <w:rsid w:val="00b75d0a"/>
    <w:rPr/>
  </w:style>
  <w:style w:type="character" w:styleId="Style11" w:customStyle="1">
    <w:name w:val="Символ сноски"/>
    <w:qFormat/>
    <w:rsid w:val="00b75d0a"/>
    <w:rPr>
      <w:vertAlign w:val="superscript"/>
    </w:rPr>
  </w:style>
  <w:style w:type="character" w:styleId="Style12" w:customStyle="1">
    <w:name w:val="Верхний колонтитул Знак"/>
    <w:basedOn w:val="DefaultParagraphFont"/>
    <w:uiPriority w:val="99"/>
    <w:qFormat/>
    <w:rsid w:val="00b75d0a"/>
    <w:rPr/>
  </w:style>
  <w:style w:type="character" w:styleId="Style13" w:customStyle="1">
    <w:name w:val="Нижний колонтитул Знак"/>
    <w:uiPriority w:val="99"/>
    <w:qFormat/>
    <w:rsid w:val="00b75d0a"/>
    <w:rPr/>
  </w:style>
  <w:style w:type="character" w:styleId="1" w:customStyle="1">
    <w:name w:val="Нижний колонтитул Знак1"/>
    <w:basedOn w:val="DefaultParagraphFont"/>
    <w:uiPriority w:val="99"/>
    <w:semiHidden/>
    <w:qFormat/>
    <w:rsid w:val="00b75d0a"/>
    <w:rPr/>
  </w:style>
  <w:style w:type="character" w:styleId="11" w:customStyle="1">
    <w:name w:val="Текст примечания Знак1"/>
    <w:basedOn w:val="DefaultParagraphFont"/>
    <w:uiPriority w:val="99"/>
    <w:semiHidden/>
    <w:qFormat/>
    <w:rsid w:val="00b75d0a"/>
    <w:rPr>
      <w:sz w:val="20"/>
      <w:szCs w:val="20"/>
    </w:rPr>
  </w:style>
  <w:style w:type="character" w:styleId="12" w:customStyle="1">
    <w:name w:val="Текст сноски Знак1"/>
    <w:basedOn w:val="DefaultParagraphFont"/>
    <w:uiPriority w:val="99"/>
    <w:semiHidden/>
    <w:qFormat/>
    <w:rsid w:val="00b75d0a"/>
    <w:rPr>
      <w:sz w:val="20"/>
      <w:szCs w:val="20"/>
    </w:rPr>
  </w:style>
  <w:style w:type="character" w:styleId="13" w:customStyle="1">
    <w:name w:val="Верхний колонтитул Знак1"/>
    <w:basedOn w:val="DefaultParagraphFont"/>
    <w:uiPriority w:val="99"/>
    <w:semiHidden/>
    <w:qFormat/>
    <w:rsid w:val="00b75d0a"/>
    <w:rPr/>
  </w:style>
  <w:style w:type="character" w:styleId="Hyperlink">
    <w:name w:val="Hyperlink"/>
    <w:rPr>
      <w:color w:val="000080"/>
      <w:u w:val="single"/>
    </w:rPr>
  </w:style>
  <w:style w:type="character" w:styleId="FootnoteReference">
    <w:name w:val="Footnote Reference"/>
    <w:rPr>
      <w:vertAlign w:val="superscript"/>
    </w:rPr>
  </w:style>
  <w:style w:type="character" w:styleId="Style14">
    <w:name w:val="Символ концевой сноски"/>
    <w:qFormat/>
    <w:rPr>
      <w:vertAlign w:val="superscript"/>
    </w:rPr>
  </w:style>
  <w:style w:type="character" w:styleId="EndnoteReference">
    <w:name w:val="Endnote Reference"/>
    <w:rPr>
      <w:vertAlign w:val="superscript"/>
    </w:rPr>
  </w:style>
  <w:style w:type="paragraph" w:styleId="Style15">
    <w:name w:val="Заголовок"/>
    <w:basedOn w:val="Normal"/>
    <w:next w:val="BodyText"/>
    <w:qFormat/>
    <w:pPr>
      <w:keepNext w:val="true"/>
      <w:spacing w:before="240" w:after="120"/>
    </w:pPr>
    <w:rPr>
      <w:rFonts w:ascii="Liberation Sans" w:hAnsi="Liberation Sans" w:eastAsia="Noto Sans CJK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Style16">
    <w:name w:val="Указатель"/>
    <w:basedOn w:val="Normal"/>
    <w:qFormat/>
    <w:pPr>
      <w:suppressLineNumbers/>
    </w:pPr>
    <w:rPr>
      <w:rFonts w:cs="Arial Unicode MS"/>
    </w:rPr>
  </w:style>
  <w:style w:type="paragraph" w:styleId="Style17">
    <w:name w:val="Колонтитул"/>
    <w:basedOn w:val="Normal"/>
    <w:qFormat/>
    <w:pPr/>
    <w:rPr/>
  </w:style>
  <w:style w:type="paragraph" w:styleId="Footer">
    <w:name w:val="Footer"/>
    <w:basedOn w:val="Normal"/>
    <w:link w:val="Style13"/>
    <w:uiPriority w:val="99"/>
    <w:rsid w:val="00b75d0a"/>
    <w:pPr>
      <w:widowControl w:val="false"/>
      <w:tabs>
        <w:tab w:val="clear" w:pos="708"/>
        <w:tab w:val="center" w:pos="4677" w:leader="none"/>
        <w:tab w:val="right" w:pos="9355" w:leader="none"/>
      </w:tabs>
      <w:suppressAutoHyphens w:val="true"/>
      <w:spacing w:lineRule="auto" w:line="240" w:before="0" w:after="0"/>
    </w:pPr>
    <w:rPr/>
  </w:style>
  <w:style w:type="paragraph" w:styleId="Annotationtext">
    <w:name w:val="annotation text"/>
    <w:basedOn w:val="Normal"/>
    <w:link w:val="Style9"/>
    <w:qFormat/>
    <w:rsid w:val="00b75d0a"/>
    <w:pPr>
      <w:widowControl w:val="false"/>
      <w:suppressAutoHyphens w:val="true"/>
      <w:spacing w:lineRule="auto" w:line="240" w:before="0" w:after="0"/>
    </w:pPr>
    <w:rPr/>
  </w:style>
  <w:style w:type="paragraph" w:styleId="FootnoteText">
    <w:name w:val="Footnote Text"/>
    <w:basedOn w:val="Normal"/>
    <w:link w:val="Style10"/>
    <w:uiPriority w:val="99"/>
    <w:rsid w:val="00b75d0a"/>
    <w:pPr>
      <w:widowControl w:val="false"/>
      <w:suppressAutoHyphens w:val="true"/>
      <w:spacing w:lineRule="auto" w:line="240" w:before="0" w:after="0"/>
    </w:pPr>
    <w:rPr/>
  </w:style>
  <w:style w:type="paragraph" w:styleId="Header">
    <w:name w:val="Header"/>
    <w:basedOn w:val="Normal"/>
    <w:link w:val="Style12"/>
    <w:uiPriority w:val="99"/>
    <w:rsid w:val="00b75d0a"/>
    <w:pPr>
      <w:widowControl w:val="false"/>
      <w:tabs>
        <w:tab w:val="clear" w:pos="708"/>
        <w:tab w:val="center" w:pos="4677" w:leader="none"/>
        <w:tab w:val="right" w:pos="9355" w:leader="none"/>
      </w:tabs>
      <w:suppressAutoHyphens w:val="true"/>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yperlink" Target="mailto:office_volga_TK@rushydro.ru"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Application>AlterOffice/2025.3.1.0$Linux_X86_64 LibreOffice_project/6648c49ab2ca125dff246c75ec00a85a64baa8dd</Application>
  <AppVersion>15.0000</AppVersion>
  <Pages>21</Pages>
  <Words>7364</Words>
  <Characters>52085</Characters>
  <CharactersWithSpaces>59166</CharactersWithSpaces>
  <Paragraphs>385</Paragraphs>
  <Company>RusHydro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2026-09-04T11:13:00Z</dcterms:created>
  <dc:creator>Непомнящий Евгений Александрович</dc:creator>
  <dc:description/>
  <dc:language>ru-RU</dc:language>
  <cp:lastModifiedBy>gadalinaig@corp.gidroogk.com</cp:lastModifiedBy>
  <dcterms:modified xsi:type="dcterms:W3CDTF">2026-09-09T10:50:44Z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