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6195" w:type="dxa"/>
        <w:jc w:val="left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firstRow="0" w:lastRow="0" w:firstColumn="0" w:lastColumn="0"/>
      </w:tblPr>
      <w:tblGrid>
        <w:gridCol w:w="4502"/>
        <w:gridCol w:w="442"/>
        <w:gridCol w:w="439"/>
        <w:gridCol w:w="5407"/>
        <w:gridCol w:w="5405"/>
      </w:tblGrid>
      <w:tr>
        <w:trPr/>
        <w:tc>
          <w:tcPr>
            <w:tcW w:w="4502" w:type="dxa"/>
            <w:tcBorders/>
            <w:shd w:color="auto" w:fill="auto" w:val="clear"/>
          </w:tcPr>
          <w:p>
            <w:pPr>
              <w:pStyle w:val="Normal"/>
              <w:pageBreakBefore/>
              <w:widowControl w:val="false"/>
              <w:rPr>
                <w:rFonts w:ascii="Verdana" w:hAnsi="Verdana"/>
                <w:sz w:val="14"/>
                <w:szCs w:val="14"/>
              </w:rPr>
            </w:pPr>
            <w:r>
              <w:rPr/>
              <w:drawing>
                <wp:inline distT="0" distB="0" distL="0" distR="0">
                  <wp:extent cx="3066415" cy="2615565"/>
                  <wp:effectExtent l="0" t="0" r="0" b="0"/>
                  <wp:docPr id="1" name="Рисунок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415" cy="261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ind w:firstLine="426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2" w:type="dxa"/>
            <w:tcBorders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439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5407" w:type="dxa"/>
            <w:tcBorders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ind w:left="1416" w:firstLine="70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widowControl w:val="false"/>
              <w:ind w:left="0" w:hanging="0"/>
              <w:jc w:val="right"/>
              <w:rPr>
                <w:rFonts w:eastAsia="Calibri"/>
                <w:kern w:val="0"/>
                <w:sz w:val="28"/>
                <w:szCs w:val="28"/>
                <w:lang w:eastAsia="en-US"/>
              </w:rPr>
            </w:pPr>
            <w:r>
              <w:rPr>
                <w:rFonts w:eastAsia="Calibri"/>
                <w:kern w:val="0"/>
                <w:sz w:val="28"/>
                <w:szCs w:val="28"/>
                <w:lang w:eastAsia="en-US"/>
              </w:rPr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405" w:type="dxa"/>
            <w:tcBorders/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left="1416" w:firstLine="70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Руководителю </w:t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"БароСервис"</w:t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Красноярск,</w:t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Мте Залка,</w:t>
            </w:r>
          </w:p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 2, оф. 88</w:t>
            </w:r>
          </w:p>
          <w:p>
            <w:pPr>
              <w:pStyle w:val="ListParagraph"/>
              <w:widowControl w:val="false"/>
              <w:ind w:left="0" w:hanging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Запрос технико-коммерческих предложений в рамках</w:t>
      </w:r>
    </w:p>
    <w:p>
      <w:pPr>
        <w:pStyle w:val="Normal"/>
        <w:jc w:val="center"/>
        <w:rPr>
          <w:rFonts w:ascii="Times New Roman" w:hAnsi="Times New Roman" w:eastAsia="Calibri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нерегламентированной закупки по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ОКПД2 08.12.13.000. Поставка  отсева для нужд Саяно-Шушенского филиала АО «ТК РусГидро"»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3"/>
        </w:numPr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Акционерное общество «Транспортная компания РусГидро»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(АО «ТК РусГидро) в лице Саяно-шушенского филиала сообщает о проведении анализа технико-коммерческих предложений потенциальных поставщиков в рамках нерегламентированной закупки по поставке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ru-RU" w:eastAsia="en-US" w:bidi="ar-SA"/>
        </w:rPr>
        <w:t>«ОКПД2 08.12.13.000. Поставка  отсева для нужд Саяно-Шушенского филиала АО «ТК РусГидро"»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3"/>
        </w:numPr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>
      <w:pPr>
        <w:pStyle w:val="Normal"/>
        <w:numPr>
          <w:ilvl w:val="0"/>
          <w:numId w:val="3"/>
        </w:numPr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Единственным критерием выбора контрагента, с которым впоследствии будет заключен договор при условии соответствия технико-коммерческого предложения поставщика установленным требованиям Заказчика (см. приложения к настоящему запросу), является цена договора (без учета НДС).</w:t>
      </w:r>
    </w:p>
    <w:p>
      <w:pPr>
        <w:pStyle w:val="Normal"/>
        <w:numPr>
          <w:ilvl w:val="0"/>
          <w:numId w:val="3"/>
        </w:numPr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>
      <w:pPr>
        <w:pStyle w:val="Normal"/>
        <w:numPr>
          <w:ilvl w:val="0"/>
          <w:numId w:val="3"/>
        </w:numPr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 с технико-коммерческим предложением должен быть оформлен на официальном бланке Поставщика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дату направления предложения;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 наименование Поставщика, с указанием организационно-правовой формы (для юридических лиц);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/>
      </w:pPr>
      <w:r>
        <w:rPr>
          <w:rFonts w:ascii="Times New Roman" w:hAnsi="Times New Roman"/>
          <w:sz w:val="28"/>
          <w:szCs w:val="28"/>
        </w:rPr>
        <w:t xml:space="preserve">юридический адрес, почтовый адрес, ИНН </w:t>
      </w:r>
      <w:r>
        <w:rPr>
          <w:rStyle w:val="Style9"/>
          <w:rFonts w:ascii="Times New Roman" w:hAnsi="Times New Roman"/>
          <w:b w:val="false"/>
          <w:i w:val="false"/>
          <w:sz w:val="28"/>
          <w:szCs w:val="28"/>
          <w:shd w:fill="auto" w:val="clear"/>
        </w:rPr>
        <w:t>[для юридических лиц]</w:t>
      </w:r>
      <w:r>
        <w:rPr>
          <w:rFonts w:ascii="Times New Roman" w:hAnsi="Times New Roman"/>
          <w:i/>
          <w:sz w:val="28"/>
          <w:szCs w:val="28"/>
        </w:rPr>
        <w:t xml:space="preserve"> / </w:t>
      </w:r>
      <w:r>
        <w:rPr>
          <w:rFonts w:ascii="Times New Roman" w:hAnsi="Times New Roman"/>
          <w:sz w:val="28"/>
          <w:szCs w:val="28"/>
        </w:rPr>
        <w:t xml:space="preserve">паспортные данные, адрес регистрации, ИНН (при наличии) </w:t>
      </w:r>
      <w:r>
        <w:rPr>
          <w:rStyle w:val="Style9"/>
          <w:rFonts w:ascii="Times New Roman" w:hAnsi="Times New Roman"/>
          <w:b w:val="false"/>
          <w:i w:val="false"/>
          <w:sz w:val="28"/>
          <w:szCs w:val="28"/>
          <w:shd w:fill="auto" w:val="clear"/>
        </w:rPr>
        <w:t>[для физических лиц]</w:t>
      </w:r>
      <w:r>
        <w:rPr>
          <w:rFonts w:ascii="Times New Roman" w:hAnsi="Times New Roman"/>
          <w:i/>
          <w:sz w:val="28"/>
          <w:szCs w:val="28"/>
        </w:rPr>
        <w:t>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контактные данные: номер телефона, 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, ФИО контактного лица;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гарантии наличия у Поставщика 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информацию / документы, подтверждающие соответствие Поставщика установленным дополнительным требованиям, указанным в приложении 1 к настоящему запросу;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подробное описание предлагаемой к поставке продукции с указанием конкретных технических и функциональных характеристик, подтверждающее соответствие установленным требованиям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информацию о производителе предлагаемой к поставке продукции;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подтверждение возможности поставки требуемого объема продукции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поставки продукции в соответствии с установленными требованиями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согласие Поставщика на существенные условия будущего договора, в том числе условия оплаты и поставки (см. приложение 2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и условия гарантийных обязательств в соответствии с установленными требованиями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цену предложения в рублях (без учета НДС и с учетом НДС).</w:t>
      </w:r>
    </w:p>
    <w:p>
      <w:pPr>
        <w:pStyle w:val="Normal"/>
        <w:numPr>
          <w:ilvl w:val="0"/>
          <w:numId w:val="3"/>
        </w:numPr>
        <w:spacing w:before="120" w:after="0"/>
        <w:ind w:left="567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 подачи технико-коммерческих предложений: до 10:00 МСК </w:t>
      </w:r>
      <w:r>
        <w:rPr>
          <w:rFonts w:ascii="Times New Roman" w:hAnsi="Times New Roman"/>
          <w:sz w:val="28"/>
          <w:szCs w:val="28"/>
        </w:rPr>
        <w:t>14.09.</w:t>
      </w:r>
      <w:r>
        <w:rPr>
          <w:rFonts w:ascii="Times New Roman" w:hAnsi="Times New Roman"/>
          <w:sz w:val="28"/>
          <w:szCs w:val="28"/>
        </w:rPr>
        <w:t xml:space="preserve">2026 г. </w:t>
      </w:r>
    </w:p>
    <w:p>
      <w:pPr>
        <w:pStyle w:val="Normal"/>
        <w:numPr>
          <w:ilvl w:val="0"/>
          <w:numId w:val="3"/>
        </w:numPr>
        <w:spacing w:before="120" w:after="0"/>
        <w:ind w:left="0" w:hanging="11"/>
        <w:rPr/>
      </w:pPr>
      <w:r>
        <w:rPr>
          <w:rFonts w:ascii="Times New Roman" w:hAnsi="Times New Roman"/>
          <w:sz w:val="28"/>
          <w:szCs w:val="28"/>
        </w:rPr>
        <w:t xml:space="preserve">Предложения должны быть направлены в виде сканированной электронной копии на ЭТП АО «Российский аукционный дом» </w:t>
      </w:r>
      <w:hyperlink r:id="rId3">
        <w:r>
          <w:rPr>
            <w:rStyle w:val="Hyperlink"/>
            <w:rFonts w:ascii="Times New Roman" w:hAnsi="Times New Roman"/>
            <w:sz w:val="28"/>
            <w:szCs w:val="28"/>
          </w:rPr>
          <w:t>https://tender.lot-online.ru</w:t>
        </w:r>
      </w:hyperlink>
      <w:r>
        <w:rPr>
          <w:rFonts w:ascii="Times New Roman" w:hAnsi="Times New Roman"/>
          <w:sz w:val="28"/>
          <w:szCs w:val="28"/>
        </w:rPr>
        <w:t xml:space="preserve"> или на адрес электронной почты SulekovAA@rushydro.ru.</w:t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spacing w:before="120" w:after="0"/>
        <w:ind w:left="567" w:hanging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</w:r>
      <w:bookmarkStart w:id="0" w:name="_GoBack_Копия_1"/>
      <w:bookmarkStart w:id="1" w:name="_GoBack_Копия_1"/>
      <w:bookmarkEnd w:id="1"/>
    </w:p>
    <w:p>
      <w:pPr>
        <w:pStyle w:val="Normal"/>
        <w:spacing w:before="12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Next w:val="true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Приложения: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851" w:leader="none"/>
        </w:tabs>
        <w:spacing w:before="120" w:after="0"/>
        <w:ind w:left="850" w:hanging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Технические требования к продукции (в том числе, сведения об объеме, месте, сроках поставляемой продукции);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851" w:leader="none"/>
        </w:tabs>
        <w:spacing w:before="120" w:after="0"/>
        <w:ind w:left="850" w:hanging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типового договора / Существенные условия договора (в том числе, условия оплаты и гарантийных обязательств).</w:t>
      </w:r>
    </w:p>
    <w:p>
      <w:pPr>
        <w:pStyle w:val="Normal"/>
        <w:tabs>
          <w:tab w:val="clear" w:pos="708"/>
          <w:tab w:val="left" w:pos="3810" w:leader="none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810" w:leader="none"/>
        </w:tabs>
        <w:rPr>
          <w:rFonts w:ascii="Times New Roman" w:hAnsi="Times New Roman"/>
          <w:sz w:val="16"/>
          <w:szCs w:val="16"/>
        </w:rPr>
      </w:pPr>
      <w:r>
        <w:rPr/>
      </w:r>
    </w:p>
    <w:sectPr>
      <w:type w:val="nextPage"/>
      <w:pgSz w:w="11906" w:h="16838"/>
      <w:pgMar w:left="1531" w:right="851" w:gutter="0" w:header="0" w:top="851" w:footer="0" w:bottom="42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Verdana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/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014f5"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-converted-space" w:customStyle="1">
    <w:name w:val="apple-converted-space"/>
    <w:basedOn w:val="DefaultParagraphFont"/>
    <w:qFormat/>
    <w:rsid w:val="005014f5"/>
    <w:rPr/>
  </w:style>
  <w:style w:type="character" w:styleId="Hyperlink">
    <w:name w:val="Hyperlink"/>
    <w:basedOn w:val="DefaultParagraphFont"/>
    <w:uiPriority w:val="99"/>
    <w:unhideWhenUsed/>
    <w:rsid w:val="00351e77"/>
    <w:rPr>
      <w:color w:val="0000FF"/>
      <w:u w:val="single"/>
    </w:rPr>
  </w:style>
  <w:style w:type="character" w:styleId="Style8" w:customStyle="1">
    <w:name w:val="Текст выноски Знак"/>
    <w:basedOn w:val="DefaultParagraphFont"/>
    <w:link w:val="BalloonText"/>
    <w:uiPriority w:val="99"/>
    <w:semiHidden/>
    <w:qFormat/>
    <w:rsid w:val="000a5fbc"/>
    <w:rPr>
      <w:rFonts w:ascii="Segoe UI" w:hAnsi="Segoe UI" w:eastAsia="Calibri" w:cs="Segoe UI"/>
      <w:sz w:val="18"/>
      <w:szCs w:val="18"/>
    </w:rPr>
  </w:style>
  <w:style w:type="character" w:styleId="Style9" w:customStyle="1">
    <w:name w:val="комментарий"/>
    <w:qFormat/>
    <w:rPr>
      <w:b/>
      <w:i/>
      <w:shd w:fill="FFFF99" w:val="clear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8"/>
    <w:uiPriority w:val="99"/>
    <w:semiHidden/>
    <w:unhideWhenUsed/>
    <w:qFormat/>
    <w:rsid w:val="000a5fbc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a5211"/>
    <w:pPr>
      <w:ind w:left="708" w:hanging="0"/>
      <w:jc w:val="left"/>
    </w:pPr>
    <w:rPr>
      <w:rFonts w:ascii="Times New Roman" w:hAnsi="Times New Roman" w:eastAsia="Times New Roman"/>
      <w:kern w:val="2"/>
      <w:sz w:val="24"/>
      <w:szCs w:val="20"/>
      <w:lang w:eastAsia="ru-RU"/>
    </w:rPr>
  </w:style>
  <w:style w:type="paragraph" w:styleId="1" w:customStyle="1">
    <w:name w:val="Стиль Заголовок 1 + по ширине"/>
    <w:basedOn w:val="Heading1"/>
    <w:qFormat/>
    <w:pPr>
      <w:numPr>
        <w:ilvl w:val="0"/>
        <w:numId w:val="2"/>
      </w:numPr>
      <w:spacing w:before="480" w:after="240"/>
      <w:ind w:left="720" w:hanging="360"/>
    </w:pPr>
    <w:rPr>
      <w:rFonts w:ascii="Arial" w:hAnsi="Arial" w:eastAsia="Times New Roman" w:cs="Times New Roman"/>
      <w:b/>
      <w:bCs/>
      <w:color w:val="auto"/>
      <w:kern w:val="2"/>
      <w:sz w:val="4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d57320"/>
    <w:pPr>
      <w:jc w:val="both"/>
    </w:pPr>
    <w:rPr>
      <w:sz w:val="26"/>
      <w:szCs w:val="2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d">
    <w:name w:val="Table Grid"/>
    <w:basedOn w:val="a1"/>
    <w:uiPriority w:val="39"/>
    <w:rsid w:val="00d5732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tender.lot-online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8C88B-62F1-4A47-9BE4-EF5532AD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AlterOffice/3.4.0.9$Linux_X86_64 LibreOffice_project/b8daf9e823b1a5463a2f48435ddc2e8696e7d4fc</Application>
  <AppVersion>15.0000</AppVersion>
  <Pages>3</Pages>
  <Words>490</Words>
  <Characters>3430</Characters>
  <CharactersWithSpaces>3875</CharactersWithSpaces>
  <Paragraphs>31</Paragraphs>
  <Company>РусГидро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2025-03-14T05:32:00Z</dcterms:created>
  <dc:creator>Сергей Шефер</dc:creator>
  <dc:description/>
  <dc:language>ru-RU</dc:language>
  <cp:lastModifiedBy>sulekovaa@corp.gidroogk.com</cp:lastModifiedBy>
  <cp:lastPrinted>2025-03-28T08:35:52Z</cp:lastPrinted>
  <dcterms:modified xsi:type="dcterms:W3CDTF">2026-09-09T13:59:10Z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