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240" w:before="0" w:after="160"/>
        <w:jc w:val="right"/>
        <w:rPr>
          <w:sz w:val="24"/>
          <w:szCs w:val="24"/>
        </w:rPr>
      </w:pPr>
      <w:r>
        <w:rPr>
          <w:sz w:val="24"/>
          <w:szCs w:val="24"/>
        </w:rPr>
        <w:t>УТВЕРЖДАЮ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Саяно-Шушенского филиала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АО «ТК РусГидро»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_______________В.А. Кяри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«______»___________________</w:t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оказание услуг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center"/>
        <w:rPr/>
      </w:pPr>
      <w:r>
        <w:rPr>
          <w:rFonts w:eastAsia="Calibri"/>
          <w:i/>
          <w:iCs/>
          <w:sz w:val="24"/>
          <w:szCs w:val="24"/>
        </w:rPr>
        <w:t>«ОКПД2 08.12.13.000. Поставка  отсева для нужд Саяно-Шушенского филиала АО «ТК РусГидро"»</w:t>
      </w:r>
    </w:p>
    <w:p>
      <w:pPr>
        <w:pStyle w:val="Normal"/>
        <w:keepNext w:val="true"/>
        <w:keepLines/>
        <w:jc w:val="center"/>
        <w:rPr/>
      </w:pPr>
      <w:r>
        <w:rPr>
          <w:rFonts w:eastAsia="Calibri"/>
          <w:i/>
          <w:iCs/>
          <w:sz w:val="24"/>
          <w:szCs w:val="24"/>
        </w:rPr>
        <w:t>Лот № 40</w:t>
      </w:r>
      <w:r>
        <w:rPr>
          <w:rFonts w:eastAsia="Calibri"/>
          <w:i/>
          <w:iCs/>
          <w:sz w:val="24"/>
          <w:szCs w:val="24"/>
        </w:rPr>
        <w:t>69</w:t>
      </w:r>
      <w:r>
        <w:rPr>
          <w:rFonts w:eastAsia="Calibri"/>
          <w:i/>
          <w:iCs/>
          <w:sz w:val="24"/>
          <w:szCs w:val="24"/>
        </w:rPr>
        <w:t>-ПРО ДЭК-202</w:t>
      </w:r>
      <w:r>
        <w:rPr>
          <w:rFonts w:eastAsia="Calibri"/>
          <w:i/>
          <w:iCs/>
          <w:sz w:val="24"/>
          <w:szCs w:val="24"/>
        </w:rPr>
        <w:t>7</w:t>
      </w:r>
      <w:r>
        <w:rPr>
          <w:rFonts w:eastAsia="Calibri"/>
          <w:i/>
          <w:iCs/>
          <w:sz w:val="24"/>
          <w:szCs w:val="24"/>
        </w:rPr>
        <w:t>-ТК-СШФ</w:t>
      </w:r>
    </w:p>
    <w:p>
      <w:pPr>
        <w:pStyle w:val="Normal"/>
        <w:jc w:val="center"/>
        <w:rPr>
          <w:rFonts w:eastAsia="Calibri"/>
          <w:i/>
          <w:i/>
          <w:iCs/>
          <w:sz w:val="24"/>
          <w:szCs w:val="24"/>
        </w:rPr>
      </w:pPr>
      <w:r>
        <w:rPr>
          <w:rFonts w:eastAsia="Calibri"/>
          <w:i/>
          <w:iCs/>
          <w:sz w:val="24"/>
          <w:szCs w:val="24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iCs/>
          <w:color w:val="000000"/>
          <w:sz w:val="26"/>
          <w:szCs w:val="26"/>
        </w:rPr>
      </w:pPr>
      <w:r>
        <w:rPr>
          <w:rFonts w:eastAsia="Calibri"/>
          <w:b/>
          <w:i/>
          <w:iCs/>
          <w:color w:val="000000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/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r>
            <w:fldChar w:fldCharType="begin"/>
          </w:r>
          <w:r>
            <w:rPr>
              <w:rStyle w:val="Style14"/>
            </w:rPr>
            <w:instrText xml:space="preserve"> TOC \o "1-4" \h</w:instrText>
          </w:r>
          <w:r>
            <w:rPr>
              <w:rStyle w:val="Style14"/>
            </w:rPr>
            <w:fldChar w:fldCharType="separate"/>
          </w:r>
          <w:hyperlink w:anchor="_Toc75446566">
            <w:r>
              <w:rPr>
                <w:rStyle w:val="Style14"/>
              </w:rPr>
              <w:t>1.</w:t>
            </w:r>
          </w:hyperlink>
          <w:hyperlink w:anchor="_Toc75446566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b w:val="false"/>
                <w:bCs w:val="false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66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Общие сведения</w:t>
            </w:r>
            <w:r>
              <w:rPr>
                <w:webHidden/>
              </w:rPr>
              <w:fldChar w:fldCharType="end"/>
            </w:r>
          </w:hyperlink>
          <w:hyperlink w:anchor="_Toc75446566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3</w:t>
          </w:r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67">
            <w:r>
              <w:rPr>
                <w:rStyle w:val="Style14"/>
                <w:iCs/>
              </w:rPr>
              <w:t>1.1.</w:t>
            </w:r>
          </w:hyperlink>
          <w:hyperlink w:anchor="_Toc75446567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67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Обозначения и сокращения</w:t>
            </w:r>
            <w:r>
              <w:rPr>
                <w:webHidden/>
              </w:rPr>
              <w:fldChar w:fldCharType="end"/>
            </w:r>
          </w:hyperlink>
          <w:hyperlink w:anchor="_Toc75446567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3</w:t>
          </w:r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68">
            <w:r>
              <w:rPr>
                <w:rStyle w:val="Style14"/>
                <w:iCs/>
              </w:rPr>
              <w:t>1.2.</w:t>
            </w:r>
          </w:hyperlink>
          <w:hyperlink w:anchor="_Toc75446568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68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Наименование закупаемой продукции</w:t>
            </w:r>
            <w:r>
              <w:rPr>
                <w:webHidden/>
              </w:rPr>
              <w:fldChar w:fldCharType="end"/>
            </w:r>
          </w:hyperlink>
          <w:hyperlink w:anchor="_Toc75446568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4</w:t>
          </w:r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69">
            <w:r>
              <w:rPr>
                <w:rStyle w:val="Style14"/>
                <w:iCs/>
              </w:rPr>
              <w:t>1.3.</w:t>
            </w:r>
          </w:hyperlink>
          <w:hyperlink w:anchor="_Toc75446569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69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 xml:space="preserve">Цель использования закупаемой продукции </w:t>
            </w:r>
            <w:r>
              <w:rPr>
                <w:webHidden/>
              </w:rPr>
              <w:fldChar w:fldCharType="end"/>
            </w:r>
          </w:hyperlink>
          <w:hyperlink w:anchor="_Toc75446569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5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75446573">
            <w:r>
              <w:rPr>
                <w:rStyle w:val="Style14"/>
              </w:rPr>
              <w:t>2.</w:t>
            </w:r>
          </w:hyperlink>
          <w:hyperlink w:anchor="_Toc75446573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b w:val="false"/>
                <w:bCs w:val="false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73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iCs/>
              </w:rPr>
              <w:t>Требования к продукции</w:t>
            </w:r>
            <w:r>
              <w:rPr>
                <w:webHidden/>
              </w:rPr>
              <w:fldChar w:fldCharType="end"/>
            </w:r>
          </w:hyperlink>
          <w:hyperlink w:anchor="_Toc75446573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4</w:t>
          </w:r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74">
            <w:r>
              <w:rPr>
                <w:rStyle w:val="Style14"/>
                <w:iCs/>
              </w:rPr>
              <w:t>2.1.</w:t>
            </w:r>
          </w:hyperlink>
          <w:hyperlink w:anchor="_Toc75446574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74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объемам и срокам поставки</w:t>
            </w:r>
            <w:r>
              <w:rPr>
                <w:webHidden/>
              </w:rPr>
              <w:fldChar w:fldCharType="end"/>
            </w:r>
          </w:hyperlink>
          <w:hyperlink w:anchor="_Toc75446574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4</w:t>
          </w:r>
        </w:p>
        <w:p>
          <w:pPr>
            <w:pStyle w:val="TOC3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75">
            <w:r>
              <w:rPr>
                <w:rStyle w:val="Style14"/>
              </w:rPr>
              <w:t>2.1.1.</w:t>
            </w:r>
          </w:hyperlink>
          <w:hyperlink w:anchor="_Toc75446575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75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Перечень и объем закупаемой продукции</w:t>
            </w:r>
            <w:r>
              <w:rPr>
                <w:webHidden/>
              </w:rPr>
              <w:fldChar w:fldCharType="end"/>
            </w:r>
          </w:hyperlink>
          <w:hyperlink w:anchor="_Toc75446575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4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75446576">
            <w:r>
              <w:rPr>
                <w:rStyle w:val="Style14"/>
              </w:rPr>
              <w:t>Таблица 1.1 Перечень и объем закупаемой продукции</w:t>
            </w:r>
          </w:hyperlink>
          <w:hyperlink w:anchor="_Toc75446576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4</w:t>
          </w:r>
        </w:p>
        <w:p>
          <w:pPr>
            <w:pStyle w:val="Normal"/>
            <w:tabs>
              <w:tab w:val="clear" w:pos="708"/>
              <w:tab w:val="right" w:pos="9911" w:leader="dot"/>
            </w:tabs>
            <w:rPr>
              <w:rFonts w:cs="Calibri"/>
              <w:sz w:val="20"/>
              <w:szCs w:val="20"/>
            </w:rPr>
          </w:pPr>
          <w:r>
            <w:rPr>
              <w:rFonts w:cs="Calibri"/>
              <w:color w:val="000000"/>
              <w:sz w:val="20"/>
              <w:szCs w:val="20"/>
            </w:rPr>
            <w:t>2.1.2.Требования к срокам поставки продукции и оказания сопутствующих услуг</w:t>
            <w:tab/>
            <w:t>4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75446579">
            <w:r>
              <w:rPr>
                <w:rStyle w:val="Style14"/>
              </w:rPr>
              <w:t>Таблица 1.2 Требования по срокам поставки продукции</w:t>
            </w:r>
          </w:hyperlink>
          <w:hyperlink w:anchor="_Toc75446579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4</w:t>
          </w:r>
        </w:p>
        <w:p>
          <w:pPr>
            <w:pStyle w:val="Normal"/>
            <w:tabs>
              <w:tab w:val="clear" w:pos="708"/>
              <w:tab w:val="right" w:pos="9911" w:leader="dot"/>
            </w:tabs>
            <w:rPr/>
          </w:pPr>
          <w:r>
            <w:rPr>
              <w:rFonts w:cs="Calibri"/>
              <w:color w:val="000000"/>
              <w:sz w:val="20"/>
              <w:szCs w:val="20"/>
            </w:rPr>
            <w:t>2.2 Требования к качеству продукции</w:t>
            <w:tab/>
            <w:t>5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75446582">
            <w:r>
              <w:rPr>
                <w:rStyle w:val="Style14"/>
              </w:rPr>
              <w:t>Таблица 3. Требования к продукции</w:t>
            </w:r>
          </w:hyperlink>
          <w:hyperlink w:anchor="_Toc75446582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_Toc75446582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5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75446583">
            <w:r>
              <w:rPr>
                <w:rStyle w:val="Style14"/>
              </w:rPr>
              <w:t>3.</w:t>
            </w:r>
          </w:hyperlink>
          <w:hyperlink w:anchor="_Toc75446583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_Toc75446583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eastAsia="PMingLiU" w:cs="Arial" w:ascii="Calibri" w:hAnsi="Calibri"/>
                <w:b w:val="false"/>
                <w:bCs w:val="false"/>
                <w:sz w:val="22"/>
                <w:szCs w:val="22"/>
              </w:rPr>
              <w:tab/>
            </w:r>
            <w:r>
              <w:rPr>
                <w:webHidden/>
              </w:rPr>
              <w:fldChar w:fldCharType="end"/>
            </w:r>
          </w:hyperlink>
          <w:hyperlink w:anchor="_Toc75446583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_Toc75446583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документации по ценообразованию на этапе закупки</w:t>
            </w:r>
            <w:r>
              <w:rPr>
                <w:webHidden/>
              </w:rPr>
              <w:fldChar w:fldCharType="end"/>
            </w:r>
          </w:hyperlink>
          <w:hyperlink w:anchor="_Toc75446584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_Toc75446584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</w:r>
            <w:r>
              <w:rPr>
                <w:webHidden/>
              </w:rPr>
              <w:fldChar w:fldCharType="end"/>
            </w:r>
          </w:hyperlink>
          <w:r>
            <w:rPr/>
            <w:t>7</w:t>
          </w:r>
          <w:r>
            <w:rPr/>
            <w:fldChar w:fldCharType="end"/>
          </w:r>
        </w:p>
      </w:sdtContent>
    </w:sdt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0" w:name="_Toc51339692"/>
      <w:bookmarkStart w:id="1" w:name="_Toc75446566"/>
      <w:r>
        <w:rPr>
          <w:lang w:val="ru-RU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rPr/>
      </w:pPr>
      <w:bookmarkStart w:id="2" w:name="_Toc75446567"/>
      <w:bookmarkStart w:id="3" w:name="_Toc46743505"/>
      <w:r>
        <w:rPr/>
        <w:t>Обозначения и сокращения</w:t>
      </w:r>
      <w:bookmarkEnd w:id="2"/>
      <w:bookmarkEnd w:id="3"/>
    </w:p>
    <w:tbl>
      <w:tblPr>
        <w:tblW w:w="978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2322"/>
        <w:gridCol w:w="7458"/>
      </w:tblGrid>
      <w:tr>
        <w:trPr>
          <w:cantSplit w:val="true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АО «ТК РусГидро»</w:t>
            </w:r>
          </w:p>
        </w:tc>
        <w:tc>
          <w:tcPr>
            <w:tcW w:w="7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Акционерное общество «Транспортной компании РусГидро»</w:t>
            </w:r>
          </w:p>
        </w:tc>
      </w:tr>
      <w:tr>
        <w:trPr>
          <w:cantSplit w:val="true"/>
        </w:trPr>
        <w:tc>
          <w:tcPr>
            <w:tcW w:w="2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jc w:val="center"/>
              <w:rPr>
                <w:color w:val="FF0000"/>
              </w:rPr>
            </w:pPr>
            <w:r>
              <w:rPr>
                <w:rFonts w:eastAsia="Times New Roman"/>
              </w:rPr>
              <w:t>ГОСТ</w:t>
            </w:r>
          </w:p>
        </w:tc>
        <w:tc>
          <w:tcPr>
            <w:tcW w:w="7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bCs/>
                <w:color w:val="000000"/>
                <w:spacing w:val="-2"/>
                <w:sz w:val="24"/>
                <w:szCs w:val="24"/>
              </w:rPr>
              <w:t>Государственный стандарт, который включает в себя требования государства к качеству продукции, его геометрические размеры, отклонения от эталона и т.д.</w:t>
            </w:r>
          </w:p>
        </w:tc>
      </w:tr>
      <w:tr>
        <w:trPr>
          <w:cantSplit w:val="true"/>
        </w:trPr>
        <w:tc>
          <w:tcPr>
            <w:tcW w:w="2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ind w:left="284" w:firstLine="284"/>
              <w:jc w:val="both"/>
              <w:rPr>
                <w:sz w:val="24"/>
                <w:szCs w:val="24"/>
              </w:rPr>
            </w:pPr>
            <w:r>
              <w:rPr>
                <w:rStyle w:val="Style8"/>
                <w:b w:val="false"/>
                <w:bCs/>
                <w:i w:val="false"/>
                <w:sz w:val="24"/>
                <w:szCs w:val="24"/>
                <w:shd w:fill="auto" w:val="clear"/>
              </w:rPr>
              <w:t>СШГЭК</w:t>
            </w:r>
          </w:p>
        </w:tc>
        <w:tc>
          <w:tcPr>
            <w:tcW w:w="74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Саяно-Шушенский гидроэнергетический комплекс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Heading4"/>
        <w:numPr>
          <w:ilvl w:val="1"/>
          <w:numId w:val="3"/>
        </w:numPr>
        <w:rPr/>
      </w:pPr>
      <w:bookmarkStart w:id="4" w:name="_Toc46743506"/>
      <w:bookmarkStart w:id="5" w:name="_Toc75446568"/>
      <w:r>
        <w:rPr/>
        <w:t>Наименование закупаемой продукции</w:t>
      </w:r>
      <w:bookmarkEnd w:id="4"/>
      <w:bookmarkEnd w:id="5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/>
      </w:pPr>
      <w:r>
        <w:rPr>
          <w:rFonts w:eastAsia="Calibri"/>
          <w:sz w:val="24"/>
          <w:szCs w:val="24"/>
          <w:lang w:eastAsia="x-none"/>
        </w:rPr>
        <w:t>«ОКПД2 08.12.13.000. Поставка  отсева для нужд Саяно-Шушенского филиала АО «ТК РусГидро"».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Fonts w:eastAsia="Calibri"/>
          <w:b/>
          <w:bCs/>
          <w:sz w:val="24"/>
          <w:szCs w:val="24"/>
          <w:lang w:val="x-none" w:eastAsia="x-none"/>
        </w:rPr>
      </w:pPr>
      <w:r>
        <w:rPr>
          <w:rFonts w:eastAsia="Calibri"/>
          <w:b/>
          <w:bCs/>
          <w:sz w:val="24"/>
          <w:szCs w:val="24"/>
          <w:lang w:val="x-none" w:eastAsia="x-none"/>
        </w:rPr>
        <w:t>1.3.</w:t>
      </w:r>
      <w:bookmarkStart w:id="6" w:name="_Toc75446569"/>
      <w:bookmarkStart w:id="7" w:name="_Toc46743507"/>
      <w:r>
        <w:rPr>
          <w:rFonts w:eastAsia="Calibri"/>
          <w:b/>
          <w:bCs/>
          <w:sz w:val="24"/>
          <w:szCs w:val="24"/>
          <w:lang w:val="x-none" w:eastAsia="x-none"/>
        </w:rPr>
        <w:t xml:space="preserve">Цель </w:t>
      </w:r>
      <w:bookmarkEnd w:id="7"/>
      <w:r>
        <w:rPr>
          <w:rFonts w:eastAsia="Calibri"/>
          <w:b/>
          <w:bCs/>
          <w:sz w:val="24"/>
          <w:szCs w:val="24"/>
          <w:lang w:val="x-none" w:eastAsia="x-none"/>
        </w:rPr>
        <w:t>использования закупаемой продукции</w:t>
      </w:r>
      <w:bookmarkEnd w:id="6"/>
      <w:r>
        <w:rPr>
          <w:rFonts w:eastAsia="Calibri"/>
          <w:b/>
          <w:bCs/>
          <w:sz w:val="24"/>
          <w:szCs w:val="24"/>
          <w:lang w:val="x-none" w:eastAsia="x-none"/>
        </w:rPr>
        <w:t>.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ind w:left="284" w:firstLine="284"/>
        <w:jc w:val="both"/>
        <w:rPr/>
      </w:pPr>
      <w:r>
        <w:rPr>
          <w:rStyle w:val="Style8"/>
          <w:b w:val="false"/>
          <w:bCs/>
          <w:i w:val="false"/>
          <w:sz w:val="24"/>
          <w:szCs w:val="24"/>
          <w:shd w:fill="auto" w:val="clear"/>
        </w:rPr>
        <w:t xml:space="preserve">Бесперебойное обеспечение Транспортной группы Саяно-Шушенского филиала АО «ТК РусГидро» инертными  материалами, необходимыми для качественного выполнения работ по ремонту и  содержанию автомобильных дорог, исполнения обязательств доходного договора по техническому обслуживанию </w:t>
      </w:r>
      <w:r>
        <w:rPr>
          <w:rStyle w:val="Style8"/>
          <w:b w:val="false"/>
          <w:bCs/>
          <w:i w:val="false"/>
          <w:color w:val="000000"/>
          <w:sz w:val="24"/>
          <w:szCs w:val="24"/>
          <w:shd w:fill="auto" w:val="clear"/>
        </w:rPr>
        <w:t>объектов автодорожного, железнодорожного хозяйства и прибрежной полосы СШГЭК № 1310-365-2024/258-11-3 от 27.06.2024г.,</w:t>
      </w:r>
      <w:r>
        <w:rPr>
          <w:rStyle w:val="Style8"/>
          <w:b w:val="false"/>
          <w:bCs/>
          <w:i w:val="false"/>
          <w:sz w:val="24"/>
          <w:szCs w:val="24"/>
          <w:shd w:fill="auto" w:val="clear"/>
        </w:rPr>
        <w:t xml:space="preserve"> заключенного с Филиалом ПАО «РусГидро» Саяно-Шушенская ГЭС им. П.С. Непорожнего.</w:t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/>
      </w:pPr>
      <w:bookmarkStart w:id="8" w:name="_Toc51339693"/>
      <w:bookmarkStart w:id="9" w:name="_Toc75446573"/>
      <w:bookmarkStart w:id="10" w:name="_Toc50125126"/>
      <w:bookmarkStart w:id="11" w:name="_Hlk48209761"/>
      <w:bookmarkStart w:id="12" w:name="_Toc46743510"/>
      <w:bookmarkEnd w:id="10"/>
      <w:bookmarkEnd w:id="11"/>
      <w:bookmarkEnd w:id="12"/>
      <w:r>
        <w:rPr>
          <w:iCs/>
        </w:rPr>
        <w:t>Требования к продукции</w:t>
      </w:r>
      <w:bookmarkEnd w:id="8"/>
      <w:bookmarkEnd w:id="9"/>
    </w:p>
    <w:p>
      <w:pPr>
        <w:pStyle w:val="Heading4"/>
        <w:numPr>
          <w:ilvl w:val="1"/>
          <w:numId w:val="3"/>
        </w:numPr>
        <w:rPr/>
      </w:pPr>
      <w:bookmarkStart w:id="13" w:name="_Toc75446574"/>
      <w:r>
        <w:rPr/>
        <w:t xml:space="preserve">Требования к объемам и срокам </w:t>
      </w:r>
      <w:r>
        <w:rPr>
          <w:lang w:val="ru-RU"/>
        </w:rPr>
        <w:t>поставки</w:t>
      </w:r>
      <w:bookmarkEnd w:id="13"/>
    </w:p>
    <w:p>
      <w:pPr>
        <w:pStyle w:val="Heading3"/>
        <w:numPr>
          <w:ilvl w:val="2"/>
          <w:numId w:val="3"/>
        </w:numPr>
        <w:rPr>
          <w:lang w:val="ru-RU"/>
        </w:rPr>
      </w:pPr>
      <w:bookmarkStart w:id="14" w:name="_Toc75446575"/>
      <w:r>
        <w:rPr>
          <w:lang w:val="ru-RU"/>
        </w:rPr>
        <w:t>Перечень и объем закупаемой продукции</w:t>
      </w:r>
      <w:bookmarkEnd w:id="14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/>
      </w:pPr>
      <w:bookmarkStart w:id="15" w:name="_Toc75446576"/>
      <w:bookmarkStart w:id="16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1.1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6"/>
      <w:r>
        <w:rPr>
          <w:sz w:val="24"/>
          <w:szCs w:val="24"/>
          <w:lang w:val="ru-RU"/>
        </w:rPr>
        <w:t>и объем закупаемой продукции</w:t>
      </w:r>
      <w:bookmarkEnd w:id="15"/>
    </w:p>
    <w:tbl>
      <w:tblPr>
        <w:tblW w:w="981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40"/>
        <w:gridCol w:w="6136"/>
        <w:gridCol w:w="1424"/>
        <w:gridCol w:w="1411"/>
      </w:tblGrid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  <w:lang w:eastAsia="x-none"/>
              </w:rPr>
              <w:t xml:space="preserve">ОКПД2 08.12.13.000. Поставка отсева для нужд Саяно-Шушенского филиала АО «ТК РусГидро" </w:t>
            </w:r>
            <w:r>
              <w:rPr>
                <w:rFonts w:eastAsia="Calibri"/>
                <w:sz w:val="24"/>
                <w:szCs w:val="24"/>
                <w:shd w:fill="auto" w:val="clear"/>
              </w:rPr>
              <w:t xml:space="preserve">фракцией 0-5мм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куб. метр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</w:tr>
      <w:tr>
        <w:trPr/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  <w:lang w:eastAsia="x-none"/>
              </w:rPr>
              <w:t xml:space="preserve">ОКПД2 08.12.13.000. Поставка отсева для нужд Саяно-Шушенского филиала АО «ТК РусГидро" </w:t>
            </w:r>
            <w:r>
              <w:rPr>
                <w:rFonts w:eastAsia="Calibri"/>
                <w:sz w:val="24"/>
                <w:szCs w:val="24"/>
                <w:shd w:fill="auto" w:val="clear"/>
              </w:rPr>
              <w:t>фракцией 5-15мм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куб. метр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</w:tbl>
    <w:p>
      <w:pPr>
        <w:pStyle w:val="Heading3"/>
        <w:numPr>
          <w:ilvl w:val="2"/>
          <w:numId w:val="3"/>
        </w:numPr>
        <w:rPr/>
      </w:pPr>
      <w:bookmarkStart w:id="17" w:name="_Toc75446578"/>
      <w:bookmarkStart w:id="18" w:name="_Toc51339696"/>
      <w:r>
        <w:rPr>
          <w:lang w:val="ru-RU"/>
        </w:rPr>
        <w:t xml:space="preserve">Требования </w:t>
      </w:r>
      <w:bookmarkEnd w:id="18"/>
      <w:r>
        <w:rPr>
          <w:lang w:val="ru-RU"/>
        </w:rPr>
        <w:t>к срокам поставки продукции и оказания сопутствующих услуг</w:t>
      </w:r>
      <w:bookmarkEnd w:id="17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/>
      </w:pPr>
      <w:bookmarkStart w:id="19" w:name="_Toc75446579"/>
      <w:bookmarkStart w:id="20" w:name="_Toc50125127"/>
      <w:bookmarkStart w:id="21" w:name="_Toc51339697"/>
      <w:bookmarkStart w:id="22" w:name="_Toc501251261"/>
      <w:bookmarkEnd w:id="22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1.2</w:t>
      </w:r>
      <w:r>
        <w:rPr>
          <w:sz w:val="24"/>
          <w:szCs w:val="24"/>
        </w:rPr>
        <w:t xml:space="preserve"> </w:t>
      </w:r>
      <w:bookmarkStart w:id="23" w:name="_Hlk50465284"/>
      <w:r>
        <w:rPr>
          <w:sz w:val="24"/>
          <w:szCs w:val="24"/>
        </w:rPr>
        <w:t xml:space="preserve">Требования по срокам </w:t>
      </w:r>
      <w:bookmarkEnd w:id="20"/>
      <w:bookmarkEnd w:id="21"/>
      <w:bookmarkEnd w:id="23"/>
      <w:r>
        <w:rPr>
          <w:sz w:val="24"/>
          <w:szCs w:val="24"/>
          <w:lang w:val="ru-RU"/>
        </w:rPr>
        <w:t>поставки продукции</w:t>
      </w:r>
      <w:bookmarkEnd w:id="19"/>
      <w:r>
        <w:rPr>
          <w:sz w:val="24"/>
          <w:szCs w:val="24"/>
          <w:lang w:val="ru-RU"/>
        </w:rPr>
        <w:t xml:space="preserve"> </w:t>
      </w:r>
    </w:p>
    <w:tbl>
      <w:tblPr>
        <w:tblW w:w="977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674"/>
        <w:gridCol w:w="3005"/>
        <w:gridCol w:w="2980"/>
        <w:gridCol w:w="3116"/>
      </w:tblGrid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Наименование продукции / партии продукции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Требования к началу срока поставки продукции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rPr/>
            </w:pPr>
            <w:r>
              <w:rPr/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  <w:lang w:eastAsia="x-none"/>
              </w:rPr>
              <w:t>ОКПД2 08.12.13.000. Поставка отсева для нужд Саяно-Шушенского филиала АО «ТК РусГидро"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С момента заключения договора, но не ранее 01.01.202</w:t>
            </w:r>
            <w:r>
              <w:rPr>
                <w:sz w:val="24"/>
                <w:szCs w:val="24"/>
                <w:shd w:fill="auto" w:val="clear"/>
              </w:rPr>
              <w:t>7</w:t>
            </w:r>
            <w:r>
              <w:rPr>
                <w:sz w:val="24"/>
                <w:szCs w:val="24"/>
                <w:shd w:fill="auto" w:val="clear"/>
              </w:rPr>
              <w:t>г.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31.12.202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г.</w:t>
            </w:r>
          </w:p>
        </w:tc>
      </w:tr>
    </w:tbl>
    <w:p>
      <w:pPr>
        <w:sectPr>
          <w:headerReference w:type="default" r:id="rId2"/>
          <w:headerReference w:type="first" r:id="rId3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rPr/>
      </w:pPr>
      <w:bookmarkStart w:id="24" w:name="_Toc51339698"/>
      <w:bookmarkStart w:id="25" w:name="_Toc75446581"/>
      <w:bookmarkStart w:id="26" w:name="_Toc46743511"/>
      <w:r>
        <w:rPr/>
        <w:t xml:space="preserve">Требования к </w:t>
      </w:r>
      <w:bookmarkEnd w:id="26"/>
      <w:r>
        <w:rPr>
          <w:lang w:val="ru-RU"/>
        </w:rPr>
        <w:t>качеству продукции</w:t>
      </w:r>
      <w:bookmarkEnd w:id="25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/>
      </w:pPr>
      <w:r>
        <w:rPr>
          <w:sz w:val="24"/>
          <w:szCs w:val="24"/>
        </w:rPr>
        <w:t xml:space="preserve"> </w:t>
      </w:r>
      <w:bookmarkStart w:id="27" w:name="_Toc75446582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продукции</w:t>
      </w:r>
      <w:bookmarkEnd w:id="27"/>
      <w:r>
        <w:rPr>
          <w:sz w:val="24"/>
          <w:szCs w:val="24"/>
        </w:rPr>
        <w:t xml:space="preserve"> </w:t>
      </w:r>
      <w:bookmarkEnd w:id="24"/>
    </w:p>
    <w:p>
      <w:pPr>
        <w:pStyle w:val="ListParagraph"/>
        <w:numPr>
          <w:ilvl w:val="0"/>
          <w:numId w:val="13"/>
        </w:numPr>
        <w:ind w:left="1146" w:right="140" w:hanging="360"/>
        <w:jc w:val="both"/>
        <w:rPr>
          <w:vanish/>
        </w:rPr>
      </w:pPr>
      <w:r>
        <w:rPr>
          <w:vanish/>
        </w:rPr>
      </w:r>
    </w:p>
    <w:p>
      <w:pPr>
        <w:pStyle w:val="ListParagraph"/>
        <w:numPr>
          <w:ilvl w:val="0"/>
          <w:numId w:val="14"/>
        </w:numPr>
        <w:ind w:left="1146" w:right="140" w:hanging="360"/>
        <w:jc w:val="both"/>
        <w:rPr>
          <w:vanish/>
        </w:rPr>
      </w:pPr>
      <w:r>
        <w:rPr>
          <w:vanish/>
        </w:rPr>
      </w:r>
    </w:p>
    <w:p>
      <w:pPr>
        <w:pStyle w:val="ListParagraph"/>
        <w:numPr>
          <w:ilvl w:val="0"/>
          <w:numId w:val="15"/>
        </w:numPr>
        <w:ind w:left="1146" w:right="140" w:hanging="360"/>
        <w:jc w:val="both"/>
        <w:rPr>
          <w:vanish/>
        </w:rPr>
      </w:pPr>
      <w:r>
        <w:rPr>
          <w:vanish/>
        </w:rPr>
      </w:r>
    </w:p>
    <w:p>
      <w:pPr>
        <w:pStyle w:val="Normal"/>
        <w:jc w:val="both"/>
        <w:rPr>
          <w:lang w:val="x-none" w:eastAsia="x-none"/>
        </w:rPr>
      </w:pPr>
      <w:r>
        <w:rPr>
          <w:b/>
          <w:bCs/>
          <w:i/>
          <w:iCs/>
          <w:sz w:val="24"/>
          <w:szCs w:val="24"/>
        </w:rPr>
        <w:t>Наименование продукции (позици</w:t>
      </w:r>
      <w:r>
        <w:rPr>
          <w:b/>
          <w:bCs/>
          <w:i/>
          <w:iCs/>
          <w:sz w:val="24"/>
          <w:szCs w:val="24"/>
          <w:shd w:fill="auto" w:val="clear"/>
        </w:rPr>
        <w:t xml:space="preserve">я № </w:t>
      </w:r>
      <w:r>
        <w:rPr>
          <w:rStyle w:val="Style8"/>
          <w:b w:val="false"/>
          <w:sz w:val="24"/>
          <w:shd w:fill="auto" w:val="clear"/>
        </w:rPr>
        <w:t xml:space="preserve">1, 2 </w:t>
      </w:r>
      <w:r>
        <w:rPr>
          <w:b/>
          <w:bCs/>
          <w:i/>
          <w:iCs/>
          <w:sz w:val="24"/>
          <w:szCs w:val="24"/>
          <w:shd w:fill="auto" w:val="clear"/>
        </w:rPr>
        <w:t xml:space="preserve">Таблицы 1.1): </w:t>
      </w:r>
      <w:r>
        <w:rPr>
          <w:rFonts w:eastAsia="Calibri"/>
          <w:sz w:val="24"/>
          <w:szCs w:val="24"/>
          <w:shd w:fill="auto" w:val="clear"/>
          <w:lang w:eastAsia="x-none"/>
        </w:rPr>
        <w:t>ОКПД2 08.12.13.000. Поставка  отсева для нужд Саяно-Шушенского филиала АО «ТК РусГидро"</w:t>
      </w:r>
      <w:r>
        <w:rPr>
          <w:rStyle w:val="Style8"/>
          <w:b w:val="false"/>
          <w:iCs/>
          <w:sz w:val="24"/>
          <w:szCs w:val="24"/>
          <w:shd w:fill="auto" w:val="clear"/>
        </w:rPr>
        <w:t xml:space="preserve">. </w:t>
      </w:r>
    </w:p>
    <w:tbl>
      <w:tblPr>
        <w:tblW w:w="1657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52"/>
        <w:gridCol w:w="1810"/>
        <w:gridCol w:w="2987"/>
        <w:gridCol w:w="2992"/>
        <w:gridCol w:w="3261"/>
        <w:gridCol w:w="3406"/>
        <w:gridCol w:w="1268"/>
      </w:tblGrid>
      <w:tr>
        <w:trPr/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2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3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lang w:val="x-none" w:eastAsia="x-none"/>
              </w:rPr>
            </w:pPr>
            <w:r>
              <w:rPr>
                <w:lang w:val="x-none" w:eastAsia="x-none"/>
              </w:rPr>
            </w:r>
          </w:p>
        </w:tc>
        <w:tc>
          <w:tcPr>
            <w:tcW w:w="18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lang w:val="x-none" w:eastAsia="x-none"/>
              </w:rPr>
            </w:pPr>
            <w:r>
              <w:rPr>
                <w:lang w:val="x-none" w:eastAsia="x-none"/>
              </w:rPr>
            </w:r>
          </w:p>
        </w:tc>
        <w:tc>
          <w:tcPr>
            <w:tcW w:w="29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lang w:val="x-none" w:eastAsia="x-none"/>
              </w:rPr>
            </w:pPr>
            <w:r>
              <w:rPr>
                <w:lang w:val="x-none" w:eastAsia="x-none"/>
              </w:rPr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34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lang w:val="x-none" w:eastAsia="x-none"/>
              </w:rPr>
            </w:pPr>
            <w:r>
              <w:rPr>
                <w:lang w:val="x-none" w:eastAsia="x-none"/>
              </w:rPr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before="60" w:after="60"/>
              <w:contextualSpacing/>
              <w:jc w:val="center"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FF0000"/>
              </w:rPr>
            </w:pPr>
            <w:r>
              <w:rPr>
                <w:rFonts w:eastAsia="Times New Roman"/>
              </w:rPr>
              <w:t>Отсев дробления - фракция (0-5мм и 5-15мм) – согласно ГОСТ 31424-2010,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</w:rPr>
              <w:t>Влажность не более 3% в соответствии с Рекомендациями «Руководства по обогащению отсевов дробления и разнопрочных каменных материалов - Москва 1992»;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before="60" w:after="60"/>
              <w:contextualSpacing/>
              <w:jc w:val="center"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before="0" w:after="0"/>
              <w:ind w:left="57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товара осуществляется путем передачи товара заказчику со склада поставщика, расположенного в радиусе не более 50км от пгт. Черемушки, г. Саяногорск, Республика Хакасия. Погрузка продукции осуществляется силами Исполнителя в транспорт Заказчика насыпью методом «навала», без предварительного упаковывания и пакетирования.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before="60" w:after="60"/>
              <w:contextualSpacing/>
              <w:jc w:val="center"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обязательствам Поставщика, влияющим на исполнение договора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партии продукции осуществляется по заявке заказчика в течение 10 (десяти) календарных дней с момента поступления заявки.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4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before="60" w:after="60"/>
              <w:contextualSpacing/>
              <w:rPr/>
            </w:pPr>
            <w:r>
              <w:rPr/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-//-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26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4.1.</w:t>
            </w:r>
          </w:p>
        </w:tc>
        <w:tc>
          <w:tcPr>
            <w:tcW w:w="4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  <w:lang w:eastAsia="en-US"/>
              </w:rPr>
              <w:t xml:space="preserve">Поставщик обязан одновременно с передачей Продукции </w:t>
            </w:r>
            <w:r>
              <w:rPr>
                <w:sz w:val="24"/>
                <w:szCs w:val="24"/>
                <w:shd w:fill="auto" w:val="clear"/>
              </w:rPr>
              <w:t>(п.1, п.2 Таблицы №1 ТТ)</w:t>
            </w:r>
            <w:r>
              <w:rPr>
                <w:rFonts w:eastAsia="Calibri"/>
                <w:sz w:val="24"/>
                <w:szCs w:val="24"/>
                <w:shd w:fill="auto" w:val="clear"/>
                <w:lang w:eastAsia="en-US"/>
              </w:rPr>
              <w:t xml:space="preserve"> передать Заказчику относящиеся к ней документы, оформленные надлежащим об</w:t>
            </w:r>
            <w:r>
              <w:rPr>
                <w:sz w:val="24"/>
                <w:szCs w:val="24"/>
                <w:shd w:fill="auto" w:val="clear"/>
              </w:rPr>
              <w:t>разом: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Согласие с требованием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Паспорт качества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68" w:type="dxa"/>
            <w:tcBorders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sectPr>
          <w:headerReference w:type="default" r:id="rId4"/>
          <w:headerReference w:type="first" r:id="rId5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/>
      </w:pPr>
      <w:bookmarkStart w:id="28" w:name="_Toc75446583"/>
      <w:bookmarkStart w:id="29" w:name="_Toc53393312"/>
      <w:bookmarkStart w:id="30" w:name="_Toc51339699"/>
      <w:bookmarkStart w:id="31" w:name="_Toc46743519"/>
      <w:bookmarkEnd w:id="30"/>
      <w:bookmarkEnd w:id="31"/>
      <w:r>
        <w:rPr>
          <w:lang w:val="ru-RU"/>
        </w:rPr>
        <w:t>Требования к документации по ценообразованию</w:t>
      </w:r>
      <w:bookmarkEnd w:id="29"/>
      <w:r>
        <w:rPr>
          <w:lang w:val="ru-RU"/>
        </w:rPr>
        <w:t xml:space="preserve"> на этапе закупки</w:t>
      </w:r>
      <w:bookmarkEnd w:id="28"/>
    </w:p>
    <w:p>
      <w:pPr>
        <w:pStyle w:val="NoSpacing"/>
        <w:jc w:val="both"/>
        <w:rPr/>
      </w:pPr>
      <w:r>
        <w:rPr/>
        <w:t>3.1. 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 (с указанием понижающего коэффициента).</w:t>
      </w:r>
    </w:p>
    <w:p>
      <w:pPr>
        <w:pStyle w:val="NoSpacing"/>
        <w:jc w:val="both"/>
        <w:rPr/>
      </w:pPr>
      <w:r>
        <w:rPr/>
        <w:t>3.2.    Дополнительные документы по ценообразованию (сметная документация) в состав заявки Участника не включаются»</w:t>
      </w:r>
    </w:p>
    <w:p>
      <w:pPr>
        <w:pStyle w:val="NoSpacing"/>
        <w:jc w:val="both"/>
        <w:rPr>
          <w:b/>
          <w:i/>
          <w:i/>
        </w:rPr>
      </w:pPr>
      <w:r>
        <w:rPr>
          <w:b/>
          <w:i/>
        </w:rPr>
      </w:r>
    </w:p>
    <w:p>
      <w:pPr>
        <w:pStyle w:val="NoSpacing"/>
        <w:jc w:val="both"/>
        <w:rPr>
          <w:b/>
          <w:i/>
          <w:i/>
        </w:rPr>
      </w:pPr>
      <w:r>
        <w:rPr>
          <w:b/>
          <w:i/>
        </w:rPr>
      </w:r>
    </w:p>
    <w:p>
      <w:pPr>
        <w:pStyle w:val="NoSpacing"/>
        <w:spacing w:lineRule="auto" w:line="240"/>
        <w:jc w:val="both"/>
        <w:rPr>
          <w:b/>
          <w:i/>
          <w:i/>
        </w:rPr>
      </w:pPr>
      <w:r>
        <w:rPr/>
        <w:t>Куратор договора</w:t>
      </w:r>
    </w:p>
    <w:p>
      <w:pPr>
        <w:pStyle w:val="NoSpacing"/>
        <w:spacing w:lineRule="auto" w:line="240"/>
        <w:jc w:val="both"/>
        <w:rPr>
          <w:b/>
          <w:i/>
          <w:i/>
        </w:rPr>
      </w:pPr>
      <w:r>
        <w:rPr/>
        <w:t>Начальник</w:t>
      </w:r>
      <w:r>
        <w:rPr/>
        <w:t xml:space="preserve"> СШТУ</w:t>
      </w:r>
    </w:p>
    <w:p>
      <w:pPr>
        <w:pStyle w:val="NoSpacing"/>
        <w:spacing w:lineRule="auto" w:line="240"/>
        <w:jc w:val="both"/>
        <w:rPr>
          <w:b/>
          <w:i/>
          <w:i/>
        </w:rPr>
      </w:pPr>
      <w:r>
        <w:rPr/>
        <w:t>Сулеков А.А.                        ________________</w:t>
      </w:r>
    </w:p>
    <w:p>
      <w:pPr>
        <w:pStyle w:val="NoSpacing"/>
        <w:jc w:val="both"/>
        <w:rPr>
          <w:b/>
          <w:i/>
          <w:i/>
        </w:rPr>
      </w:pPr>
      <w:r>
        <w:rPr>
          <w:b/>
          <w:i/>
        </w:rPr>
      </w:r>
    </w:p>
    <w:p>
      <w:pPr>
        <w:pStyle w:val="NoSpacing"/>
        <w:spacing w:lineRule="auto" w:line="240"/>
        <w:jc w:val="both"/>
        <w:rPr/>
      </w:pPr>
      <w:r>
        <w:rPr/>
        <w:t>Технический куратор договора</w:t>
      </w:r>
    </w:p>
    <w:p>
      <w:pPr>
        <w:pStyle w:val="NoSpacing"/>
        <w:spacing w:lineRule="auto" w:line="240"/>
        <w:jc w:val="both"/>
        <w:rPr/>
      </w:pPr>
      <w:r>
        <w:rPr/>
        <w:t>Руководитель ГКЭОиРТС</w:t>
      </w:r>
    </w:p>
    <w:p>
      <w:pPr>
        <w:pStyle w:val="NoSpacing"/>
        <w:widowControl w:val="false"/>
        <w:tabs>
          <w:tab w:val="clear" w:pos="708"/>
          <w:tab w:val="left" w:pos="426" w:leader="none"/>
        </w:tabs>
        <w:spacing w:lineRule="auto" w:line="240" w:before="60" w:after="0"/>
        <w:jc w:val="both"/>
        <w:rPr>
          <w:iCs/>
        </w:rPr>
      </w:pPr>
      <w:bookmarkStart w:id="32" w:name="_Toc467435191"/>
      <w:bookmarkStart w:id="33" w:name="_Toc513396991"/>
      <w:r>
        <w:rPr>
          <w:rStyle w:val="Style8"/>
          <w:b w:val="false"/>
          <w:bCs/>
          <w:i w:val="false"/>
          <w:shd w:fill="auto" w:val="clear"/>
        </w:rPr>
        <w:t>Лихошапко В.В.                  _________________</w:t>
      </w:r>
      <w:bookmarkEnd w:id="32"/>
      <w:bookmarkEnd w:id="33"/>
    </w:p>
    <w:p>
      <w:pPr>
        <w:pStyle w:val="Normal"/>
        <w:rPr>
          <w:rStyle w:val="Style8"/>
          <w:b w:val="false"/>
          <w:bCs/>
          <w:iCs/>
          <w:caps/>
          <w:sz w:val="24"/>
          <w:szCs w:val="24"/>
        </w:rPr>
      </w:pPr>
      <w:r>
        <w:rPr/>
      </w:r>
    </w:p>
    <w:sectPr>
      <w:headerReference w:type="default" r:id="rId6"/>
      <w:headerReference w:type="first" r:id="rId7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4.%1."/>
      <w:lvlJc w:val="left"/>
      <w:pPr>
        <w:tabs>
          <w:tab w:val="num" w:pos="0"/>
        </w:tabs>
        <w:ind w:left="1146" w:hanging="360"/>
      </w:pPr>
      <w:rPr>
        <w:i w:val="false"/>
        <w:b w:val="false"/>
      </w:rPr>
    </w:lvl>
    <w:lvl w:ilvl="1">
      <w:start w:val="1"/>
      <w:numFmt w:val="decimal"/>
      <w:suff w:val="space"/>
      <w:lvlText w:val="4.%2."/>
      <w:lvlJc w:val="left"/>
      <w:pPr>
        <w:tabs>
          <w:tab w:val="num" w:pos="0"/>
        </w:tabs>
        <w:ind w:left="1866" w:hanging="360"/>
      </w:pPr>
      <w:rPr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10">
    <w:lvl w:ilvl="0">
      <w:start w:val="1"/>
      <w:numFmt w:val="decimal"/>
      <w:lvlText w:val="4.%1."/>
      <w:lvlJc w:val="left"/>
      <w:pPr>
        <w:tabs>
          <w:tab w:val="num" w:pos="0"/>
        </w:tabs>
        <w:ind w:left="1146" w:hanging="360"/>
      </w:pPr>
      <w:rPr>
        <w:i w:val="false"/>
        <w:b w:val="false"/>
      </w:rPr>
    </w:lvl>
    <w:lvl w:ilvl="1">
      <w:start w:val="1"/>
      <w:numFmt w:val="decimal"/>
      <w:suff w:val="space"/>
      <w:lvlText w:val="4.%2."/>
      <w:lvlJc w:val="left"/>
      <w:pPr>
        <w:tabs>
          <w:tab w:val="num" w:pos="0"/>
        </w:tabs>
        <w:ind w:left="1866" w:hanging="360"/>
      </w:pPr>
      <w:rPr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11">
    <w:lvl w:ilvl="0">
      <w:start w:val="1"/>
      <w:numFmt w:val="decimal"/>
      <w:lvlText w:val="4.%1."/>
      <w:lvlJc w:val="left"/>
      <w:pPr>
        <w:tabs>
          <w:tab w:val="num" w:pos="0"/>
        </w:tabs>
        <w:ind w:left="1146" w:hanging="360"/>
      </w:pPr>
      <w:rPr>
        <w:i w:val="false"/>
        <w:b w:val="false"/>
      </w:rPr>
    </w:lvl>
    <w:lvl w:ilvl="1">
      <w:start w:val="1"/>
      <w:numFmt w:val="decimal"/>
      <w:suff w:val="space"/>
      <w:lvlText w:val="4.%2."/>
      <w:lvlJc w:val="left"/>
      <w:pPr>
        <w:tabs>
          <w:tab w:val="num" w:pos="0"/>
        </w:tabs>
        <w:ind w:left="1866" w:hanging="360"/>
      </w:pPr>
      <w:rPr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9"/>
    <w:lvlOverride w:ilvl="0">
      <w:startOverride w:val="1"/>
    </w:lvlOverride>
  </w:num>
  <w:num w:numId="14">
    <w:abstractNumId w:val="9"/>
  </w:num>
  <w:num w:numId="15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uiPriority w:val="9"/>
    <w:qFormat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uiPriority w:val="9"/>
    <w:unhideWhenUsed/>
    <w:qFormat/>
    <w:pPr>
      <w:outlineLvl w:val="1"/>
    </w:pPr>
    <w:rPr/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tabs>
        <w:tab w:val="clear" w:pos="708"/>
        <w:tab w:val="left" w:pos="0" w:leader="none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uiPriority w:val="9"/>
    <w:unhideWhenUsed/>
    <w:qFormat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qFormat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qFormat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qFormat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color w:val="0000FF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 w:customStyle="1">
    <w:name w:val="Заголовок 6 Знак"/>
    <w:qFormat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qFormat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qFormat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uiPriority w:val="9"/>
    <w:semiHidden/>
    <w:qFormat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uiPriority w:val="9"/>
    <w:semiHidden/>
    <w:qFormat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qFormat/>
    <w:rPr>
      <w:b/>
      <w:bCs/>
      <w:i/>
      <w:iCs/>
      <w:sz w:val="26"/>
      <w:szCs w:val="26"/>
    </w:rPr>
  </w:style>
  <w:style w:type="character" w:styleId="9" w:customStyle="1">
    <w:name w:val="Заголовок 9 Знак"/>
    <w:qFormat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qFormat/>
    <w:rPr>
      <w:sz w:val="28"/>
    </w:rPr>
  </w:style>
  <w:style w:type="character" w:styleId="Style2" w:customStyle="1">
    <w:name w:val="Подзаголовок Знак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21" w:customStyle="1">
    <w:name w:val="Цитата 2 Знак"/>
    <w:link w:val="Quote"/>
    <w:qFormat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qFormat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qFormat/>
    <w:rPr>
      <w:rFonts w:eastAsia="Calibri"/>
      <w:sz w:val="24"/>
      <w:szCs w:val="24"/>
    </w:rPr>
  </w:style>
  <w:style w:type="character" w:styleId="11" w:customStyle="1">
    <w:name w:val="Подпункт Знак1"/>
    <w:link w:val="Style22"/>
    <w:qFormat/>
    <w:rPr>
      <w:sz w:val="28"/>
    </w:rPr>
  </w:style>
  <w:style w:type="character" w:styleId="Style5" w:customStyle="1">
    <w:name w:val="Текст сноски Знак"/>
    <w:qFormat/>
    <w:rPr/>
  </w:style>
  <w:style w:type="character" w:styleId="Style6" w:customStyle="1">
    <w:name w:val="Основной текст Знак"/>
    <w:qFormat/>
    <w:rPr>
      <w:sz w:val="28"/>
      <w:szCs w:val="28"/>
    </w:rPr>
  </w:style>
  <w:style w:type="character" w:styleId="Blk" w:customStyle="1">
    <w:name w:val="blk"/>
    <w:qFormat/>
    <w:rPr/>
  </w:style>
  <w:style w:type="character" w:styleId="Style7" w:customStyle="1">
    <w:name w:val="Абзац списка Знак"/>
    <w:link w:val="ListParagraph"/>
    <w:qFormat/>
    <w:rPr>
      <w:rFonts w:eastAsia="Calibri"/>
      <w:sz w:val="24"/>
      <w:szCs w:val="24"/>
    </w:rPr>
  </w:style>
  <w:style w:type="character" w:styleId="Style8" w:customStyle="1">
    <w:name w:val="комментарий"/>
    <w:qFormat/>
    <w:rPr>
      <w:b/>
      <w:i/>
      <w:shd w:fill="FFFF99" w:val="clear"/>
    </w:rPr>
  </w:style>
  <w:style w:type="character" w:styleId="Style9" w:customStyle="1">
    <w:name w:val="Подподпункт Знак"/>
    <w:link w:val="Style30"/>
    <w:qFormat/>
    <w:rPr>
      <w:sz w:val="26"/>
      <w:szCs w:val="26"/>
    </w:rPr>
  </w:style>
  <w:style w:type="character" w:styleId="31" w:customStyle="1">
    <w:name w:val="УРОВЕНЬ_Абзац_тип3 Знак"/>
    <w:link w:val="36"/>
    <w:qFormat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qFormat/>
    <w:rPr>
      <w:sz w:val="24"/>
      <w:szCs w:val="24"/>
    </w:rPr>
  </w:style>
  <w:style w:type="character" w:styleId="Style11" w:customStyle="1">
    <w:name w:val="Текст примечания Знак"/>
    <w:link w:val="Annotationtext"/>
    <w:qFormat/>
    <w:rPr/>
  </w:style>
  <w:style w:type="character" w:styleId="Style12" w:customStyle="1">
    <w:name w:val="Текст концевой сноски Знак"/>
    <w:basedOn w:val="DefaultParagraphFont"/>
    <w:qFormat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basedOn w:val="DefaultParagraphFont"/>
    <w:qFormat/>
    <w:rPr>
      <w:vertAlign w:val="superscript"/>
    </w:rPr>
  </w:style>
  <w:style w:type="character" w:styleId="22" w:customStyle="1">
    <w:name w:val="Пункт2 Знак"/>
    <w:link w:val="24"/>
    <w:qFormat/>
    <w:rPr>
      <w:b/>
      <w:sz w:val="28"/>
    </w:rPr>
  </w:style>
  <w:style w:type="character" w:styleId="12" w:customStyle="1">
    <w:name w:val="УРОВЕНЬ_1. Знак"/>
    <w:link w:val="19"/>
    <w:qFormat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qFormat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Pr>
      <w:sz w:val="16"/>
      <w:szCs w:val="16"/>
    </w:rPr>
  </w:style>
  <w:style w:type="character" w:styleId="Style14" w:customStyle="1">
    <w:name w:val="Ссылка указателя"/>
    <w:qFormat/>
    <w:rPr/>
  </w:style>
  <w:style w:type="character" w:styleId="Style15" w:customStyle="1">
    <w:name w:val="Символ нумерации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Style18" w:customStyle="1">
    <w:name w:val="Название раздела инструкции"/>
    <w:basedOn w:val="Normal"/>
    <w:autoRedefine/>
    <w:qFormat/>
    <w:pPr>
      <w:jc w:val="center"/>
    </w:pPr>
    <w:rPr>
      <w:b/>
    </w:rPr>
  </w:style>
  <w:style w:type="paragraph" w:styleId="Style19" w:customStyle="1">
    <w:name w:val="Раздел положения"/>
    <w:basedOn w:val="Normal"/>
    <w:autoRedefine/>
    <w:qFormat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autoRedefine/>
    <w:qFormat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pPr/>
    <w:rPr>
      <w:sz w:val="20"/>
      <w:szCs w:val="20"/>
    </w:rPr>
  </w:style>
  <w:style w:type="paragraph" w:styleId="14" w:customStyle="1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qFormat/>
    <w:pPr>
      <w:jc w:val="center"/>
    </w:pPr>
    <w:rPr>
      <w:szCs w:val="20"/>
      <w:lang w:val="x-none" w:eastAsia="x-none"/>
    </w:rPr>
  </w:style>
  <w:style w:type="paragraph" w:styleId="Style21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pPr>
      <w:ind w:left="360" w:hanging="0"/>
    </w:pPr>
    <w:rPr>
      <w:sz w:val="24"/>
      <w:szCs w:val="24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BlockText">
    <w:name w:val="Block Text"/>
    <w:basedOn w:val="Normal"/>
    <w:qFormat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link w:val="11"/>
    <w:qFormat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pPr>
      <w:ind w:left="280" w:hanging="0"/>
    </w:pPr>
    <w:rPr>
      <w:rFonts w:cs="Calibri"/>
      <w:sz w:val="20"/>
      <w:szCs w:val="20"/>
    </w:rPr>
  </w:style>
  <w:style w:type="paragraph" w:styleId="Style23" w:customStyle="1">
    <w:name w:val="Раздел регламента"/>
    <w:basedOn w:val="Normal"/>
    <w:qFormat/>
    <w:pPr/>
    <w:rPr/>
  </w:style>
  <w:style w:type="paragraph" w:styleId="Style24" w:customStyle="1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autoRedefine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16" w:customStyle="1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pPr>
      <w:ind w:left="1960" w:hanging="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pPr>
      <w:ind w:left="840" w:hanging="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pPr>
      <w:ind w:left="560" w:hanging="0"/>
    </w:pPr>
    <w:rPr>
      <w:rFonts w:cs="Calibri"/>
      <w:sz w:val="20"/>
      <w:szCs w:val="20"/>
    </w:rPr>
  </w:style>
  <w:style w:type="paragraph" w:styleId="25" w:customStyle="1">
    <w:name w:val="Раздел положения 2"/>
    <w:basedOn w:val="Normal"/>
    <w:qFormat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qFormat/>
    <w:pPr>
      <w:spacing w:lineRule="auto" w:line="360"/>
    </w:pPr>
    <w:rPr>
      <w:rFonts w:eastAsia="Calibri"/>
      <w:sz w:val="24"/>
      <w:szCs w:val="24"/>
    </w:rPr>
  </w:style>
  <w:style w:type="paragraph" w:styleId="Caption11" w:customStyle="1">
    <w:name w:val="caption1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qFormat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qFormat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qFormat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6"/>
    <w:pPr/>
    <w:rPr/>
  </w:style>
  <w:style w:type="paragraph" w:styleId="TOCHeading">
    <w:name w:val="TOC Heading"/>
    <w:basedOn w:val="Heading1"/>
    <w:next w:val="Normal"/>
    <w:qFormat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qFormat/>
    <w:pPr/>
    <w:rPr>
      <w:rFonts w:eastAsia="Calibri"/>
      <w:sz w:val="24"/>
      <w:szCs w:val="24"/>
      <w:lang w:val="x-none" w:eastAsia="x-none"/>
    </w:rPr>
  </w:style>
  <w:style w:type="paragraph" w:styleId="Style26" w:customStyle="1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>
    <w:name w:val="List Bullet 4"/>
    <w:basedOn w:val="Normal"/>
    <w:qFormat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pPr>
      <w:widowControl w:val="false"/>
      <w:suppressAutoHyphens w:val="true"/>
      <w:overflowPunct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7" w:customStyle="1">
    <w:name w:val="Пункт"/>
    <w:basedOn w:val="Normal"/>
    <w:qFormat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8" w:customStyle="1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9" w:customStyle="1">
    <w:name w:val="Таблица шапка"/>
    <w:basedOn w:val="Normal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0" w:customStyle="1">
    <w:name w:val="Подподпункт"/>
    <w:basedOn w:val="Style22"/>
    <w:link w:val="Style9"/>
    <w:qFormat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1" w:customStyle="1">
    <w:name w:val="УРОВЕНЬ_(а)"/>
    <w:basedOn w:val="ListParagraph"/>
    <w:qFormat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2" w:customStyle="1">
    <w:name w:val="УРОВЕНЬ_Подпись"/>
    <w:basedOn w:val="ListParagraph"/>
    <w:qFormat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pPr>
      <w:keepLines/>
      <w:tabs>
        <w:tab w:val="clear" w:pos="0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pPr/>
    <w:rPr>
      <w:sz w:val="20"/>
      <w:szCs w:val="20"/>
    </w:rPr>
  </w:style>
  <w:style w:type="paragraph" w:styleId="28" w:customStyle="1">
    <w:name w:val="Заголовок 2 КВВ"/>
    <w:basedOn w:val="Normal"/>
    <w:qFormat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3" w:customStyle="1">
    <w:name w:val="Таблица текст"/>
    <w:basedOn w:val="Normal"/>
    <w:qFormat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pPr>
      <w:ind w:left="1120" w:hanging="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pPr>
      <w:ind w:left="1400" w:hanging="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pPr>
      <w:ind w:left="1680" w:hanging="0"/>
    </w:pPr>
    <w:rPr>
      <w:rFonts w:ascii="Calibri" w:hAnsi="Calibri" w:cs="Calibri"/>
      <w:sz w:val="20"/>
      <w:szCs w:val="20"/>
    </w:rPr>
  </w:style>
  <w:style w:type="paragraph" w:styleId="Style34" w:customStyle="1">
    <w:name w:val="Содержимое врезки"/>
    <w:basedOn w:val="Normal"/>
    <w:qFormat/>
    <w:pPr/>
    <w:rPr/>
  </w:style>
  <w:style w:type="paragraph" w:styleId="Style35" w:customStyle="1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qFormat/>
  </w:style>
  <w:style w:type="numbering" w:styleId="29" w:customStyle="1">
    <w:name w:val="Стиль2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Application>AlterOffice/3.4.0.9$Linux_X86_64 LibreOffice_project/b8daf9e823b1a5463a2f48435ddc2e8696e7d4fc</Application>
  <AppVersion>15.0000</AppVersion>
  <Pages>7</Pages>
  <Words>678</Words>
  <Characters>4571</Characters>
  <CharactersWithSpaces>5162</CharactersWithSpaces>
  <Paragraphs>138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2021-04-05T15:04:00Z</dcterms:created>
  <dc:creator>Быстров Олег Геннадьевич</dc:creator>
  <dc:description/>
  <dc:language>ru-RU</dc:language>
  <cp:lastModifiedBy>sulekovaa@corp.gidroogk.com</cp:lastModifiedBy>
  <cp:lastPrinted>2025-11-11T07:59:59Z</cp:lastPrinted>
  <dcterms:modified xsi:type="dcterms:W3CDTF">2026-09-09T13:53:23Z</dcterms:modified>
  <cp:revision>33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