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3945" w:leader="none"/>
        </w:tabs>
        <w:spacing w:before="0" w:after="0"/>
        <w:ind w:hanging="0" w:left="709" w:right="0"/>
        <w:jc w:val="both"/>
        <w:outlineLvl w:val="0"/>
        <w:rPr>
          <w:rFonts w:ascii="Times New Roman" w:hAnsi="Times New Roman" w:eastAsia="Times New Roman" w:cs="Times New Roman"/>
          <w:b/>
          <w:bCs/>
          <w:i/>
          <w:i/>
          <w:caps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caps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hanging="0" w:left="709" w:right="0"/>
        <w:outlineLvl w:val="0"/>
        <w:rPr>
          <w:rFonts w:ascii="Times New Roman" w:hAnsi="Times New Roman" w:eastAsia="Times New Roman" w:cs="Times New Roman"/>
          <w:b/>
          <w:bCs/>
          <w:i/>
          <w:i/>
          <w:caps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caps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bCs/>
          <w:caps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bCs/>
          <w:caps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keepNext w:val="true"/>
        <w:keepLines/>
        <w:spacing w:before="0" w:after="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6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 xml:space="preserve">Технические требования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6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 xml:space="preserve">ОКПД2 – 26.20.40.190. Приобретение запасных частей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6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>для серверного оборудования,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60"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 xml:space="preserve">для нужд АО «Сахаэнерго»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6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>Лот № 52201-ЭКСП ДИТ-2026-СахаЭ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21" w:leader="dot"/>
            </w:tabs>
            <w:rPr>
              <w:rFonts w:ascii="Times New Roman" w:hAnsi="Times New Roman" w:cs="Times New Roman"/>
              <w:b/>
              <w:bCs/>
            </w:rPr>
          </w:pPr>
          <w:r>
            <w:fldChar w:fldCharType="begin"/>
          </w:r>
          <w:r>
            <w:rPr>
              <w:rStyle w:val="Style18"/>
              <w:rFonts w:eastAsia="Calibri" w:cs="Times New Roman"/>
            </w:rPr>
            <w:instrText xml:space="preserve"> TOC \o "1-3" \t "Heading 1,1,Heading 2,2,Heading 3,3" \h</w:instrText>
          </w:r>
          <w:r>
            <w:rPr>
              <w:rStyle w:val="Style18"/>
              <w:rFonts w:eastAsia="Calibri" w:cs="Times New Roman"/>
            </w:rPr>
            <w:fldChar w:fldCharType="separate"/>
          </w:r>
          <w:hyperlink w:anchor="_Toc1" w:tgtFrame="#_Toc1">
            <w:r>
              <w:rPr>
                <w:rStyle w:val="Style18"/>
                <w:rFonts w:eastAsia="Calibri" w:cs="Times New Roman"/>
              </w:rPr>
              <w:t>1.</w:t>
            </w:r>
            <w:r>
              <w:rPr>
                <w:rStyle w:val="Style18"/>
              </w:rPr>
              <w:tab/>
            </w:r>
            <w:r>
              <w:rPr>
                <w:rStyle w:val="Style18"/>
                <w:rFonts w:cs="Times New Roman"/>
                <w:b/>
              </w:rPr>
              <w:t>Общие сведения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rFonts w:cs="Times New Roman"/>
                <w:b/>
                <w:bCs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21" w:leader="dot"/>
            </w:tabs>
            <w:rPr>
              <w:rFonts w:ascii="Times New Roman" w:hAnsi="Times New Roman" w:cs="Times New Roman"/>
              <w:b/>
            </w:rPr>
          </w:pPr>
          <w:hyperlink w:anchor="_Toc2" w:tgtFrame="#_Toc2">
            <w:r>
              <w:rPr>
                <w:rStyle w:val="Style18"/>
                <w:rFonts w:eastAsia="Calibri" w:cs="Times New Roman"/>
              </w:rPr>
              <w:t>2.</w:t>
            </w:r>
            <w:r>
              <w:rPr>
                <w:rStyle w:val="Style18"/>
              </w:rPr>
              <w:tab/>
            </w:r>
            <w:r>
              <w:rPr>
                <w:rStyle w:val="Style18"/>
                <w:rFonts w:cs="Times New Roman"/>
                <w:b/>
              </w:rPr>
              <w:t>Условия, запреты и ограничения допуска товаров, происходящих из иностранных государств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rFonts w:cs="Times New Roman"/>
                <w:b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21" w:leader="dot"/>
            </w:tabs>
            <w:rPr>
              <w:rFonts w:ascii="Times New Roman" w:hAnsi="Times New Roman" w:cs="Times New Roman"/>
              <w:b/>
              <w:bCs/>
            </w:rPr>
          </w:pPr>
          <w:hyperlink w:anchor="_Toc8" w:tgtFrame="#_Toc8">
            <w:r>
              <w:rPr>
                <w:rStyle w:val="Style18"/>
                <w:rFonts w:eastAsia="Calibri" w:cs="Times New Roman"/>
              </w:rPr>
              <w:t>3.</w:t>
            </w:r>
            <w:r>
              <w:rPr>
                <w:rStyle w:val="Style18"/>
              </w:rPr>
              <w:tab/>
            </w:r>
            <w:r>
              <w:rPr>
                <w:rStyle w:val="Style18"/>
                <w:rFonts w:cs="Times New Roman"/>
                <w:b/>
              </w:rPr>
              <w:t>Требования к продукции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rFonts w:cs="Times New Roman"/>
                <w:b/>
                <w:bCs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>
              <w:rFonts w:ascii="Times New Roman" w:hAnsi="Times New Roman" w:eastAsia="Times New Roman" w:cs="Times New Roman"/>
              <w:b/>
            </w:rPr>
          </w:pPr>
          <w:hyperlink w:anchor="_Toc9" w:tgtFrame="#_Toc9">
            <w:r>
              <w:rPr>
                <w:rStyle w:val="Style18"/>
                <w:rFonts w:eastAsia="Calibri" w:cs="Times New Roman"/>
                <w:b/>
              </w:rPr>
              <w:t>Таблица 1.1 Перечень и объем закупаемой продукции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rFonts w:eastAsia="Times New Roman" w:cs="Times New Roman"/>
                <w:b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>
              <w:rFonts w:ascii="Times New Roman" w:hAnsi="Times New Roman" w:eastAsia="Times New Roman" w:cs="Times New Roman"/>
              <w:b/>
            </w:rPr>
          </w:pPr>
          <w:hyperlink w:anchor="_Toc11" w:tgtFrame="#_Toc11">
            <w:r>
              <w:rPr>
                <w:rStyle w:val="Style18"/>
                <w:rFonts w:eastAsia="Calibri" w:cs="Times New Roman"/>
                <w:b/>
              </w:rPr>
              <w:t xml:space="preserve">Таблица 2.1 Требования по срокам поставки продукции 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rFonts w:eastAsia="Times New Roman" w:cs="Times New Roman"/>
                <w:b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>
              <w:rFonts w:ascii="Times New Roman" w:hAnsi="Times New Roman" w:eastAsia="Times New Roman" w:cs="Times New Roman"/>
              <w:i/>
              <w:i/>
              <w:iCs/>
              <w:shd w:fill="FFFF99" w:val="clear"/>
            </w:rPr>
          </w:pPr>
          <w:hyperlink w:anchor="_Toc12" w:tgtFrame="#_Toc12">
            <w:r>
              <w:rPr>
                <w:rStyle w:val="Style18"/>
                <w:rFonts w:eastAsia="Calibri" w:cs="Times New Roman"/>
                <w:b/>
              </w:rPr>
              <w:t>Таблица 3. Требования к продукции: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rFonts w:eastAsia="Times New Roman" w:cs="Times New Roman"/>
                <w:i/>
                <w:iCs/>
                <w:shd w:fill="FFFF99" w:val="clear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21" w:leader="dot"/>
            </w:tabs>
            <w:rPr>
              <w:rFonts w:ascii="Times New Roman" w:hAnsi="Times New Roman" w:cs="Times New Roman"/>
              <w:bCs/>
            </w:rPr>
          </w:pPr>
          <w:hyperlink w:anchor="_Toc13" w:tgtFrame="#_Toc13">
            <w:r>
              <w:rPr>
                <w:rStyle w:val="Style18"/>
                <w:rFonts w:eastAsia="Calibri" w:cs="Times New Roman"/>
              </w:rPr>
              <w:t>4.</w:t>
            </w:r>
            <w:r>
              <w:rPr>
                <w:rStyle w:val="Style18"/>
              </w:rPr>
              <w:tab/>
            </w:r>
            <w:r>
              <w:rPr>
                <w:rStyle w:val="Style18"/>
                <w:rFonts w:cs="Times New Roman"/>
                <w:b/>
              </w:rPr>
              <w:t>Требования к документации по ценообразованию на этапе закупки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rFonts w:cs="Times New Roman"/>
                <w:bCs/>
              </w:rPr>
              <w:t>21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8"/>
              <w:bCs/>
              <w:rFonts w:cs="Times New Roman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Arial" w:cs="Calibri"/>
          <w:b w:val="false"/>
          <w:bCs w:val="false"/>
        </w:rPr>
      </w:pPr>
      <w:r>
        <w:rPr>
          <w:rFonts w:eastAsia="Arial" w:cs="Calibri" w:ascii="Calibri" w:hAnsi="Calibri"/>
          <w:b w:val="false"/>
          <w:bCs w:val="false"/>
        </w:rPr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hanging="0" w:left="0" w:right="0"/>
        <w:outlineLvl w:val="1"/>
        <w:rPr>
          <w:rFonts w:eastAsia="Arial" w:cs="Calibri"/>
          <w:b w:val="false"/>
          <w:bCs w:val="false"/>
        </w:rPr>
      </w:pPr>
      <w:r>
        <w:rPr>
          <w:rFonts w:eastAsia="Arial" w:cs="Calibri"/>
          <w:b w:val="false"/>
          <w:bCs w:val="false"/>
        </w:rPr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hanging="0" w:left="0" w:right="0"/>
        <w:outlineLvl w:val="1"/>
        <w:rPr>
          <w:rFonts w:ascii="Times New Roman" w:hAnsi="Times New Roman" w:eastAsia="Calibri" w:cs="Times New Roman"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  <w:r>
        <w:br w:type="page"/>
      </w:r>
    </w:p>
    <w:p>
      <w:pPr>
        <w:pStyle w:val="ListParagraph"/>
        <w:keepNext w:val="true"/>
        <w:numPr>
          <w:ilvl w:val="0"/>
          <w:numId w:val="6"/>
        </w:numPr>
        <w:spacing w:before="120" w:after="60"/>
        <w:ind w:hanging="360" w:left="720" w:right="0"/>
        <w:contextualSpacing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__RefHeading___Toc1"/>
      <w:bookmarkStart w:id="1" w:name="_Toc1"/>
      <w:bookmarkEnd w:id="0"/>
      <w:r>
        <w:rPr>
          <w:rFonts w:cs="Times New Roman" w:ascii="Times New Roman" w:hAnsi="Times New Roman"/>
          <w:b/>
          <w:sz w:val="28"/>
          <w:szCs w:val="28"/>
        </w:rPr>
        <w:t>Общие сведения</w:t>
      </w:r>
      <w:bookmarkEnd w:id="1"/>
    </w:p>
    <w:p>
      <w:pPr>
        <w:pStyle w:val="ListParagraph"/>
        <w:keepNext w:val="true"/>
        <w:numPr>
          <w:ilvl w:val="1"/>
          <w:numId w:val="6"/>
        </w:numPr>
        <w:spacing w:before="120" w:after="60"/>
        <w:ind w:hanging="360" w:left="644" w:right="0"/>
        <w:contextualSpacing/>
        <w:outlineLvl w:val="3"/>
        <w:rPr>
          <w:rFonts w:ascii="Times New Roman" w:hAnsi="Times New Roman" w:eastAsia="Times New Roman" w:cs="Times New Roman"/>
          <w:bCs/>
          <w:i/>
          <w:i/>
          <w:iCs/>
          <w:sz w:val="26"/>
          <w:szCs w:val="26"/>
          <w:shd w:fill="FFFF99" w:val="clear"/>
        </w:rPr>
      </w:pPr>
      <w:r>
        <w:rPr>
          <w:rFonts w:cs="Times New Roman" w:ascii="Times New Roman" w:hAnsi="Times New Roman"/>
          <w:b/>
          <w:bCs/>
        </w:rPr>
        <w:t>Обозначения и сокращения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Cs/>
          <w:i/>
          <w:i/>
          <w:iCs/>
          <w:sz w:val="26"/>
          <w:szCs w:val="26"/>
          <w:shd w:fill="FFFF99" w:val="clear"/>
        </w:rPr>
      </w:pPr>
      <w:r>
        <w:rPr>
          <w:rFonts w:eastAsia="Times New Roman" w:cs="Times New Roman" w:ascii="Times New Roman" w:hAnsi="Times New Roman"/>
          <w:bCs/>
          <w:i/>
          <w:iCs/>
          <w:sz w:val="26"/>
          <w:szCs w:val="26"/>
          <w:shd w:fill="FFFF99" w:val="clear"/>
        </w:rPr>
      </w:r>
    </w:p>
    <w:tbl>
      <w:tblPr>
        <w:tblW w:w="991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7757"/>
      </w:tblGrid>
      <w:tr>
        <w:trPr>
          <w:trHeight w:val="77" w:hRule="atLeas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ru-RU" w:eastAsia="ru-RU" w:bidi="ar-SA"/>
              </w:rPr>
              <w:t>Термин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ru-RU" w:eastAsia="ru-RU" w:bidi="ar-SA"/>
              </w:rPr>
              <w:t>Определение</w:t>
            </w:r>
          </w:p>
        </w:tc>
      </w:tr>
      <w:tr>
        <w:trPr>
          <w:trHeight w:val="77" w:hRule="atLeas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 w:bidi="ar-SA"/>
              </w:rPr>
              <w:t>Заказчик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 w:bidi="ar-SA"/>
              </w:rPr>
              <w:t>АО «Сахаэнерго», указанные в Таблице 1.1</w:t>
            </w:r>
          </w:p>
        </w:tc>
      </w:tr>
      <w:tr>
        <w:trPr>
          <w:trHeight w:val="77" w:hRule="atLeas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 w:bidi="ar-SA"/>
              </w:rPr>
              <w:t>ИТ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0"/>
              <w:contextualSpacing/>
              <w:jc w:val="both"/>
              <w:rPr>
                <w:rFonts w:ascii="Times New Roman" w:hAnsi="Times New Roman" w:eastAsia="Times New Roman" w:cs="Times New Roman"/>
                <w:bCs/>
                <w:spacing w:val="-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2"/>
                <w:sz w:val="20"/>
                <w:szCs w:val="20"/>
                <w:lang w:val="ru-RU" w:eastAsia="ru-RU" w:bidi="ar-SA"/>
              </w:rPr>
              <w:t>Информационные технологии</w:t>
            </w:r>
          </w:p>
        </w:tc>
      </w:tr>
      <w:tr>
        <w:trPr>
          <w:trHeight w:val="77" w:hRule="atLeas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 w:bidi="ar-SA"/>
              </w:rPr>
              <w:t>Поставщик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 w:bidi="ar-SA"/>
              </w:rPr>
              <w:t>Участник закупки, получивший право заключения договора поставки</w:t>
            </w:r>
          </w:p>
        </w:tc>
      </w:tr>
      <w:tr>
        <w:trPr>
          <w:trHeight w:val="77" w:hRule="atLeast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 w:bidi="ar-SA"/>
              </w:rPr>
              <w:t>ТТ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0"/>
              <w:contextualSpacing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 w:bidi="ar-SA"/>
              </w:rPr>
              <w:t>Технические требования</w:t>
            </w:r>
          </w:p>
        </w:tc>
      </w:tr>
    </w:tbl>
    <w:p>
      <w:pPr>
        <w:pStyle w:val="ListParagraph"/>
        <w:keepNext w:val="true"/>
        <w:numPr>
          <w:ilvl w:val="0"/>
          <w:numId w:val="0"/>
        </w:numPr>
        <w:spacing w:before="120" w:after="60"/>
        <w:ind w:hanging="0" w:left="0" w:right="0"/>
        <w:contextualSpacing/>
        <w:outlineLvl w:val="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1"/>
          <w:numId w:val="6"/>
        </w:numPr>
        <w:spacing w:before="120" w:after="60"/>
        <w:ind w:hanging="360" w:left="644" w:right="0"/>
        <w:contextualSpacing/>
        <w:outlineLvl w:val="3"/>
        <w:rPr>
          <w:rFonts w:ascii="Times New Roman" w:hAnsi="Times New Roman" w:eastAsia="Times New Roman" w:cs="Times New Roman"/>
        </w:rPr>
      </w:pPr>
      <w:r>
        <w:rPr>
          <w:rFonts w:cs="Times New Roman" w:ascii="Times New Roman" w:hAnsi="Times New Roman"/>
          <w:b/>
          <w:bCs/>
        </w:rPr>
        <w:t>Наименование закупаемой продукции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hanging="0" w:left="0" w:right="0"/>
        <w:outlineLvl w:val="3"/>
        <w:rPr>
          <w:rFonts w:ascii="Times New Roman" w:hAnsi="Times New Roman" w:cs="Times New Roman"/>
          <w:b/>
          <w:bCs/>
        </w:rPr>
      </w:pPr>
      <w:r>
        <w:rPr>
          <w:rFonts w:eastAsia="Times New Roman" w:cs="Times New Roman" w:ascii="Times New Roman" w:hAnsi="Times New Roman"/>
        </w:rPr>
        <w:tab/>
        <w:t>ОКПД2 – 26.20.40.190. Приобретение запасных частей  для серверного оборудования, для нужд АО «Сахаэнерго»</w:t>
      </w:r>
    </w:p>
    <w:p>
      <w:pPr>
        <w:pStyle w:val="ListParagraph"/>
        <w:keepNext w:val="true"/>
        <w:numPr>
          <w:ilvl w:val="1"/>
          <w:numId w:val="6"/>
        </w:numPr>
        <w:spacing w:before="120" w:after="60"/>
        <w:ind w:hanging="360" w:left="644" w:right="0"/>
        <w:contextualSpacing/>
        <w:outlineLvl w:val="3"/>
        <w:rPr>
          <w:rFonts w:ascii="Times New Roman" w:hAnsi="Times New Roman" w:eastAsia="Calibri" w:cs="Times New Roman"/>
          <w:color w:val="000000"/>
        </w:rPr>
      </w:pPr>
      <w:r>
        <w:rPr>
          <w:rFonts w:cs="Times New Roman" w:ascii="Times New Roman" w:hAnsi="Times New Roman"/>
          <w:b/>
          <w:bCs/>
        </w:rPr>
        <w:t>Цель использования закупаемой продукции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</w:rPr>
        <w:tab/>
        <w:t>Закупаемое запасные части будут использованы Заказчиком для поддержания работоспособности и надежности информационной инфраструктуры общества;</w:t>
      </w:r>
    </w:p>
    <w:p>
      <w:pPr>
        <w:pStyle w:val="ListParagraph"/>
        <w:keepNext w:val="true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6"/>
        </w:numPr>
        <w:spacing w:before="120" w:after="60"/>
        <w:ind w:hanging="36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_RefHeading___Toc28_3164524624"/>
      <w:bookmarkStart w:id="3" w:name="_Toc2"/>
      <w:bookmarkEnd w:id="2"/>
      <w:r>
        <w:rPr>
          <w:rFonts w:cs="Times New Roman" w:ascii="Times New Roman" w:hAnsi="Times New Roman"/>
          <w:b/>
          <w:sz w:val="28"/>
          <w:szCs w:val="28"/>
        </w:rPr>
        <w:t>Условия, запреты и ограничения допуска товаров, происходящих из иностранных государств</w:t>
      </w:r>
      <w:bookmarkEnd w:id="3"/>
    </w:p>
    <w:p>
      <w:pPr>
        <w:pStyle w:val="Normal"/>
        <w:numPr>
          <w:ilvl w:val="0"/>
          <w:numId w:val="0"/>
        </w:numPr>
        <w:spacing w:before="120" w:after="60"/>
        <w:ind w:firstLine="708" w:left="0" w:right="0"/>
        <w:contextualSpacing/>
        <w:jc w:val="left"/>
        <w:outlineLvl w:val="0"/>
        <w:rPr>
          <w:rFonts w:ascii="Times New Roman" w:hAnsi="Times New Roman" w:eastAsia="Calibri" w:cs="Times New Roman"/>
          <w:b w:val="false"/>
          <w:bCs w:val="false"/>
          <w:color w:val="auto"/>
          <w:sz w:val="22"/>
          <w:szCs w:val="22"/>
        </w:rPr>
      </w:pPr>
      <w:bookmarkStart w:id="4" w:name="__RefHeading___Toc30_3164524624"/>
      <w:bookmarkStart w:id="5" w:name="_Toc3"/>
      <w:bookmarkEnd w:id="4"/>
      <w:r>
        <w:rPr>
          <w:rFonts w:eastAsia="Calibri" w:cs="Times New Roman" w:ascii="Times New Roman" w:hAnsi="Times New Roman"/>
          <w:b w:val="false"/>
          <w:bCs w:val="false"/>
          <w:color w:val="auto"/>
          <w:sz w:val="22"/>
          <w:szCs w:val="22"/>
          <w:lang w:val="ru-RU" w:eastAsia="en-US" w:bidi="ar-SA"/>
        </w:rPr>
        <w:t>При исполнении  договора применяется национальный режим, установленный Постановлением Правительства РФ от 23.12.2024 № 1875 «О мерах по предоставлению национального режима».</w:t>
      </w:r>
      <w:bookmarkEnd w:id="5"/>
    </w:p>
    <w:p>
      <w:pPr>
        <w:pStyle w:val="Normal"/>
        <w:numPr>
          <w:ilvl w:val="0"/>
          <w:numId w:val="0"/>
        </w:numPr>
        <w:spacing w:before="120" w:after="60"/>
        <w:ind w:firstLine="708" w:left="0" w:right="0"/>
        <w:contextualSpacing/>
        <w:jc w:val="left"/>
        <w:outlineLvl w:val="0"/>
        <w:rPr>
          <w:rFonts w:ascii="Times New Roman" w:hAnsi="Times New Roman" w:eastAsia="Calibri" w:cs="Times New Roman"/>
          <w:sz w:val="22"/>
          <w:szCs w:val="22"/>
          <w:lang w:val="ru-RU" w:eastAsia="en-US" w:bidi="ar-SA"/>
        </w:rPr>
      </w:pPr>
      <w:r>
        <w:rPr>
          <w:rFonts w:eastAsia="Calibri" w:cs="Times New Roman" w:ascii="Times New Roman" w:hAnsi="Times New Roman"/>
          <w:sz w:val="22"/>
          <w:szCs w:val="22"/>
          <w:lang w:val="ru-RU" w:eastAsia="en-US" w:bidi="ar-SA"/>
        </w:rPr>
      </w:r>
    </w:p>
    <w:p>
      <w:pPr>
        <w:pStyle w:val="ListParagraph"/>
        <w:numPr>
          <w:ilvl w:val="0"/>
          <w:numId w:val="22"/>
        </w:numPr>
        <w:spacing w:before="120" w:after="60"/>
        <w:ind w:hanging="567" w:left="709" w:right="0"/>
        <w:contextualSpacing/>
        <w:jc w:val="left"/>
        <w:outlineLvl w:val="0"/>
        <w:rPr>
          <w:rFonts w:ascii="Times New Roman" w:hAnsi="Times New Roman" w:eastAsia="Calibri" w:cs="Times New Roman"/>
          <w:b/>
          <w:bCs/>
          <w:color w:val="auto"/>
          <w:sz w:val="22"/>
          <w:szCs w:val="22"/>
          <w:lang w:val="ru-RU" w:eastAsia="en-US" w:bidi="ar-SA"/>
        </w:rPr>
      </w:pPr>
      <w:bookmarkStart w:id="6" w:name="__RefHeading___Toc32_3164524624"/>
      <w:bookmarkStart w:id="7" w:name="_Toc4"/>
      <w:bookmarkEnd w:id="6"/>
      <w:r>
        <w:rPr>
          <w:rFonts w:eastAsia="Calibri" w:cs="Times New Roman" w:ascii="Times New Roman" w:hAnsi="Times New Roman"/>
          <w:b/>
          <w:bCs/>
          <w:color w:val="auto"/>
          <w:sz w:val="22"/>
          <w:szCs w:val="22"/>
          <w:lang w:val="ru-RU" w:eastAsia="en-US" w:bidi="ar-SA"/>
        </w:rPr>
        <w:t>Особые условия допуска:</w:t>
      </w:r>
      <w:bookmarkEnd w:id="7"/>
    </w:p>
    <w:p>
      <w:pPr>
        <w:pStyle w:val="ListParagraph"/>
        <w:widowControl/>
        <w:numPr>
          <w:ilvl w:val="0"/>
          <w:numId w:val="0"/>
        </w:numPr>
        <w:bidi w:val="0"/>
        <w:spacing w:lineRule="auto" w:line="254" w:before="120" w:after="60"/>
        <w:ind w:hanging="0" w:left="0" w:right="0"/>
        <w:contextualSpacing/>
        <w:jc w:val="left"/>
        <w:outlineLvl w:val="0"/>
        <w:rPr>
          <w:rFonts w:ascii="Times New Roman" w:hAnsi="Times New Roman" w:eastAsia="Calibri" w:cs="Times New Roman"/>
          <w:sz w:val="22"/>
          <w:szCs w:val="22"/>
          <w:lang w:val="ru-RU" w:eastAsia="en-US" w:bidi="ar-SA"/>
        </w:rPr>
      </w:pPr>
      <w:bookmarkStart w:id="8" w:name="__RefHeading___Toc34_3164524624"/>
      <w:bookmarkStart w:id="9" w:name="_Toc5"/>
      <w:bookmarkEnd w:id="8"/>
      <w:r>
        <w:rPr>
          <w:rFonts w:eastAsia="Calibri" w:cs="Times New Roman" w:ascii="Times New Roman" w:hAnsi="Times New Roman"/>
          <w:sz w:val="22"/>
          <w:szCs w:val="22"/>
          <w:lang w:val="ru-RU" w:eastAsia="en-US" w:bidi="ar-SA"/>
        </w:rPr>
        <w:tab/>
        <w:t xml:space="preserve">Установлен режим ограничения закупки иностранной продукции. Однако, в соответствии с подпунктом «б» пункта 6 Постановления Правительства РФ от 23.12.2024 № 1875, указанные </w:t>
      </w:r>
      <w:r>
        <w:rPr>
          <w:rFonts w:eastAsia="Calibri" w:cs="Times New Roman" w:ascii="Times New Roman" w:hAnsi="Times New Roman"/>
          <w:b/>
          <w:bCs/>
          <w:sz w:val="22"/>
          <w:szCs w:val="22"/>
          <w:lang w:val="ru-RU" w:eastAsia="en-US" w:bidi="ar-SA"/>
        </w:rPr>
        <w:t>ограничения не применяются в данной закупке</w:t>
      </w:r>
      <w:r>
        <w:rPr>
          <w:rFonts w:eastAsia="Calibri" w:cs="Times New Roman" w:ascii="Times New Roman" w:hAnsi="Times New Roman"/>
          <w:sz w:val="22"/>
          <w:szCs w:val="22"/>
          <w:lang w:val="ru-RU" w:eastAsia="en-US" w:bidi="ar-SA"/>
        </w:rPr>
        <w:t>.</w:t>
      </w:r>
      <w:bookmarkEnd w:id="9"/>
    </w:p>
    <w:p>
      <w:pPr>
        <w:pStyle w:val="ListParagraph"/>
        <w:widowControl/>
        <w:numPr>
          <w:ilvl w:val="0"/>
          <w:numId w:val="0"/>
        </w:numPr>
        <w:bidi w:val="0"/>
        <w:spacing w:lineRule="auto" w:line="254" w:before="120" w:after="60"/>
        <w:ind w:hanging="0" w:left="0" w:right="0"/>
        <w:contextualSpacing/>
        <w:jc w:val="left"/>
        <w:outlineLvl w:val="0"/>
        <w:rPr>
          <w:rFonts w:ascii="Times New Roman" w:hAnsi="Times New Roman" w:eastAsia="Calibri" w:cs="Times New Roman"/>
          <w:sz w:val="22"/>
          <w:szCs w:val="22"/>
          <w:lang w:val="ru-RU" w:eastAsia="en-US" w:bidi="ar-SA"/>
        </w:rPr>
      </w:pPr>
      <w:r>
        <w:rPr>
          <w:rFonts w:eastAsia="Calibri" w:cs="Times New Roman" w:ascii="Times New Roman" w:hAnsi="Times New Roman"/>
          <w:sz w:val="22"/>
          <w:szCs w:val="22"/>
          <w:lang w:val="ru-RU" w:eastAsia="en-US" w:bidi="ar-SA"/>
        </w:rPr>
      </w:r>
    </w:p>
    <w:p>
      <w:pPr>
        <w:pStyle w:val="ListParagraph"/>
        <w:numPr>
          <w:ilvl w:val="0"/>
          <w:numId w:val="22"/>
        </w:numPr>
        <w:spacing w:before="120" w:after="60"/>
        <w:ind w:hanging="567" w:left="709" w:right="0"/>
        <w:contextualSpacing/>
        <w:jc w:val="left"/>
        <w:outlineLvl w:val="0"/>
        <w:rPr>
          <w:rFonts w:ascii="Times New Roman" w:hAnsi="Times New Roman" w:eastAsia="Calibri" w:cs="Times New Roman"/>
          <w:color w:val="000000"/>
          <w:sz w:val="22"/>
          <w:szCs w:val="22"/>
          <w:lang w:val="ru-RU" w:eastAsia="en-US" w:bidi="ar-SA"/>
        </w:rPr>
      </w:pPr>
      <w:bookmarkStart w:id="10" w:name="__RefHeading___Toc36_3164524624"/>
      <w:bookmarkStart w:id="11" w:name="_Toc6"/>
      <w:bookmarkEnd w:id="10"/>
      <w:r>
        <w:rPr>
          <w:rFonts w:eastAsia="Calibri" w:cs="Times New Roman" w:ascii="Times New Roman" w:hAnsi="Times New Roman"/>
          <w:b/>
          <w:bCs/>
          <w:color w:val="auto"/>
          <w:sz w:val="22"/>
          <w:szCs w:val="22"/>
          <w:lang w:val="ru-RU" w:eastAsia="en-US" w:bidi="ar-SA"/>
        </w:rPr>
        <w:t>Обоснование исключения:</w:t>
      </w:r>
      <w:bookmarkEnd w:id="11"/>
    </w:p>
    <w:p>
      <w:pPr>
        <w:pStyle w:val="ListParagraph"/>
        <w:widowControl/>
        <w:numPr>
          <w:ilvl w:val="0"/>
          <w:numId w:val="0"/>
        </w:numPr>
        <w:bidi w:val="0"/>
        <w:spacing w:lineRule="auto" w:line="254" w:before="120" w:after="60"/>
        <w:ind w:hanging="0" w:left="0" w:right="0"/>
        <w:contextualSpacing/>
        <w:jc w:val="left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2" w:name="__RefHeading___Toc38_3164524624"/>
      <w:bookmarkStart w:id="13" w:name="_Toc7"/>
      <w:bookmarkEnd w:id="12"/>
      <w:r>
        <w:rPr>
          <w:rFonts w:eastAsia="Calibri" w:cs="Times New Roman" w:ascii="Times New Roman" w:hAnsi="Times New Roman"/>
          <w:color w:val="000000"/>
          <w:sz w:val="22"/>
          <w:szCs w:val="22"/>
          <w:lang w:val="ru-RU" w:eastAsia="en-US" w:bidi="ar-SA"/>
        </w:rPr>
        <w:tab/>
      </w:r>
      <w:r>
        <w:rPr>
          <w:rFonts w:eastAsia="Calibri" w:cs="Times New Roman" w:ascii="Times New Roman" w:hAnsi="Times New Roman"/>
          <w:color w:val="auto"/>
          <w:sz w:val="22"/>
          <w:szCs w:val="22"/>
          <w:lang w:val="ru-RU" w:eastAsia="en-US" w:bidi="ar-SA"/>
        </w:rPr>
        <w:t>Закупка осуществляется с учетом национального режима, установленного ПП РФ от 23.12.2024 № 1875. При этом ограничения, предусмотренные пунктом 3 указанного Постановления, не применяются на основании подпункта «б» пункта 6, так как закупаемые товары (перечисленные в Описании объекта закупки) являются запасными частями и расходными материалами к машинам и оборудованию, находящимся в эксплуатации Заказчика, что соответствует технической документации на указанные машины и оборудование. Исключение составляют товары, являющиеся расходными материалами, комплектующими или принадлежностями к медицинским изделиям (таковые в данной закупке отсутствуют).</w:t>
      </w:r>
      <w:bookmarkEnd w:id="13"/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0"/>
        </w:numPr>
        <w:spacing w:before="120" w:after="60"/>
        <w:ind w:hanging="0" w:left="720" w:right="0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6"/>
        </w:numPr>
        <w:spacing w:before="120" w:after="60"/>
        <w:ind w:hanging="360" w:left="720" w:right="0"/>
        <w:contextualSpacing/>
        <w:jc w:val="center"/>
        <w:outlineLvl w:val="0"/>
        <w:rPr>
          <w:rFonts w:ascii="Times New Roman" w:hAnsi="Times New Roman" w:cs="Times New Roman"/>
          <w:b/>
          <w:bCs/>
        </w:rPr>
      </w:pPr>
      <w:bookmarkStart w:id="14" w:name="__RefHeading___Toc2"/>
      <w:bookmarkStart w:id="15" w:name="_Toc8"/>
      <w:bookmarkEnd w:id="14"/>
      <w:r>
        <w:rPr>
          <w:rFonts w:cs="Times New Roman" w:ascii="Times New Roman" w:hAnsi="Times New Roman"/>
          <w:b/>
          <w:sz w:val="28"/>
          <w:szCs w:val="28"/>
        </w:rPr>
        <w:t>Требования к продукции</w:t>
      </w:r>
      <w:bookmarkEnd w:id="15"/>
    </w:p>
    <w:p>
      <w:pPr>
        <w:pStyle w:val="ListParagraph"/>
        <w:keepNext w:val="true"/>
        <w:numPr>
          <w:ilvl w:val="1"/>
          <w:numId w:val="6"/>
        </w:numPr>
        <w:spacing w:before="120" w:after="60"/>
        <w:ind w:hanging="360" w:left="644" w:right="0"/>
        <w:contextualSpacing/>
        <w:outlineLvl w:val="3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Требования к объемам и срокам поставки</w:t>
      </w:r>
    </w:p>
    <w:p>
      <w:pPr>
        <w:pStyle w:val="ListParagraph"/>
        <w:numPr>
          <w:ilvl w:val="0"/>
          <w:numId w:val="0"/>
        </w:numPr>
        <w:spacing w:before="120" w:after="60"/>
        <w:ind w:hanging="0" w:left="644" w:right="0"/>
        <w:contextualSpacing/>
        <w:outlineLvl w:val="3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ListParagraph"/>
        <w:keepNext w:val="true"/>
        <w:numPr>
          <w:ilvl w:val="2"/>
          <w:numId w:val="6"/>
        </w:numPr>
        <w:spacing w:before="120" w:after="60"/>
        <w:ind w:hanging="0" w:left="720" w:right="0"/>
        <w:contextualSpacing/>
        <w:outlineLvl w:val="3"/>
        <w:rPr>
          <w:rFonts w:ascii="Times New Roman" w:hAnsi="Times New Roman" w:eastAsia="Calibri" w:cs="Times New Roman"/>
          <w:b/>
        </w:rPr>
      </w:pPr>
      <w:r>
        <w:rPr>
          <w:rFonts w:cs="Times New Roman" w:ascii="Times New Roman" w:hAnsi="Times New Roman"/>
          <w:b/>
        </w:rPr>
        <w:t>Перечень и объем закупаемой продукции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hanging="0" w:left="0" w:right="0"/>
        <w:outlineLvl w:val="0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bookmarkStart w:id="16" w:name="__RefHeading___Toc3"/>
      <w:bookmarkStart w:id="17" w:name="_Toc9"/>
      <w:bookmarkEnd w:id="16"/>
      <w:r>
        <w:rPr>
          <w:rFonts w:eastAsia="Calibri" w:cs="Times New Roman" w:ascii="Times New Roman" w:hAnsi="Times New Roman"/>
          <w:b/>
        </w:rPr>
        <w:t>Таблица 1.1 Перечень и объем закупаемой продукции</w:t>
      </w:r>
      <w:bookmarkEnd w:id="17"/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7093"/>
        <w:gridCol w:w="852"/>
        <w:gridCol w:w="1129"/>
      </w:tblGrid>
      <w:tr>
        <w:trPr>
          <w:tblHeader w:val="true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Кол-во</w:t>
            </w:r>
          </w:p>
        </w:tc>
      </w:tr>
      <w:tr>
        <w:trPr>
          <w:tblHeader w:val="true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eastAsia="ru-RU"/>
              </w:rPr>
            </w:pPr>
            <w:r>
              <w:rPr>
                <w:rFonts w:eastAsia="Calibri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Накопитель</w:t>
            </w:r>
            <w:r>
              <w:rPr>
                <w:sz w:val="20"/>
                <w:szCs w:val="20"/>
                <w:lang w:val="en-US"/>
              </w:rPr>
              <w:t xml:space="preserve"> ThinkSystem 2.5" 300GB 15K SAS 12Gb Hot Swap 512n HDD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eastAsia="ru-RU"/>
              </w:rPr>
            </w:pPr>
            <w:r>
              <w:rPr>
                <w:rFonts w:eastAsia="Calibri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Блок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  <w:r>
              <w:rPr>
                <w:sz w:val="20"/>
                <w:szCs w:val="20"/>
                <w:lang w:val="en-US"/>
              </w:rPr>
              <w:t xml:space="preserve"> ThinkSystem 750W (230/115V) Platinum Hot-Swap Power Supply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Блок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  <w:r>
              <w:rPr>
                <w:sz w:val="20"/>
                <w:szCs w:val="20"/>
                <w:lang w:val="en-US"/>
              </w:rPr>
              <w:t xml:space="preserve"> ThinkSystem 1100W (230V/115V) Platinum Hot-Swap Power Supply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Модуль</w:t>
            </w:r>
            <w:r>
              <w:rPr>
                <w:sz w:val="20"/>
                <w:szCs w:val="20"/>
                <w:lang w:val="en-US"/>
              </w:rPr>
              <w:t xml:space="preserve"> ThinkSystem SR650 Fan Option Kit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Контроллер</w:t>
            </w:r>
            <w:r>
              <w:rPr>
                <w:sz w:val="20"/>
                <w:szCs w:val="20"/>
                <w:lang w:val="en-US"/>
              </w:rPr>
              <w:t xml:space="preserve"> ThinkSystem RAID 930-8i 2GB Flash PCIe 12Gb Adapter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Модуль</w:t>
            </w:r>
            <w:r>
              <w:rPr>
                <w:sz w:val="20"/>
                <w:szCs w:val="20"/>
                <w:lang w:val="en-US"/>
              </w:rPr>
              <w:t xml:space="preserve"> ThinkSystem 32GB TruDDR4 2933MHz (2Rx4 1.2V) RDIMM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Модуль</w:t>
            </w:r>
            <w:r>
              <w:rPr>
                <w:sz w:val="20"/>
                <w:szCs w:val="20"/>
                <w:lang w:val="en-US"/>
              </w:rPr>
              <w:t xml:space="preserve"> ThinkSystem 32GB TruDDR4 2666 MHz (2Rx4 1.2V) RDIMM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Твердотельный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накопитель</w:t>
            </w:r>
            <w:r>
              <w:rPr>
                <w:sz w:val="20"/>
                <w:szCs w:val="20"/>
                <w:lang w:val="en-US"/>
              </w:rPr>
              <w:t xml:space="preserve"> SSD</w:t>
            </w:r>
            <w:r>
              <w:rPr>
                <w:sz w:val="20"/>
                <w:szCs w:val="20"/>
              </w:rPr>
              <w:t>, тип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Блок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  <w:r>
              <w:rPr>
                <w:sz w:val="20"/>
                <w:szCs w:val="20"/>
                <w:lang w:val="en-US"/>
              </w:rPr>
              <w:t xml:space="preserve"> Power Supply 550 W AC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Модуль</w:t>
            </w:r>
            <w:r>
              <w:rPr>
                <w:sz w:val="20"/>
                <w:szCs w:val="20"/>
                <w:lang w:val="en-US"/>
              </w:rPr>
              <w:t xml:space="preserve"> Fan module, Hot-Swap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Контроллер</w:t>
            </w:r>
            <w:r>
              <w:rPr>
                <w:sz w:val="20"/>
                <w:szCs w:val="20"/>
                <w:lang w:val="en-US"/>
              </w:rPr>
              <w:t xml:space="preserve"> ServeRAID M5110 SAS/SATA adapter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Модуль</w:t>
            </w:r>
            <w:r>
              <w:rPr>
                <w:sz w:val="20"/>
                <w:szCs w:val="20"/>
                <w:lang w:val="en-US"/>
              </w:rPr>
              <w:t xml:space="preserve"> ServeRAID M5110 series battery kit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Модуль</w:t>
            </w:r>
            <w:r>
              <w:rPr>
                <w:sz w:val="20"/>
                <w:szCs w:val="20"/>
                <w:lang w:val="en-US"/>
              </w:rPr>
              <w:t xml:space="preserve"> 16 GB Dual-Rank 1.5 V DDR3 1866MHz RDIMM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 xml:space="preserve">Накопитель </w:t>
            </w:r>
            <w:r>
              <w:rPr>
                <w:sz w:val="20"/>
                <w:szCs w:val="20"/>
                <w:lang w:val="en-US"/>
              </w:rPr>
              <w:t>HDD</w:t>
            </w:r>
            <w:r>
              <w:rPr>
                <w:sz w:val="20"/>
                <w:szCs w:val="20"/>
              </w:rPr>
              <w:t>, тип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 xml:space="preserve">Накопитель </w:t>
            </w:r>
            <w:r>
              <w:rPr>
                <w:sz w:val="20"/>
                <w:szCs w:val="20"/>
                <w:lang w:val="en-US"/>
              </w:rPr>
              <w:t>HDD</w:t>
            </w:r>
            <w:r>
              <w:rPr>
                <w:sz w:val="20"/>
                <w:szCs w:val="20"/>
              </w:rPr>
              <w:t xml:space="preserve">, тип 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 xml:space="preserve">Накопитель </w:t>
            </w:r>
            <w:r>
              <w:rPr>
                <w:sz w:val="20"/>
                <w:szCs w:val="20"/>
                <w:lang w:val="en-US"/>
              </w:rPr>
              <w:t>HDD</w:t>
            </w:r>
            <w:r>
              <w:rPr>
                <w:sz w:val="20"/>
                <w:szCs w:val="20"/>
              </w:rPr>
              <w:t xml:space="preserve">, тип 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Блок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  <w:r>
              <w:rPr>
                <w:sz w:val="20"/>
                <w:szCs w:val="20"/>
                <w:lang w:val="en-US"/>
              </w:rPr>
              <w:t xml:space="preserve"> SuperMicro PWS-1K23A-1R 1200W 1U Redundant Power Supply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Контроллер</w:t>
            </w:r>
            <w:r>
              <w:rPr>
                <w:sz w:val="20"/>
                <w:szCs w:val="20"/>
                <w:lang w:val="en-US"/>
              </w:rPr>
              <w:t xml:space="preserve"> Supermicro AOC-S3108L-H8IR-16DD Add-on Card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Батарея аварийного питания кэш-памяти LSI LSICVM02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 xml:space="preserve">Накопитель </w:t>
            </w:r>
            <w:r>
              <w:rPr>
                <w:sz w:val="20"/>
                <w:szCs w:val="20"/>
                <w:lang w:val="en-US"/>
              </w:rPr>
              <w:t>HDD</w:t>
            </w:r>
            <w:r>
              <w:rPr>
                <w:sz w:val="20"/>
                <w:szCs w:val="20"/>
              </w:rPr>
              <w:t>, тип 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Блок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  <w:r>
              <w:rPr>
                <w:sz w:val="20"/>
                <w:szCs w:val="20"/>
                <w:lang w:val="en-US"/>
              </w:rPr>
              <w:t xml:space="preserve"> Dell 450-AEBL Hot-plug Power Supply (1+0),1100W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  <w:lang w:val="en-US"/>
              </w:rPr>
              <w:t>RAID-</w:t>
            </w:r>
            <w:r>
              <w:rPr>
                <w:sz w:val="20"/>
                <w:szCs w:val="20"/>
              </w:rPr>
              <w:t>контроллер</w:t>
            </w:r>
            <w:r>
              <w:rPr>
                <w:sz w:val="20"/>
                <w:szCs w:val="20"/>
                <w:lang w:val="en-US"/>
              </w:rPr>
              <w:t xml:space="preserve"> Dell PowerEdge 2GB PERC H730P Mini Mono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Накопитель HDD, тип 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Контроллер Broadcom Controller 9361-8i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eastAsia="ru-RU"/>
              </w:rPr>
            </w:pPr>
            <w:r>
              <w:rPr>
                <w:rFonts w:eastAsia="Calibri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Батарея аварийного питания кэш-памяти LSI LSICVM01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eastAsia="ru-RU"/>
              </w:rPr>
            </w:pPr>
            <w:r>
              <w:rPr>
                <w:rFonts w:eastAsia="Calibri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Блок питания ASUS 770Wt, DPS-770CB-B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Блок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  <w:r>
              <w:rPr>
                <w:sz w:val="20"/>
                <w:szCs w:val="20"/>
                <w:lang w:val="en-US"/>
              </w:rPr>
              <w:t xml:space="preserve"> Power Supply 913W 240V/100V AC Hot Swap for BIS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Модуль</w:t>
            </w:r>
            <w:r>
              <w:rPr>
                <w:sz w:val="20"/>
                <w:szCs w:val="20"/>
                <w:lang w:val="en-US"/>
              </w:rPr>
              <w:t xml:space="preserve"> ThinkSystem DE Series Controller Battery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eastAsia="ru-RU"/>
              </w:rPr>
            </w:pPr>
            <w:r>
              <w:rPr>
                <w:rFonts w:eastAsia="Calibri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Накопитель</w:t>
            </w:r>
            <w:r>
              <w:rPr>
                <w:sz w:val="20"/>
                <w:szCs w:val="20"/>
                <w:lang w:val="en-US"/>
              </w:rPr>
              <w:t xml:space="preserve"> Lenovo Storage 1.2TB 10K 2.5" SAS HDD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Накопитель</w:t>
            </w:r>
            <w:r>
              <w:rPr>
                <w:sz w:val="20"/>
                <w:szCs w:val="20"/>
                <w:lang w:val="en-US"/>
              </w:rPr>
              <w:t xml:space="preserve"> Lenovo Storage 400GB 10DWD 2.5" SAS SSD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Накопитель</w:t>
            </w:r>
            <w:r>
              <w:rPr>
                <w:sz w:val="20"/>
                <w:szCs w:val="20"/>
                <w:lang w:val="en-US"/>
              </w:rPr>
              <w:t xml:space="preserve"> Lenovo Storage 800GB 3DWD 2.5" SAS SSD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before="0" w:after="0"/>
              <w:ind w:hanging="360" w:left="720" w:right="0"/>
              <w:contextualSpacing/>
              <w:rPr>
                <w:rFonts w:ascii="Times New Roman" w:hAnsi="Times New Roman" w:eastAsia="Calibri" w:cs="Times New Roman"/>
                <w:i/>
                <w:i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i/>
                <w:lang w:val="en-US" w:eastAsia="ru-RU"/>
              </w:rPr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sz w:val="20"/>
                <w:szCs w:val="20"/>
              </w:rPr>
              <w:t>Блок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питания</w:t>
            </w:r>
            <w:r>
              <w:rPr>
                <w:sz w:val="20"/>
                <w:szCs w:val="20"/>
                <w:lang w:val="en-US"/>
              </w:rPr>
              <w:t xml:space="preserve"> Power Supply, 584W, AC, HS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шт.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>
      <w:pPr>
        <w:pStyle w:val="ListParagraph"/>
        <w:keepNext w:val="true"/>
        <w:numPr>
          <w:ilvl w:val="1"/>
          <w:numId w:val="21"/>
        </w:numPr>
        <w:spacing w:lineRule="auto" w:line="252" w:before="120" w:after="60"/>
        <w:ind w:hanging="480" w:left="840" w:right="0"/>
        <w:contextualSpacing/>
        <w:outlineLvl w:val="2"/>
        <w:rPr>
          <w:rFonts w:ascii="Times New Roman" w:hAnsi="Times New Roman" w:eastAsia="Calibri" w:cs="Times New Roman"/>
          <w:b/>
        </w:rPr>
      </w:pPr>
      <w:bookmarkStart w:id="18" w:name="__RefHeading___Toc4"/>
      <w:bookmarkStart w:id="19" w:name="_Toc10"/>
      <w:bookmarkEnd w:id="18"/>
      <w:r>
        <w:rPr>
          <w:rFonts w:eastAsia="Times New Roman"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/>
        </w:rPr>
        <w:t>Требования к срокам поставки продукции и оказания сопутствующих услуг</w:t>
      </w:r>
      <w:bookmarkEnd w:id="19"/>
    </w:p>
    <w:p>
      <w:pPr>
        <w:pStyle w:val="Normal"/>
        <w:keepNext w:val="true"/>
        <w:numPr>
          <w:ilvl w:val="0"/>
          <w:numId w:val="0"/>
        </w:numPr>
        <w:spacing w:before="120" w:after="60"/>
        <w:ind w:hanging="0" w:left="0" w:right="0"/>
        <w:outlineLvl w:val="0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bookmarkStart w:id="20" w:name="__RefHeading___Toc5"/>
      <w:bookmarkStart w:id="21" w:name="_Toc11"/>
      <w:bookmarkEnd w:id="20"/>
      <w:r>
        <w:rPr>
          <w:rFonts w:eastAsia="Calibri" w:cs="Times New Roman" w:ascii="Times New Roman" w:hAnsi="Times New Roman"/>
          <w:b/>
        </w:rPr>
        <w:t xml:space="preserve">Таблица 2.1 </w:t>
      </w:r>
      <w:bookmarkStart w:id="22" w:name="_Hlk50465284"/>
      <w:r>
        <w:rPr>
          <w:rFonts w:eastAsia="Calibri" w:cs="Times New Roman" w:ascii="Times New Roman" w:hAnsi="Times New Roman"/>
          <w:b/>
        </w:rPr>
        <w:t xml:space="preserve">Требования по срокам </w:t>
      </w:r>
      <w:bookmarkEnd w:id="22"/>
      <w:r>
        <w:rPr>
          <w:rFonts w:eastAsia="Calibri" w:cs="Times New Roman" w:ascii="Times New Roman" w:hAnsi="Times New Roman"/>
          <w:b/>
        </w:rPr>
        <w:t xml:space="preserve">поставки продукции </w:t>
      </w:r>
      <w:bookmarkEnd w:id="21"/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3372"/>
        <w:gridCol w:w="2695"/>
        <w:gridCol w:w="3116"/>
      </w:tblGrid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i/>
                <w:i/>
                <w:lang w:eastAsia="ru-RU"/>
              </w:rPr>
            </w:pPr>
            <w:r>
              <w:rPr>
                <w:rFonts w:eastAsia="Calibri" w:cs="Times New Roman" w:ascii="Times New Roman" w:hAnsi="Times New Roman"/>
                <w:i/>
                <w:lang w:eastAsia="ru-RU"/>
              </w:rPr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Оборудование согласно таблице 1.1 «Перечень и объем закупаемой продукции»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В течение 120 календарных дней с даты, следующей за датой заключения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none"/>
          <w:formProt w:val="false"/>
          <w:titlePg/>
          <w:textDirection w:val="lrTb"/>
          <w:docGrid w:type="default" w:linePitch="100" w:charSpace="0"/>
        </w:sectPr>
      </w:pPr>
    </w:p>
    <w:p>
      <w:pPr>
        <w:pStyle w:val="Normal"/>
        <w:keepNext w:val="true"/>
        <w:numPr>
          <w:ilvl w:val="1"/>
          <w:numId w:val="20"/>
        </w:numPr>
        <w:spacing w:lineRule="auto" w:line="252" w:before="120" w:after="60"/>
        <w:contextualSpacing/>
        <w:outlineLvl w:val="3"/>
        <w:rPr>
          <w:rFonts w:ascii="Times New Roman" w:hAnsi="Times New Roman" w:eastAsia="Calibri" w:cs="Times New Roman"/>
          <w:b/>
        </w:rPr>
      </w:pPr>
      <w:r>
        <w:rPr>
          <w:rFonts w:cs="Times New Roman" w:ascii="Times New Roman" w:hAnsi="Times New Roman"/>
          <w:b/>
          <w:bCs/>
        </w:rPr>
        <w:t>Требования к качеству продукции</w:t>
      </w:r>
    </w:p>
    <w:p>
      <w:pPr>
        <w:pStyle w:val="Normal"/>
        <w:keepNext w:val="true"/>
        <w:numPr>
          <w:ilvl w:val="0"/>
          <w:numId w:val="0"/>
        </w:numPr>
        <w:spacing w:lineRule="auto" w:line="252" w:before="120" w:after="60"/>
        <w:ind w:hanging="0" w:left="0" w:right="0"/>
        <w:outlineLvl w:val="0"/>
        <w:rPr>
          <w:rFonts w:ascii="Times New Roman" w:hAnsi="Times New Roman" w:eastAsia="Times New Roman" w:cs="Times New Roman"/>
          <w:i/>
          <w:i/>
          <w:iCs/>
          <w:shd w:fill="FFFF99" w:val="clear"/>
          <w:lang w:eastAsia="ru-RU"/>
        </w:rPr>
      </w:pPr>
      <w:bookmarkStart w:id="23" w:name="_Toc12"/>
      <w:r>
        <w:rPr>
          <w:rFonts w:eastAsia="Calibri" w:cs="Times New Roman" w:ascii="Times New Roman" w:hAnsi="Times New Roman"/>
          <w:b/>
        </w:rPr>
        <w:t>Таблица 3. Требования к продукции:</w:t>
      </w:r>
      <w:bookmarkEnd w:id="23"/>
    </w:p>
    <w:p>
      <w:pPr>
        <w:pStyle w:val="Normal"/>
        <w:spacing w:lineRule="auto" w:line="252" w:before="0" w:after="0"/>
        <w:jc w:val="both"/>
        <w:rPr>
          <w:rFonts w:ascii="Times New Roman" w:hAnsi="Times New Roman" w:eastAsia="Times New Roman" w:cs="Times New Roman"/>
          <w:i/>
          <w:i/>
          <w:iCs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i/>
          <w:iCs/>
          <w:shd w:fill="FFFF99" w:val="clear"/>
          <w:lang w:eastAsia="ru-RU"/>
        </w:rPr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4921"/>
        <w:gridCol w:w="822"/>
        <w:gridCol w:w="1126"/>
        <w:gridCol w:w="1482"/>
        <w:gridCol w:w="1021"/>
      </w:tblGrid>
      <w:tr>
        <w:trPr/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4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параметра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Требование заказчика</w:t>
            </w:r>
          </w:p>
        </w:tc>
        <w:tc>
          <w:tcPr>
            <w:tcW w:w="2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Способ подтверждения участником соответствия требованиям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4" w:before="0" w:after="160"/>
              <w:jc w:val="left"/>
              <w:rPr/>
            </w:pPr>
            <w:r>
              <w:rPr/>
            </w:r>
          </w:p>
        </w:tc>
        <w:tc>
          <w:tcPr>
            <w:tcW w:w="49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4" w:before="0" w:after="160"/>
              <w:jc w:val="left"/>
              <w:rPr/>
            </w:pPr>
            <w:r>
              <w:rPr/>
            </w:r>
          </w:p>
        </w:tc>
        <w:tc>
          <w:tcPr>
            <w:tcW w:w="8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4" w:before="0" w:after="160"/>
              <w:jc w:val="left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6"/>
                <w:szCs w:val="16"/>
                <w:lang w:eastAsia="ru-RU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60" w:after="6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>
        <w:trPr>
          <w:trHeight w:val="440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Накопитель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ThinkSystem 2.5" 300GB 15K SAS 12Gb Hot Swap 512n HDD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ThinkSystem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650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Server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Xeon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SP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1 /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2)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накопителя,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300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Скорость вращения шпинделя, оборотов/мин.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15к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Интерфейс SAS 12Gb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Блок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питания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ThinkSystem 750W (230/115V) Platinum Hot-Swap Power Supply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ThinkSystem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650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Server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Xeon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SP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1 /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2)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 БП: 750W (230/115V) Platinum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Блок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питания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ThinkSystem 1100W (230V/115V) Platinum Hot-Swap Power Supply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ThinkSystem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650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Server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Xeon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SP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1 /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2)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 БП: 1100W (230V/115V) Platinum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Модуль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ThinkSystem SR650 Fan Option Kit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ThinkSystem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650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Server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Xeon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SP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1 /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2)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БП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: SR650 Fan Option Kit (for 2nd Gen processors)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Контроллер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ThinkSystem RAID 930-8i 2GB Flash PCIe 12Gb Adapter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ThinkSystem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650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Server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Xeon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SP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1 /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2)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Характеристики: 2GB Flash PCIe 12Gb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уровней RAID 0/1/10/5/50/6/60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Кол-во портов SFF-8643 (mini SAS HD), 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Модуль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ThinkSystem 32GB TruDDR4 2933MHz (2Rx4 1.2V) RDIMM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ThinkSystem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650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Server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Xeon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SP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1 /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2)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Характеристики: 32GB TruDDR4 2933MHz (2Rx4 1.2V) RDIMM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Модуль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ThinkSystem 32GB TruDDR4 2666 MHz (2Rx4 1.2V) RDIMM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ThinkSystem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650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Server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Xeon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SP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1 /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Gen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2)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Характеристики: 32GB TruDDR4 2666 MHz (2Rx4 1.2V) RDIMM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Твердотельный накопитель SSD, тип 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Тип оборудования - SSD для корпоративных систем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накопителя,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240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Ресурс DWPD, перезапись всего объема накопителя в день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1.5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Интерфейс SATA 6Gb/s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Блок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питания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Power Supply 550 W AC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сервером IBM System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3550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4, 7914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efg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 БП: 550W AC Platinum 94Y8110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Модуль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Fan module, Hot-Swap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сервером IBM System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3550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4, 7914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efg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 БП: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Redundant Fan Kit для серверов IBM x3550 M4 (94Y7564)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Контроллер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ServeRAID M5110 SAS/SATA adapter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сервером IBM System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3550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4, 7914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efg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: ServeRAID M5110 SAS/SATA (00AE807)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Модуль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ServeRAID M5110 series battery kit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сервером IBM System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3550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4, 7914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efg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: ServeRAID M5110 series battery kit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Модуль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16 GB Dual-Rank 1.5 V DDR3 1866MHz RDIMM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сервером IBM System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x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3550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4, 7914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efg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val="en-US" w:eastAsia="ru-RU"/>
              </w:rPr>
              <w:t>16 GB Dual-Rank 1.5 V DDR3 1866MHz RDIMM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440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Накопитель HDD, тип 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Тип оборудования - Жесткий диск корпоративного класса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накопителя,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600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Скорость вращения шпинделя, оборотов/мин.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10к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Интерфейс SAS 12Gb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Формат накопителя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- 2.5"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Накопитель HDD, тип 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Тип оборудования - Жесткий диск корпоративного класса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накопителя,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2000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Скорость вращения шпинделя, оборотов/мин.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7.2к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Интерфейс SATA 6Gb/s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Формат накопителя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- 3.5"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Накопитель HDD, тип 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Тип оборудования - Жесткий диск корпоративного класса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накопителя,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4000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Скорость вращения шпинделя, оборотов/мин.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7.2к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Интерфейс SATA 6Gb/s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Формат накопителя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- 3.5"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Блок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питания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SuperMicro PWS-1K23A-1R 1200W 1U Redundant Power Supply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Подтвержденная документально совместимость с SuperStorage 6029P-E1CR12H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БП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: AC-DC 1200W, Titanium Level, Redundancy, 1U, PMBUS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(Supermicro).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Контроллер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Supermicro AOC-S3108L-H8IR-16DD Add-on Card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Подтвержденная документально совместимость с SuperStorage 6029P-E1CR12H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Характеристики: 2GB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уровней RAID 0/1/10/5/50/6/60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Кол-во портов SFF-8643 (mini SAS HD), 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(Supermicro).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  <w:t>Модуль CVM02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Назначение - модуль резервного сохранения данных из кэша RAID контроллера (п. 18 текущего ТЗ)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Совместим с контроллерами с кэш-памятью 2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Комплект поставки: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Модуль Flash памяти, Батарея, Набор крепежей, Крепежная площадка для батареи, кабели для подключения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(Supermicro).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Накопитель HDD, тип 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Тип оборудования - Жесткий диск корпоративного класса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накопителя,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8000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Скорость вращения шпинделя, оборотов/мин.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7.2к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Интерфейс SAS 12Gb/s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Формат накопителя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- 3.5"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Блок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питания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Dell 450-AEBL Hot-plug Power Supply (1+0),1100W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PowerEdge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БП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: Redundant Power Supply 1100W Platinum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(Dell).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>RAID-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контроллер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Dell PowerEdge 2GB PERC H730P Mini Mono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PowerEdge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R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Характеристики: 2GB Flash PCIe 12Gb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уровней RAID 0/1/10/5/50/6/60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Кол-во портов SFF-8643 (mini SAS HD), 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(Dell).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Накопитель HDD, тип 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Тип оборудования - Жесткий диск корпоративного класса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накопителя,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450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Скорость вращения шпинделя, оборотов/мин.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10к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Интерфейс SAS 12Gb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Формат накопителя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- 2.5"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Контроллер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 Broadcom Controller 9361-8i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или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эквивалент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Поддерживаемые уровни RAID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- 60, 6, 50, 5, 10, 1, 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Памят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ь,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Внутренний порт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SFF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-8643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mini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SAS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HD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), 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Интерфейс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 - PCI Express 8x rev. 3.0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 комплекте поставки кабеля:</w:t>
            </w:r>
          </w:p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Кабель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SFF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-8643&lt;-&gt;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SFF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-8087  (не менее 0,75м) – 3 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  <w:t>Модуль CVM01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Назначение - модуль резервного сохранения данных из кэша RAID контроллера (п. 18 текущего ТЗ)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Совместим с контроллерами с кэш-памятью 2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Комплект поставки: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Модуль Flash памяти, Батарея, Набор крепежей, Крепежная площадка для батареи, кабели для подключения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(Supermicro).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Блок питания ASUS 770Wt, DPS-770CB-B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Asus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RS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720-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7-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RS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24-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EG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БП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770W 80+ GOLD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440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Блок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питания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Power Supply 913W 240V/100V AC Hot Swap for BIS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DE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4000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F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ThinkSystem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) -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Type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Y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Характеристики БП: 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  <w:lang w:eastAsia="ru-RU"/>
              </w:rPr>
              <w:t>913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  <w:lang w:val="en-US" w:eastAsia="ru-RU"/>
              </w:rPr>
              <w:t>W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  <w:lang w:eastAsia="ru-RU"/>
              </w:rPr>
              <w:t xml:space="preserve"> 240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  <w:lang w:val="en-US" w:eastAsia="ru-RU"/>
              </w:rPr>
              <w:t>V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  <w:lang w:eastAsia="ru-RU"/>
              </w:rPr>
              <w:t>/100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  <w:lang w:val="en-US" w:eastAsia="ru-RU"/>
              </w:rPr>
              <w:t>V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  <w:lang w:val="en-US" w:eastAsia="ru-RU"/>
              </w:rPr>
              <w:t>AC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440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Модуль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Lenovo ThinkSystem DE Series Controller Battery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DE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4000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F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ThinkSystem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) -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Type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Y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: 01KP585 Lenovo ThinkSystem DE Series Controller Battery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440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Накопитель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Lenovo Storage 1.2TB 10K 2.5" SAS HDD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DS4200 (ThinkSystem) - Type 4617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накопителя,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1200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Скорость вращения шпинделя, оборотов/мин.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10к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Интерфейс SAS 12Gb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Накопитель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Lenovo Storage 400GB 10DWD 2.5" SAS SSD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Наименование, артикул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DS4200 (ThinkSystem) - Type 4617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Тип оборудования - SSD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накопителя,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400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Ресурс DWPD, перезапись всего объема накопителя в день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Не менее 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Интерфейс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SAS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Gb/s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Накопитель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Lenovo Storage 800GB 3DWD 2.5" SAS SSD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DS4200 (ThinkSystem) - Type 4617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Тип оборудования - SSD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Объем накопителя, Гб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Ресурс DWPD, перезапись всего объема накопителя в день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Указание характеристик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Интерфейс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SAS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Gb/s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Поддержка функции Hot Swap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ru-RU"/>
              </w:rPr>
              <w:t>Блок питания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val="en-US" w:eastAsia="ru-RU"/>
              </w:rPr>
              <w:t xml:space="preserve"> Power Supply, 584W, AC, HS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Подтвержденная документально совместимость с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Lenovo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DS4200 (ThinkSystem) - Type 4617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Характеристики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eastAsia="Calibri" w:cs="Times New Roman" w:ascii="Times New Roman" w:hAnsi="Times New Roman"/>
                <w:bCs/>
                <w:sz w:val="20"/>
                <w:szCs w:val="20"/>
                <w:lang w:val="en-US" w:eastAsia="ru-RU"/>
              </w:rPr>
              <w:t>584W, AC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6A6A6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Согласно Официальными данными Реестра промышленной продукции (РПП), на территории Российской Федерации отсутствует промышленное производство и коммерческое предложение отечественных аналогов. Все компоненты предназначены для ремонта и технического обслуживания уже эксплуатируемого парка серверов конкретных брендов (Lenovo). Их замена на нештатные, неквалифицированные аналоги технически невозможна и приведет к нарушению гарантий, потере надежности и отказу всей системы.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6A6A6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en-US" w:eastAsia="ru-RU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ru-RU"/>
              </w:rPr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</w:tr>
      <w:tr>
        <w:trPr>
          <w:trHeight w:val="666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9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Место поставки: АО «Сахаэнерго» г. Якутск переулок Энергетиков 2;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89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0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Упаковка: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Упаковка оборудования должна обеспечивать полную сохранность оборудования при транспортировке, погрузке, разгрузке, хранении и не должна иметь следов вскрытия, а также не должна быть повреждена.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89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1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Маркировка упаковки: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Маркировка упаковки каждой единицы оборудования должно давать возможность четко идентифицировать разновидность оборудования (наименование оборудования и/или каталожный номер оборудования).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соответствии с требованиями ГОСТ 17527-2014 (ISO 21067:2007) «Упаковка. Термины и определения».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60" w:after="6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60" w:after="6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60" w:after="6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Документы, передаваемые вместе с оборудованием: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 каждой единицей поставляемого оборудования должна быть предоставлена в бумажном или электронном виде в формате *.pdf (на электронном носителе информации) следующая эксплуатационная документация (при наличии):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52" w:before="0" w:after="0"/>
              <w:ind w:hanging="280" w:left="325" w:right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Руководство пользователя;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52" w:before="0" w:after="0"/>
              <w:ind w:hanging="280" w:left="325" w:right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Руководство по обслуживании..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01" w:hRule="atLeast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4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Требования к экономическим параметрам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60" w:after="6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60" w:after="6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60" w:after="6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5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Расходы на гарантийную поддержку: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Все необходимые мероприятия для постановки оборудования на гарантийную поддержку, включая активацию сервисных пакетов поддержки, Поставщик проводит своими силами и за свой счет.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Гарантия – не менее 12 мес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60" w:after="6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60" w:after="6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60" w:after="6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-//-</w:t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17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Изменение номенклатуры Оборудования: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случае отсутствия на дату комплектования Поставщиком поставляемой партии товара любой из указанной в ней номенклатурной единицы Оборудования, соответствующей Спецификации поставляемой продукции, вызванным прекращением ее производства, Поставщик по предварительному согласованию с Заказчиком должен заменить ее на эквивалент, имеющий аналогичные технические характеристики и потребительские свойства, или превышающие их без изменения цены. Замена номенклатуры производится путем подписания сторонами Дополнительного соглашения к действующему Договору.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  <w:t>-//-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pacing w:lineRule="auto" w:line="252"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ind w:hanging="0" w:left="0" w:right="0"/>
              <w:contextualSpacing/>
              <w:jc w:val="center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Применение законодательства о национальном режиме: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0"/>
                <w:szCs w:val="20"/>
              </w:rPr>
              <w:t>Ограничение не применяется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 согласно П. 6, подп. «б» Постановления Правительства РФ от 23.12.2024 № 1875 Закупка товара из числа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 (кроме товаров являющихся расходными материалами, комплектующими, принадлежностями к медицинским изделиям)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Присутствуют обстоятельства, допускающие исключение, влекущее неприменение запрета, ограничения</w:t>
            </w:r>
            <w:bookmarkStart w:id="24" w:name="_GoBack"/>
            <w:bookmarkEnd w:id="24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0"/>
                <w:szCs w:val="20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  <w:lang w:eastAsia="ru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eastAsia="ru-RU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5" w:right="851" w:gutter="0" w:header="680" w:top="1134" w:footer="0" w:bottom="992"/>
          <w:pgNumType w:fmt="none"/>
          <w:formProt w:val="false"/>
          <w:titlePg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6"/>
        </w:numPr>
        <w:tabs>
          <w:tab w:val="clear" w:pos="708"/>
        </w:tabs>
        <w:spacing w:before="120" w:after="60"/>
        <w:ind w:hanging="360" w:left="720" w:right="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5" w:name="_Toc13"/>
      <w:r>
        <w:rPr>
          <w:rFonts w:cs="Times New Roman" w:ascii="Times New Roman" w:hAnsi="Times New Roman"/>
          <w:b/>
          <w:bCs/>
          <w:sz w:val="28"/>
          <w:szCs w:val="28"/>
        </w:rPr>
        <w:t>Требования к документации по ценообразованию на этапе закупки</w:t>
      </w:r>
      <w:bookmarkEnd w:id="25"/>
    </w:p>
    <w:p>
      <w:pPr>
        <w:pStyle w:val="ListParagraph"/>
        <w:keepNext w:val="true"/>
        <w:numPr>
          <w:ilvl w:val="1"/>
          <w:numId w:val="6"/>
        </w:numPr>
        <w:spacing w:before="120" w:after="60"/>
        <w:ind w:hanging="360" w:left="644" w:right="0"/>
        <w:contextualSpacing/>
        <w:outlineLvl w:val="3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ListParagraph"/>
        <w:keepNext w:val="true"/>
        <w:numPr>
          <w:ilvl w:val="1"/>
          <w:numId w:val="6"/>
        </w:numPr>
        <w:spacing w:before="120" w:after="60"/>
        <w:ind w:hanging="360" w:left="644" w:right="0"/>
        <w:contextualSpacing/>
        <w:outlineLvl w:val="3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Дополнительные документы по ценообразованию в состав заявки не включаются</w:t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none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</w:r>
    <w:r>
      <w:rPr/>
      <w:fldChar w:fldCharType="end"/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</w:r>
    <w:r>
      <w:rPr/>
      <w:fldChar w:fldCharType="end"/>
    </w:r>
  </w:p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</w:r>
    <w:r>
      <w:rPr/>
      <w:fldChar w:fldCharType="end"/>
    </w:r>
  </w:p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decimal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Heading7"/>
      <w:numFmt w:val="decimal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"/>
      <w:numFmt w:val="decimal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pStyle w:val="Heading9"/>
      <w:numFmt w:val="decimal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decimal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decimal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  <w:rPr>
        <w:sz w:val="22"/>
        <w:i w:val="false"/>
        <w:b/>
        <w:szCs w:val="22"/>
        <w:iCs w:val="false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75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9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4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4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4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4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4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4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4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4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4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sz w:val="20"/>
        <w:b/>
        <w:szCs w:val="24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0"/>
        <w:szCs w:val="2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3"/>
      <w:numFmt w:val="decimal"/>
      <w:lvlText w:val="%2.3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1"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  <w:rPr/>
    </w:lvl>
    <w:lvl w:ilvl="1">
      <w:start w:val="2"/>
      <w:numFmt w:val="decimal"/>
      <w:lvlText w:val="%1.%2"/>
      <w:lvlJc w:val="left"/>
      <w:pPr>
        <w:tabs>
          <w:tab w:val="num" w:pos="0"/>
        </w:tabs>
        <w:ind w:left="840" w:hanging="480"/>
      </w:pPr>
      <w:rPr/>
    </w:lvl>
    <w:lvl w:ilvl="2">
      <w:start w:val="4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/>
    </w:lvl>
  </w:abstractNum>
  <w:abstractNum w:abstractNumId="22">
    <w:lvl w:ilvl="0">
      <w:start w:val="1"/>
      <w:numFmt w:val="bullet"/>
      <w:lvlText w:val="·"/>
      <w:lvlJc w:val="left"/>
      <w:pPr>
        <w:tabs>
          <w:tab w:val="num" w:pos="0"/>
        </w:tabs>
        <w:ind w:left="141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8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5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50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7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717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54" w:before="0" w:after="16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240" w:after="0"/>
      <w:outlineLvl w:val="0"/>
    </w:pPr>
    <w:rPr>
      <w:rFonts w:ascii="Calibri Light" w:hAnsi="Calibri Light" w:eastAsia="Arial" w:cs="Arial"/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eastAsia="Arial" w:cs="Arial"/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Arial" w:cs="Arial"/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Arial" w:cs="Arial"/>
      <w:i/>
      <w:iCs/>
      <w:color w:val="2E74B5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Arial" w:cs="Arial"/>
      <w:color w:val="2E74B5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Arial" w:cs="Arial"/>
      <w:color w:val="1F4D78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Arial" w:cs="Arial"/>
      <w:i/>
      <w:iCs/>
      <w:color w:val="1F4D78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Arial" w:cs="Arial"/>
      <w:color w:val="272727"/>
      <w:sz w:val="21"/>
      <w:szCs w:val="21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Arial" w:cs="Arial"/>
      <w:i/>
      <w:iCs/>
      <w:color w:val="272727"/>
      <w:sz w:val="21"/>
      <w:szCs w:val="21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4">
    <w:name w:val="WW8Num3z4"/>
    <w:qFormat/>
    <w:rPr>
      <w:rFonts w:ascii="Times New Roman" w:hAnsi="Times New Roman" w:cs="Times New Roman"/>
    </w:rPr>
  </w:style>
  <w:style w:type="character" w:styleId="WW8Num5z1">
    <w:name w:val="WW8Num5z1"/>
    <w:qFormat/>
    <w:rPr>
      <w:rFonts w:ascii="Times New Roman" w:hAnsi="Times New Roman"/>
      <w:b/>
      <w:bCs/>
      <w:i w:val="false"/>
      <w:iCs w:val="false"/>
      <w:sz w:val="22"/>
      <w:szCs w:val="22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10z0">
    <w:name w:val="WW8Num10z0"/>
    <w:qFormat/>
    <w:rPr>
      <w:b/>
      <w:bCs w:val="false"/>
      <w:sz w:val="24"/>
      <w:szCs w:val="24"/>
    </w:rPr>
  </w:style>
  <w:style w:type="character" w:styleId="WW8Num10z1">
    <w:name w:val="WW8Num10z1"/>
    <w:qFormat/>
    <w:rPr>
      <w:b/>
      <w:bCs/>
      <w:color w:val="000000"/>
      <w:sz w:val="20"/>
      <w:szCs w:val="24"/>
    </w:rPr>
  </w:style>
  <w:style w:type="character" w:styleId="WW8Num10z2">
    <w:name w:val="WW8Num10z2"/>
    <w:qFormat/>
    <w:rPr>
      <w:color w:val="000000"/>
      <w:sz w:val="20"/>
      <w:szCs w:val="20"/>
    </w:rPr>
  </w:style>
  <w:style w:type="character" w:styleId="WW8Num11z0">
    <w:name w:val="WW8Num11z0"/>
    <w:qFormat/>
    <w:rPr>
      <w:b/>
      <w:bCs w:val="false"/>
      <w:sz w:val="24"/>
      <w:szCs w:val="24"/>
    </w:rPr>
  </w:style>
  <w:style w:type="character" w:styleId="WW8Num11z1">
    <w:name w:val="WW8Num11z1"/>
    <w:qFormat/>
    <w:rPr>
      <w:b/>
      <w:bCs/>
      <w:color w:val="000000"/>
      <w:sz w:val="20"/>
      <w:szCs w:val="24"/>
    </w:rPr>
  </w:style>
  <w:style w:type="character" w:styleId="WW8Num11z2">
    <w:name w:val="WW8Num11z2"/>
    <w:qFormat/>
    <w:rPr>
      <w:color w:val="000000"/>
      <w:sz w:val="20"/>
      <w:szCs w:val="20"/>
    </w:rPr>
  </w:style>
  <w:style w:type="character" w:styleId="WW8Num12z0">
    <w:name w:val="WW8Num12z0"/>
    <w:qFormat/>
    <w:rPr>
      <w:b/>
      <w:bCs w:val="false"/>
      <w:sz w:val="24"/>
      <w:szCs w:val="24"/>
    </w:rPr>
  </w:style>
  <w:style w:type="character" w:styleId="WW8Num12z1">
    <w:name w:val="WW8Num12z1"/>
    <w:qFormat/>
    <w:rPr>
      <w:b/>
      <w:bCs/>
      <w:color w:val="000000"/>
      <w:sz w:val="20"/>
      <w:szCs w:val="24"/>
    </w:rPr>
  </w:style>
  <w:style w:type="character" w:styleId="WW8Num12z2">
    <w:name w:val="WW8Num12z2"/>
    <w:qFormat/>
    <w:rPr>
      <w:color w:val="000000"/>
      <w:sz w:val="20"/>
      <w:szCs w:val="20"/>
    </w:rPr>
  </w:style>
  <w:style w:type="character" w:styleId="WW8Num13z0">
    <w:name w:val="WW8Num13z0"/>
    <w:qFormat/>
    <w:rPr>
      <w:b/>
      <w:bCs w:val="false"/>
      <w:sz w:val="24"/>
      <w:szCs w:val="24"/>
    </w:rPr>
  </w:style>
  <w:style w:type="character" w:styleId="WW8Num13z1">
    <w:name w:val="WW8Num13z1"/>
    <w:qFormat/>
    <w:rPr>
      <w:b/>
      <w:bCs/>
      <w:color w:val="000000"/>
      <w:sz w:val="20"/>
      <w:szCs w:val="24"/>
    </w:rPr>
  </w:style>
  <w:style w:type="character" w:styleId="WW8Num13z2">
    <w:name w:val="WW8Num13z2"/>
    <w:qFormat/>
    <w:rPr>
      <w:color w:val="000000"/>
      <w:sz w:val="20"/>
      <w:szCs w:val="20"/>
    </w:rPr>
  </w:style>
  <w:style w:type="character" w:styleId="WW8Num14z0">
    <w:name w:val="WW8Num14z0"/>
    <w:qFormat/>
    <w:rPr>
      <w:b/>
      <w:bCs w:val="false"/>
      <w:sz w:val="24"/>
      <w:szCs w:val="24"/>
    </w:rPr>
  </w:style>
  <w:style w:type="character" w:styleId="WW8Num14z1">
    <w:name w:val="WW8Num14z1"/>
    <w:qFormat/>
    <w:rPr>
      <w:b/>
      <w:bCs/>
      <w:color w:val="000000"/>
      <w:sz w:val="20"/>
      <w:szCs w:val="24"/>
    </w:rPr>
  </w:style>
  <w:style w:type="character" w:styleId="WW8Num14z2">
    <w:name w:val="WW8Num14z2"/>
    <w:qFormat/>
    <w:rPr>
      <w:color w:val="000000"/>
      <w:sz w:val="20"/>
      <w:szCs w:val="20"/>
    </w:rPr>
  </w:style>
  <w:style w:type="character" w:styleId="WW8Num15z0">
    <w:name w:val="WW8Num15z0"/>
    <w:qFormat/>
    <w:rPr>
      <w:b/>
      <w:bCs w:val="false"/>
      <w:sz w:val="24"/>
      <w:szCs w:val="24"/>
    </w:rPr>
  </w:style>
  <w:style w:type="character" w:styleId="WW8Num15z1">
    <w:name w:val="WW8Num15z1"/>
    <w:qFormat/>
    <w:rPr>
      <w:b/>
      <w:bCs/>
      <w:color w:val="000000"/>
      <w:sz w:val="20"/>
      <w:szCs w:val="24"/>
    </w:rPr>
  </w:style>
  <w:style w:type="character" w:styleId="WW8Num15z2">
    <w:name w:val="WW8Num15z2"/>
    <w:qFormat/>
    <w:rPr>
      <w:color w:val="000000"/>
      <w:sz w:val="20"/>
      <w:szCs w:val="20"/>
    </w:rPr>
  </w:style>
  <w:style w:type="character" w:styleId="WW8Num16z0">
    <w:name w:val="WW8Num16z0"/>
    <w:qFormat/>
    <w:rPr>
      <w:b/>
      <w:bCs w:val="false"/>
      <w:sz w:val="24"/>
      <w:szCs w:val="24"/>
    </w:rPr>
  </w:style>
  <w:style w:type="character" w:styleId="WW8Num16z1">
    <w:name w:val="WW8Num16z1"/>
    <w:qFormat/>
    <w:rPr>
      <w:b/>
      <w:bCs/>
      <w:color w:val="000000"/>
      <w:sz w:val="20"/>
      <w:szCs w:val="24"/>
    </w:rPr>
  </w:style>
  <w:style w:type="character" w:styleId="WW8Num16z2">
    <w:name w:val="WW8Num16z2"/>
    <w:qFormat/>
    <w:rPr>
      <w:color w:val="000000"/>
      <w:sz w:val="20"/>
      <w:szCs w:val="20"/>
    </w:rPr>
  </w:style>
  <w:style w:type="character" w:styleId="WW8Num17z0">
    <w:name w:val="WW8Num17z0"/>
    <w:qFormat/>
    <w:rPr>
      <w:b/>
      <w:bCs w:val="false"/>
      <w:sz w:val="24"/>
      <w:szCs w:val="24"/>
    </w:rPr>
  </w:style>
  <w:style w:type="character" w:styleId="WW8Num17z1">
    <w:name w:val="WW8Num17z1"/>
    <w:qFormat/>
    <w:rPr>
      <w:b/>
      <w:bCs/>
      <w:color w:val="000000"/>
      <w:sz w:val="20"/>
      <w:szCs w:val="24"/>
    </w:rPr>
  </w:style>
  <w:style w:type="character" w:styleId="WW8Num17z2">
    <w:name w:val="WW8Num17z2"/>
    <w:qFormat/>
    <w:rPr>
      <w:color w:val="000000"/>
      <w:sz w:val="20"/>
      <w:szCs w:val="20"/>
    </w:rPr>
  </w:style>
  <w:style w:type="character" w:styleId="WW8Num18z0">
    <w:name w:val="WW8Num18z0"/>
    <w:qFormat/>
    <w:rPr>
      <w:b/>
      <w:bCs w:val="false"/>
      <w:sz w:val="24"/>
      <w:szCs w:val="24"/>
    </w:rPr>
  </w:style>
  <w:style w:type="character" w:styleId="WW8Num18z1">
    <w:name w:val="WW8Num18z1"/>
    <w:qFormat/>
    <w:rPr>
      <w:b/>
      <w:bCs/>
      <w:color w:val="000000"/>
      <w:sz w:val="20"/>
      <w:szCs w:val="24"/>
    </w:rPr>
  </w:style>
  <w:style w:type="character" w:styleId="WW8Num18z2">
    <w:name w:val="WW8Num18z2"/>
    <w:qFormat/>
    <w:rPr>
      <w:color w:val="000000"/>
      <w:sz w:val="20"/>
      <w:szCs w:val="20"/>
    </w:rPr>
  </w:style>
  <w:style w:type="character" w:styleId="WW8Num19z0">
    <w:name w:val="WW8Num19z0"/>
    <w:qFormat/>
    <w:rPr>
      <w:b/>
      <w:bCs w:val="false"/>
      <w:sz w:val="24"/>
      <w:szCs w:val="24"/>
    </w:rPr>
  </w:style>
  <w:style w:type="character" w:styleId="WW8Num19z1">
    <w:name w:val="WW8Num19z1"/>
    <w:qFormat/>
    <w:rPr>
      <w:b/>
      <w:bCs/>
      <w:color w:val="000000"/>
      <w:sz w:val="20"/>
      <w:szCs w:val="24"/>
    </w:rPr>
  </w:style>
  <w:style w:type="character" w:styleId="WW8Num19z2">
    <w:name w:val="WW8Num19z2"/>
    <w:qFormat/>
    <w:rPr>
      <w:color w:val="000000"/>
      <w:sz w:val="20"/>
      <w:szCs w:val="20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qFormat/>
    <w:rPr>
      <w:sz w:val="48"/>
      <w:szCs w:val="48"/>
    </w:rPr>
  </w:style>
  <w:style w:type="character" w:styleId="SubtitleChar">
    <w:name w:val="Subtitle Char"/>
    <w:basedOn w:val="DefaultParagraphFont"/>
    <w:qFormat/>
    <w:rPr>
      <w:sz w:val="24"/>
      <w:szCs w:val="24"/>
    </w:rPr>
  </w:style>
  <w:style w:type="character" w:styleId="QuoteChar">
    <w:name w:val="Quote Char"/>
    <w:qFormat/>
    <w:rPr>
      <w:i/>
    </w:rPr>
  </w:style>
  <w:style w:type="character" w:styleId="IntenseQuoteChar">
    <w:name w:val="Intense Quote Char"/>
    <w:qFormat/>
    <w:rPr>
      <w:i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CaptionChar">
    <w:name w:val="Caption Char"/>
    <w:qFormat/>
    <w:rPr/>
  </w:style>
  <w:style w:type="character" w:styleId="FootnoteTextChar">
    <w:name w:val="Footnote Text Char"/>
    <w:qFormat/>
    <w:rPr>
      <w:sz w:val="18"/>
    </w:rPr>
  </w:style>
  <w:style w:type="character" w:styleId="EndnoteTextChar">
    <w:name w:val="Endnote Text Char"/>
    <w:qFormat/>
    <w:rPr>
      <w:sz w:val="20"/>
    </w:rPr>
  </w:style>
  <w:style w:type="character" w:styleId="1">
    <w:name w:val="Заголовок 1 Знак"/>
    <w:basedOn w:val="DefaultParagraphFont"/>
    <w:qFormat/>
    <w:rPr>
      <w:rFonts w:ascii="Calibri Light" w:hAnsi="Calibri Light" w:eastAsia="Arial" w:cs="Arial"/>
      <w:color w:val="2E74B5"/>
      <w:sz w:val="32"/>
      <w:szCs w:val="32"/>
    </w:rPr>
  </w:style>
  <w:style w:type="character" w:styleId="2">
    <w:name w:val="Заголовок 2 Знак"/>
    <w:basedOn w:val="DefaultParagraphFont"/>
    <w:qFormat/>
    <w:rPr>
      <w:rFonts w:ascii="Calibri Light" w:hAnsi="Calibri Light" w:eastAsia="Arial" w:cs="Arial"/>
      <w:color w:val="2E74B5"/>
      <w:sz w:val="26"/>
      <w:szCs w:val="26"/>
    </w:rPr>
  </w:style>
  <w:style w:type="character" w:styleId="3">
    <w:name w:val="Заголовок 3 Знак"/>
    <w:basedOn w:val="DefaultParagraphFont"/>
    <w:qFormat/>
    <w:rPr>
      <w:rFonts w:ascii="Calibri Light" w:hAnsi="Calibri Light" w:eastAsia="Arial" w:cs="Arial"/>
      <w:color w:val="1F4D78"/>
      <w:sz w:val="24"/>
      <w:szCs w:val="24"/>
    </w:rPr>
  </w:style>
  <w:style w:type="character" w:styleId="4">
    <w:name w:val="Заголовок 4 Знак"/>
    <w:basedOn w:val="DefaultParagraphFont"/>
    <w:qFormat/>
    <w:rPr>
      <w:rFonts w:ascii="Calibri Light" w:hAnsi="Calibri Light" w:eastAsia="Arial" w:cs="Arial"/>
      <w:i/>
      <w:iCs/>
      <w:color w:val="2E74B5"/>
    </w:rPr>
  </w:style>
  <w:style w:type="character" w:styleId="5">
    <w:name w:val="Заголовок 5 Знак"/>
    <w:basedOn w:val="DefaultParagraphFont"/>
    <w:qFormat/>
    <w:rPr>
      <w:rFonts w:ascii="Calibri Light" w:hAnsi="Calibri Light" w:eastAsia="Arial" w:cs="Arial"/>
      <w:color w:val="2E74B5"/>
    </w:rPr>
  </w:style>
  <w:style w:type="character" w:styleId="6">
    <w:name w:val="Заголовок 6 Знак"/>
    <w:basedOn w:val="DefaultParagraphFont"/>
    <w:qFormat/>
    <w:rPr>
      <w:rFonts w:ascii="Calibri Light" w:hAnsi="Calibri Light" w:eastAsia="Arial" w:cs="Arial"/>
      <w:color w:val="1F4D78"/>
    </w:rPr>
  </w:style>
  <w:style w:type="character" w:styleId="7">
    <w:name w:val="Заголовок 7 Знак"/>
    <w:basedOn w:val="DefaultParagraphFont"/>
    <w:qFormat/>
    <w:rPr>
      <w:rFonts w:ascii="Calibri Light" w:hAnsi="Calibri Light" w:eastAsia="Arial" w:cs="Arial"/>
      <w:i/>
      <w:iCs/>
      <w:color w:val="1F4D78"/>
    </w:rPr>
  </w:style>
  <w:style w:type="character" w:styleId="8">
    <w:name w:val="Заголовок 8 Знак"/>
    <w:basedOn w:val="DefaultParagraphFont"/>
    <w:qFormat/>
    <w:rPr>
      <w:rFonts w:ascii="Calibri Light" w:hAnsi="Calibri Light" w:eastAsia="Arial" w:cs="Arial"/>
      <w:color w:val="272727"/>
      <w:sz w:val="21"/>
      <w:szCs w:val="21"/>
    </w:rPr>
  </w:style>
  <w:style w:type="character" w:styleId="9">
    <w:name w:val="Заголовок 9 Знак"/>
    <w:basedOn w:val="DefaultParagraphFont"/>
    <w:qFormat/>
    <w:rPr>
      <w:rFonts w:ascii="Calibri Light" w:hAnsi="Calibri Light" w:eastAsia="Arial" w:cs="Arial"/>
      <w:i/>
      <w:iCs/>
      <w:color w:val="272727"/>
      <w:sz w:val="21"/>
      <w:szCs w:val="21"/>
    </w:rPr>
  </w:style>
  <w:style w:type="character" w:styleId="Style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>
    <w:name w:val="Символ сноски"/>
    <w:qFormat/>
    <w:rPr>
      <w:vertAlign w:val="superscript"/>
    </w:rPr>
  </w:style>
  <w:style w:type="character" w:styleId="FootnoteReference1">
    <w:name w:val="Footnote Reference1"/>
    <w:qFormat/>
    <w:rPr>
      <w:vertAlign w:val="superscript"/>
    </w:rPr>
  </w:style>
  <w:style w:type="character" w:styleId="Style2">
    <w:name w:val="Верхний колонтитул Знак"/>
    <w:basedOn w:val="DefaultParagraphFont"/>
    <w:qFormat/>
    <w:rPr>
      <w:rFonts w:ascii="Times New Roman" w:hAnsi="Times New Roman" w:eastAsia="Times New Roman" w:cs="Times New Roman"/>
      <w:lang w:eastAsia="ru-RU"/>
    </w:rPr>
  </w:style>
  <w:style w:type="character" w:styleId="Style3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lang w:eastAsia="ru-RU"/>
    </w:rPr>
  </w:style>
  <w:style w:type="character" w:styleId="Style4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5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>
    <w:name w:val="Основной текст 3 Знак"/>
    <w:basedOn w:val="DefaultParagraphFont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>
    <w:name w:val="Основной текст с отступом 3 Знак"/>
    <w:basedOn w:val="DefaultParagraphFont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6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7">
    <w:name w:val="Текст примечания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Тема примечания Знак"/>
    <w:basedOn w:val="Style7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basedOn w:val="DefaultParagraphFont"/>
    <w:qFormat/>
    <w:rPr>
      <w:b/>
      <w:bCs/>
    </w:rPr>
  </w:style>
  <w:style w:type="character" w:styleId="Style9">
    <w:name w:val="Название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0">
    <w:name w:val="Подзаголовок Знак"/>
    <w:basedOn w:val="DefaultParagraphFont"/>
    <w:qFormat/>
    <w:rPr>
      <w:rFonts w:eastAsia="Arial"/>
      <w:color w:val="5A5A5A"/>
      <w:spacing w:val="15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23">
    <w:name w:val="Цитата 2 Знак"/>
    <w:basedOn w:val="DefaultParagraphFont"/>
    <w:qFormat/>
    <w:rPr>
      <w:i/>
      <w:iCs/>
      <w:color w:val="404040"/>
    </w:rPr>
  </w:style>
  <w:style w:type="character" w:styleId="Style11">
    <w:name w:val="Выделенная цитата Знак"/>
    <w:basedOn w:val="DefaultParagraphFont"/>
    <w:qFormat/>
    <w:rPr>
      <w:i/>
      <w:iCs/>
      <w:color w:val="5B9BD5"/>
    </w:rPr>
  </w:style>
  <w:style w:type="character" w:styleId="SubtleEmphasis">
    <w:name w:val="Subtle Emphasis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5B9BD5"/>
    </w:rPr>
  </w:style>
  <w:style w:type="character" w:styleId="SubtleReference">
    <w:name w:val="Subtle Reference"/>
    <w:basedOn w:val="DefaultParagraphFont"/>
    <w:qFormat/>
    <w:rPr>
      <w:smallCaps/>
      <w:color w:val="5A5A5A"/>
    </w:rPr>
  </w:style>
  <w:style w:type="character" w:styleId="IntenseReference">
    <w:name w:val="Intense Reference"/>
    <w:basedOn w:val="DefaultParagraphFont"/>
    <w:qFormat/>
    <w:rPr>
      <w:b/>
      <w:bCs/>
      <w:smallCaps/>
      <w:color w:val="5B9BD5"/>
      <w:spacing w:val="5"/>
    </w:rPr>
  </w:style>
  <w:style w:type="character" w:styleId="BookTitle">
    <w:name w:val="Book Title"/>
    <w:basedOn w:val="DefaultParagraphFont"/>
    <w:qFormat/>
    <w:rPr>
      <w:b/>
      <w:bCs/>
      <w:i/>
      <w:iCs/>
      <w:spacing w:val="5"/>
    </w:rPr>
  </w:style>
  <w:style w:type="character" w:styleId="Style12">
    <w:name w:val="Электронная подпись Знак"/>
    <w:basedOn w:val="DefaultParagraphFont"/>
    <w:qFormat/>
    <w:rPr>
      <w:rFonts w:ascii="Times New Roman" w:hAnsi="Times New Roman" w:eastAsia="Calibri" w:cs="Times New Roman"/>
    </w:rPr>
  </w:style>
  <w:style w:type="character" w:styleId="11">
    <w:name w:val="Подпункт Знак1"/>
    <w:qFormat/>
    <w:rPr>
      <w:rFonts w:ascii="Times New Roman" w:hAnsi="Times New Roman" w:eastAsia="Times New Roman" w:cs="Times New Roman"/>
      <w:sz w:val="28"/>
      <w:szCs w:val="20"/>
    </w:rPr>
  </w:style>
  <w:style w:type="character" w:styleId="Blk">
    <w:name w:val="blk"/>
    <w:qFormat/>
    <w:rPr/>
  </w:style>
  <w:style w:type="character" w:styleId="Style13">
    <w:name w:val="Абзац списка Знак"/>
    <w:qFormat/>
    <w:rPr/>
  </w:style>
  <w:style w:type="character" w:styleId="Style14">
    <w:name w:val="комментарий"/>
    <w:qFormat/>
    <w:rPr>
      <w:b/>
      <w:i/>
      <w:shd w:fill="FFFF99" w:val="clear"/>
    </w:rPr>
  </w:style>
  <w:style w:type="character" w:styleId="Style15">
    <w:name w:val="Подподпункт Знак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>
    <w:name w:val="УРОВЕНЬ_Абзац_тип3 Знак"/>
    <w:qFormat/>
    <w:rPr>
      <w:sz w:val="26"/>
      <w:szCs w:val="28"/>
    </w:rPr>
  </w:style>
  <w:style w:type="character" w:styleId="Style16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1">
    <w:name w:val="Endnote Reference1"/>
    <w:qFormat/>
    <w:rPr>
      <w:vertAlign w:val="superscript"/>
    </w:rPr>
  </w:style>
  <w:style w:type="character" w:styleId="24">
    <w:name w:val="Пункт2 Знак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>
    <w:name w:val="УРОВЕНЬ_1. Знак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>
    <w:name w:val="Неразрешенное упоминание1"/>
    <w:qFormat/>
    <w:rPr>
      <w:color w:val="605E5C"/>
      <w:shd w:fill="E1DFDD" w:val="clear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14">
    <w:name w:val="Название Знак1"/>
    <w:basedOn w:val="DefaultParagraphFont"/>
    <w:qFormat/>
    <w:rPr>
      <w:rFonts w:ascii="Calibri Light" w:hAnsi="Calibri Light" w:eastAsia="Arial" w:cs="Arial"/>
      <w:spacing w:val="-10"/>
      <w:sz w:val="56"/>
      <w:szCs w:val="56"/>
    </w:rPr>
  </w:style>
  <w:style w:type="character" w:styleId="25">
    <w:name w:val="Неразрешенное упоминание2"/>
    <w:basedOn w:val="DefaultParagraphFont"/>
    <w:qFormat/>
    <w:rPr>
      <w:color w:val="605E5C"/>
      <w:shd w:fill="E1DFDD" w:val="clear"/>
    </w:rPr>
  </w:style>
  <w:style w:type="character" w:styleId="Style18">
    <w:name w:val="Ссылка указателя"/>
    <w:qFormat/>
    <w:rPr/>
  </w:style>
  <w:style w:type="character" w:styleId="Linenumber1">
    <w:name w:val="line number1"/>
    <w:qFormat/>
    <w:rPr/>
  </w:style>
  <w:style w:type="character" w:styleId="15">
    <w:name w:val="Заголовок Знак1"/>
    <w:basedOn w:val="DefaultParagraphFont"/>
    <w:qFormat/>
    <w:rPr>
      <w:rFonts w:ascii="Calibri Light" w:hAnsi="Calibri Light" w:eastAsia="Calibri Light" w:cs="Calibri Light"/>
      <w:spacing w:val="-10"/>
      <w:sz w:val="56"/>
      <w:szCs w:val="56"/>
    </w:rPr>
  </w:style>
  <w:style w:type="character" w:styleId="16">
    <w:name w:val="Основной текст Знак1"/>
    <w:basedOn w:val="DefaultParagraphFont"/>
    <w:qFormat/>
    <w:rPr/>
  </w:style>
  <w:style w:type="character" w:styleId="17">
    <w:name w:val="Текст сноски Знак1"/>
    <w:basedOn w:val="DefaultParagraphFont"/>
    <w:qFormat/>
    <w:rPr>
      <w:sz w:val="20"/>
      <w:szCs w:val="20"/>
    </w:rPr>
  </w:style>
  <w:style w:type="character" w:styleId="18">
    <w:name w:val="Верхний колонтитул Знак1"/>
    <w:basedOn w:val="DefaultParagraphFont"/>
    <w:qFormat/>
    <w:rPr/>
  </w:style>
  <w:style w:type="character" w:styleId="19">
    <w:name w:val="Основной текст с отступом Знак1"/>
    <w:basedOn w:val="DefaultParagraphFont"/>
    <w:qFormat/>
    <w:rPr/>
  </w:style>
  <w:style w:type="character" w:styleId="110">
    <w:name w:val="Нижний колонтитул Знак1"/>
    <w:basedOn w:val="DefaultParagraphFont"/>
    <w:qFormat/>
    <w:rPr/>
  </w:style>
  <w:style w:type="character" w:styleId="211">
    <w:name w:val="Основной текст с отступом 2 Знак1"/>
    <w:basedOn w:val="DefaultParagraphFont"/>
    <w:qFormat/>
    <w:rPr/>
  </w:style>
  <w:style w:type="character" w:styleId="311">
    <w:name w:val="Основной текст 3 Знак1"/>
    <w:basedOn w:val="DefaultParagraphFont"/>
    <w:qFormat/>
    <w:rPr>
      <w:sz w:val="16"/>
      <w:szCs w:val="16"/>
    </w:rPr>
  </w:style>
  <w:style w:type="character" w:styleId="312">
    <w:name w:val="Основной текст с отступом 3 Знак1"/>
    <w:basedOn w:val="DefaultParagraphFont"/>
    <w:qFormat/>
    <w:rPr>
      <w:sz w:val="16"/>
      <w:szCs w:val="16"/>
    </w:rPr>
  </w:style>
  <w:style w:type="character" w:styleId="212">
    <w:name w:val="Основной текст 2 Знак1"/>
    <w:basedOn w:val="DefaultParagraphFont"/>
    <w:qFormat/>
    <w:rPr/>
  </w:style>
  <w:style w:type="character" w:styleId="111">
    <w:name w:val="Текст выноски Знак1"/>
    <w:basedOn w:val="DefaultParagraphFont"/>
    <w:qFormat/>
    <w:rPr>
      <w:rFonts w:ascii="Segoe UI" w:hAnsi="Segoe UI" w:cs="Segoe UI"/>
      <w:sz w:val="18"/>
      <w:szCs w:val="18"/>
    </w:rPr>
  </w:style>
  <w:style w:type="character" w:styleId="112">
    <w:name w:val="Текст примечания Знак1"/>
    <w:basedOn w:val="DefaultParagraphFont"/>
    <w:qFormat/>
    <w:rPr>
      <w:sz w:val="20"/>
      <w:szCs w:val="20"/>
    </w:rPr>
  </w:style>
  <w:style w:type="character" w:styleId="113">
    <w:name w:val="Тема примечания Знак1"/>
    <w:basedOn w:val="112"/>
    <w:qFormat/>
    <w:rPr>
      <w:b/>
      <w:bCs/>
      <w:sz w:val="20"/>
      <w:szCs w:val="20"/>
    </w:rPr>
  </w:style>
  <w:style w:type="character" w:styleId="114">
    <w:name w:val="Подзаголовок Знак1"/>
    <w:basedOn w:val="DefaultParagraphFont"/>
    <w:qFormat/>
    <w:rPr>
      <w:rFonts w:ascii="Calibri Light" w:hAnsi="Calibri Light" w:eastAsia="Calibri Light" w:cs="Calibri Light"/>
      <w:color w:val="595959"/>
      <w:spacing w:val="15"/>
      <w:sz w:val="28"/>
      <w:szCs w:val="28"/>
    </w:rPr>
  </w:style>
  <w:style w:type="character" w:styleId="213">
    <w:name w:val="Цитата 2 Знак1"/>
    <w:basedOn w:val="DefaultParagraphFont"/>
    <w:qFormat/>
    <w:rPr>
      <w:i/>
      <w:iCs/>
      <w:color w:val="404040"/>
    </w:rPr>
  </w:style>
  <w:style w:type="character" w:styleId="115">
    <w:name w:val="Выделенная цитата Знак1"/>
    <w:basedOn w:val="DefaultParagraphFont"/>
    <w:qFormat/>
    <w:rPr>
      <w:i/>
      <w:iCs/>
      <w:color w:val="2E74B5"/>
    </w:rPr>
  </w:style>
  <w:style w:type="character" w:styleId="116">
    <w:name w:val="Электронная подпись Знак1"/>
    <w:basedOn w:val="DefaultParagraphFont"/>
    <w:qFormat/>
    <w:rPr/>
  </w:style>
  <w:style w:type="character" w:styleId="117">
    <w:name w:val="Текст концевой сноски Знак1"/>
    <w:basedOn w:val="DefaultParagraphFont"/>
    <w:qFormat/>
    <w:rPr>
      <w:sz w:val="20"/>
      <w:szCs w:val="20"/>
    </w:rPr>
  </w:style>
  <w:style w:type="character" w:styleId="Linenumber">
    <w:name w:val="line number"/>
    <w:qFormat/>
    <w:rPr/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Style19">
    <w:name w:val="Символ нумерации"/>
    <w:qFormat/>
    <w:rPr/>
  </w:style>
  <w:style w:type="character" w:styleId="EndnoteReference">
    <w:name w:val="Endnote Reference"/>
    <w:rPr>
      <w:vertAlign w:val="superscript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le1">
    <w:name w:val="Title1"/>
    <w:basedOn w:val="Normal"/>
    <w:next w:val="BodyText"/>
    <w:qFormat/>
    <w:pPr>
      <w:spacing w:lineRule="auto" w:line="240" w:before="0" w:after="0"/>
      <w:contextualSpacing/>
    </w:pPr>
    <w:rPr>
      <w:rFonts w:ascii="Calibri Light" w:hAnsi="Calibri Light" w:eastAsia="Arial" w:cs="Arial"/>
      <w:spacing w:val="-10"/>
      <w:sz w:val="56"/>
      <w:szCs w:val="56"/>
    </w:rPr>
  </w:style>
  <w:style w:type="paragraph" w:styleId="Indexheading1">
    <w:name w:val="index heading1"/>
    <w:basedOn w:val="Title1"/>
    <w:qFormat/>
    <w:pPr/>
    <w:rPr/>
  </w:style>
  <w:style w:type="paragraph" w:styleId="Tableoffigures">
    <w:name w:val="table of figures"/>
    <w:basedOn w:val="Normal"/>
    <w:next w:val="Normal"/>
    <w:qFormat/>
    <w:pPr>
      <w:spacing w:before="0" w:after="0"/>
    </w:pPr>
    <w:rPr/>
  </w:style>
  <w:style w:type="paragraph" w:styleId="Style22">
    <w:name w:val="Название раздела инструкции"/>
    <w:basedOn w:val="Normal"/>
    <w:qFormat/>
    <w:pPr>
      <w:spacing w:before="0" w:after="0"/>
      <w:jc w:val="center"/>
    </w:pPr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paragraph" w:styleId="Style23">
    <w:name w:val="Раздел положения"/>
    <w:basedOn w:val="Normal"/>
    <w:qFormat/>
    <w:pPr>
      <w:numPr>
        <w:ilvl w:val="0"/>
        <w:numId w:val="2"/>
      </w:numPr>
      <w:spacing w:before="80" w:after="80"/>
      <w:jc w:val="center"/>
    </w:pPr>
    <w:rPr>
      <w:rFonts w:ascii="Times New Roman" w:hAnsi="Times New Roman" w:eastAsia="Times New Roman" w:cs="Times New Roman"/>
      <w:b/>
      <w:sz w:val="32"/>
      <w:szCs w:val="32"/>
      <w:lang w:eastAsia="ru-RU"/>
    </w:rPr>
  </w:style>
  <w:style w:type="paragraph" w:styleId="Style24">
    <w:name w:val="Подраздел раздела положения"/>
    <w:basedOn w:val="Normal"/>
    <w:qFormat/>
    <w:pPr>
      <w:numPr>
        <w:ilvl w:val="0"/>
        <w:numId w:val="2"/>
      </w:numPr>
      <w:spacing w:before="80" w:after="8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FootnoteText">
    <w:name w:val="Footnote Text"/>
    <w:basedOn w:val="Normal"/>
    <w:pPr>
      <w:spacing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8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rFonts w:ascii="Times New Roman" w:hAnsi="Times New Roman" w:eastAsia="Times New Roman" w:cs="Times New Roman"/>
      <w:lang w:eastAsia="ru-RU"/>
    </w:rPr>
  </w:style>
  <w:style w:type="paragraph" w:styleId="26">
    <w:name w:val="Шапка 2"/>
    <w:basedOn w:val="Normal"/>
    <w:qFormat/>
    <w:pPr>
      <w:pBdr>
        <w:bottom w:val="single" w:sz="24" w:space="1" w:color="000000"/>
      </w:pBdr>
      <w:jc w:val="center"/>
    </w:pPr>
    <w:rPr>
      <w:rFonts w:ascii="Times New Roman" w:hAnsi="Times New Roman" w:eastAsia="Times New Roman" w:cs="Times New Roman"/>
      <w:b/>
      <w:lang w:eastAsia="ru-RU"/>
    </w:rPr>
  </w:style>
  <w:style w:type="paragraph" w:styleId="34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rFonts w:ascii="Times New Roman" w:hAnsi="Times New Roman" w:eastAsia="Times New Roman" w:cs="Times New Roman"/>
      <w:b/>
      <w:lang w:eastAsia="ru-RU"/>
    </w:rPr>
  </w:style>
  <w:style w:type="paragraph" w:styleId="119">
    <w:name w:val="Название1"/>
    <w:basedOn w:val="Normal"/>
    <w:qFormat/>
    <w:pPr>
      <w:spacing w:before="0" w:after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before="0" w:after="0"/>
    </w:pPr>
    <w:rPr>
      <w:rFonts w:ascii="Times New Roman" w:hAnsi="Times New Roman" w:eastAsia="Times New Roman" w:cs="Times New Roman"/>
      <w:lang w:eastAsia="ru-RU"/>
    </w:rPr>
  </w:style>
  <w:style w:type="paragraph" w:styleId="BodyTextIndent">
    <w:name w:val="Body Text Indent"/>
    <w:basedOn w:val="Normal"/>
    <w:pPr>
      <w:spacing w:before="0" w:after="0"/>
      <w:ind w:hanging="0" w:left="360" w:right="0"/>
    </w:pPr>
    <w:rPr>
      <w:rFonts w:ascii="Times New Roman" w:hAnsi="Times New Roman" w:eastAsia="Times New Roman" w:cs="Times New Roman"/>
      <w:lang w:eastAsia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before="0" w:after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qFormat/>
    <w:pPr>
      <w:spacing w:lineRule="auto" w:line="480"/>
      <w:ind w:hanging="0" w:left="283" w:right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qFormat/>
    <w:pPr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qFormat/>
    <w:pPr>
      <w:ind w:hanging="0" w:left="283" w:right="0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qFormat/>
    <w:pPr>
      <w:spacing w:lineRule="auto" w:line="48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spacing w:before="0" w:after="0"/>
      <w:ind w:hanging="0" w:left="-567" w:right="-766"/>
      <w:jc w:val="center"/>
    </w:pPr>
    <w:rPr>
      <w:rFonts w:ascii="Times New Roman" w:hAnsi="Times New Roman" w:eastAsia="Times New Roman" w:cs="Times New Roman"/>
      <w:b/>
      <w:bCs/>
      <w:szCs w:val="20"/>
      <w:lang w:eastAsia="ru-RU"/>
    </w:rPr>
  </w:style>
  <w:style w:type="paragraph" w:styleId="Style26">
    <w:name w:val="Подпункт"/>
    <w:basedOn w:val="Normal"/>
    <w:qFormat/>
    <w:pPr>
      <w:tabs>
        <w:tab w:val="clear" w:pos="708"/>
        <w:tab w:val="left" w:pos="1134" w:leader="none"/>
      </w:tabs>
      <w:spacing w:lineRule="auto" w:line="360" w:before="0" w:after="0"/>
      <w:ind w:hanging="1134" w:left="1134" w:right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27">
    <w:name w:val="Пункт2"/>
    <w:basedOn w:val="Normal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pacing w:before="240" w:after="160"/>
      <w:ind w:hanging="1134" w:left="1134" w:right="0"/>
      <w:outlineLvl w:val="2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pPr>
      <w:spacing w:before="120" w:after="0"/>
    </w:pPr>
    <w:rPr>
      <w:rFonts w:ascii="Times New Roman" w:hAnsi="Times New Roman" w:eastAsia="Times New Roman" w:cs="Calibri Light (Заголовки)"/>
      <w:b/>
      <w:bCs/>
      <w:lang w:eastAsia="ru-RU"/>
    </w:rPr>
  </w:style>
  <w:style w:type="paragraph" w:styleId="TOC3">
    <w:name w:val="TOC 3"/>
    <w:basedOn w:val="Normal"/>
    <w:next w:val="Normal"/>
    <w:pPr>
      <w:tabs>
        <w:tab w:val="clear" w:pos="708"/>
        <w:tab w:val="left" w:pos="1134" w:leader="none"/>
      </w:tabs>
      <w:spacing w:before="0" w:after="0"/>
      <w:ind w:hanging="0" w:left="280" w:right="0"/>
    </w:pPr>
    <w:rPr>
      <w:rFonts w:ascii="Times New Roman" w:hAnsi="Times New Roman" w:cs="Times New Roman"/>
      <w:b/>
      <w:sz w:val="20"/>
      <w:szCs w:val="20"/>
    </w:rPr>
  </w:style>
  <w:style w:type="paragraph" w:styleId="Style27">
    <w:name w:val="Раздел регламента"/>
    <w:basedOn w:val="Normal"/>
    <w:qFormat/>
    <w:pPr>
      <w:spacing w:before="0" w:after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Style28">
    <w:name w:val="Приложение к регламенту"/>
    <w:basedOn w:val="Normal"/>
    <w:qFormat/>
    <w:pPr>
      <w:spacing w:before="0" w:after="0"/>
      <w:jc w:val="right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pPr>
      <w:spacing w:before="240" w:after="0"/>
    </w:pPr>
    <w:rPr>
      <w:rFonts w:ascii="Times New Roman" w:hAnsi="Times New Roman"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qFormat/>
    <w:pPr>
      <w:spacing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qFormat/>
    <w:pPr>
      <w:spacing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20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lang w:eastAsia="ru-RU"/>
    </w:rPr>
  </w:style>
  <w:style w:type="paragraph" w:styleId="TOC9">
    <w:name w:val="TOC 9"/>
    <w:basedOn w:val="Normal"/>
    <w:next w:val="Normal"/>
    <w:pPr>
      <w:spacing w:before="0" w:after="0"/>
      <w:ind w:hanging="0" w:left="1960" w:right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pPr>
      <w:spacing w:before="0" w:after="0"/>
      <w:ind w:hanging="0" w:left="840" w:right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pPr>
      <w:spacing w:before="0" w:after="0"/>
      <w:ind w:hanging="0" w:left="560" w:right="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28">
    <w:name w:val="Раздел положения 2"/>
    <w:basedOn w:val="Normal"/>
    <w:qFormat/>
    <w:pPr>
      <w:pageBreakBefore/>
      <w:numPr>
        <w:ilvl w:val="0"/>
        <w:numId w:val="0"/>
      </w:numPr>
      <w:spacing w:before="0" w:after="0"/>
      <w:jc w:val="both"/>
      <w:outlineLvl w:val="0"/>
    </w:pPr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paragraph" w:styleId="Style29">
    <w:name w:val="Знак Знак Знак Знак Знак Знак Знак Знак Знак"/>
    <w:basedOn w:val="Normal"/>
    <w:qFormat/>
    <w:pPr>
      <w:spacing w:lineRule="exact" w:line="240"/>
      <w:jc w:val="both"/>
    </w:pPr>
    <w:rPr>
      <w:rFonts w:ascii="Verdana" w:hAnsi="Verdana" w:eastAsia="Times New Roman" w:cs="Verdana"/>
      <w:lang w:val="en-US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Caption11">
    <w:name w:val="caption11"/>
    <w:basedOn w:val="Normal"/>
    <w:next w:val="Normal"/>
    <w:qFormat/>
    <w:pPr>
      <w:spacing w:lineRule="auto" w:line="240" w:before="0" w:after="200"/>
    </w:pPr>
    <w:rPr>
      <w:i/>
      <w:iCs/>
      <w:color w:val="44546A"/>
      <w:sz w:val="18"/>
      <w:szCs w:val="18"/>
    </w:rPr>
  </w:style>
  <w:style w:type="paragraph" w:styleId="Subtitle">
    <w:name w:val="Subtitle"/>
    <w:basedOn w:val="Normal"/>
    <w:next w:val="Normal"/>
    <w:qFormat/>
    <w:pPr/>
    <w:rPr>
      <w:rFonts w:eastAsia="Arial"/>
      <w:color w:val="5A5A5A"/>
      <w:spacing w:val="15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Quote">
    <w:name w:val="Quote"/>
    <w:basedOn w:val="Normal"/>
    <w:next w:val="Normal"/>
    <w:qFormat/>
    <w:pPr>
      <w:spacing w:before="200" w:after="160"/>
      <w:ind w:hanging="0" w:left="864" w:right="864"/>
      <w:jc w:val="center"/>
    </w:pPr>
    <w:rPr>
      <w:i/>
      <w:iCs/>
      <w:color w:val="404040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D59B5B"/>
        <w:bottom w:val="single" w:sz="4" w:space="10" w:color="D59B5B"/>
      </w:pBdr>
      <w:spacing w:before="360" w:after="360"/>
      <w:ind w:hanging="0" w:left="864" w:right="864"/>
      <w:jc w:val="center"/>
    </w:pPr>
    <w:rPr>
      <w:i/>
      <w:iCs/>
      <w:color w:val="5B9BD5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  <w:outlineLvl w:val="9"/>
    </w:pPr>
    <w:rPr/>
  </w:style>
  <w:style w:type="paragraph" w:styleId="E-mailSignature">
    <w:name w:val="E-mail Signature"/>
    <w:basedOn w:val="Normal"/>
    <w:qFormat/>
    <w:pPr>
      <w:spacing w:before="0" w:after="0"/>
    </w:pPr>
    <w:rPr>
      <w:rFonts w:ascii="Times New Roman" w:hAnsi="Times New Roman" w:eastAsia="Calibri" w:cs="Times New Roman"/>
    </w:rPr>
  </w:style>
  <w:style w:type="paragraph" w:styleId="Style30">
    <w:name w:val="Знак"/>
    <w:basedOn w:val="Normal"/>
    <w:qFormat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>
    <w:name w:val="Нумерованный список ур3"/>
    <w:basedOn w:val="Normal"/>
    <w:qFormat/>
    <w:pPr>
      <w:numPr>
        <w:ilvl w:val="0"/>
        <w:numId w:val="3"/>
      </w:numPr>
      <w:spacing w:before="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41">
    <w:name w:val="Маркированный список 4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9">
    <w:name w:val="Нумерованный список ур2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ConsPlusNormal">
    <w:name w:val="ConsPlusNormal"/>
    <w:qFormat/>
    <w:pPr>
      <w:widowControl w:val="false"/>
      <w:kinsoku w:val="true"/>
      <w:overflowPunct w:val="true"/>
      <w:autoSpaceDE w:val="true"/>
      <w:bidi w:val="0"/>
      <w:spacing w:before="0" w:after="0"/>
      <w:ind w:firstLine="720" w:left="0" w:right="0"/>
      <w:jc w:val="left"/>
    </w:pPr>
    <w:rPr>
      <w:rFonts w:ascii="Calibri" w:hAnsi="Calibri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>
    <w:name w:val="Знак Знак3 Знак Знак"/>
    <w:basedOn w:val="Normal"/>
    <w:qFormat/>
    <w:pPr>
      <w:spacing w:lineRule="exact" w:line="240"/>
      <w:jc w:val="both"/>
    </w:pPr>
    <w:rPr>
      <w:rFonts w:ascii="Verdana" w:hAnsi="Verdana" w:eastAsia="Times New Roman" w:cs="Verdana"/>
      <w:lang w:val="en-US"/>
    </w:rPr>
  </w:style>
  <w:style w:type="paragraph" w:styleId="Style3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eastAsia="Times New Roman" w:cs="Times New Roman"/>
      <w:b/>
      <w:i/>
      <w:sz w:val="28"/>
      <w:szCs w:val="20"/>
      <w:lang w:eastAsia="ru-RU"/>
    </w:rPr>
  </w:style>
  <w:style w:type="paragraph" w:styleId="121">
    <w:name w:val="Абзац списка1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</w:rPr>
  </w:style>
  <w:style w:type="paragraph" w:styleId="Style32">
    <w:name w:val="Таблица"/>
    <w:basedOn w:val="Normal"/>
    <w:qFormat/>
    <w:pPr>
      <w:keepNext w:val="true"/>
      <w:spacing w:before="60" w:after="60"/>
      <w:jc w:val="center"/>
    </w:pPr>
    <w:rPr>
      <w:rFonts w:ascii="Times New Roman" w:hAnsi="Times New Roman" w:eastAsia="Calibri" w:cs="Times New Roman"/>
      <w:b/>
    </w:rPr>
  </w:style>
  <w:style w:type="paragraph" w:styleId="Style33">
    <w:name w:val="Таблица шапка"/>
    <w:basedOn w:val="Normal"/>
    <w:qFormat/>
    <w:pPr>
      <w:keepNext w:val="true"/>
      <w:spacing w:before="40" w:after="40"/>
      <w:ind w:hanging="0" w:left="57" w:right="57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Style34">
    <w:name w:val="Подподпункт"/>
    <w:basedOn w:val="Style26"/>
    <w:qFormat/>
    <w:pPr>
      <w:tabs>
        <w:tab w:val="clear" w:pos="1134"/>
        <w:tab w:val="left" w:pos="5104" w:leader="none"/>
      </w:tabs>
      <w:spacing w:lineRule="auto" w:line="240" w:before="120" w:after="0"/>
      <w:ind w:hanging="567" w:left="5104" w:right="0"/>
    </w:pPr>
    <w:rPr>
      <w:sz w:val="26"/>
      <w:szCs w:val="26"/>
      <w:lang w:eastAsia="ru-RU"/>
    </w:rPr>
  </w:style>
  <w:style w:type="paragraph" w:styleId="Style35">
    <w:name w:val="УРОВЕНЬ_(а)"/>
    <w:basedOn w:val="ListParagraph"/>
    <w:qFormat/>
    <w:pPr>
      <w:numPr>
        <w:ilvl w:val="0"/>
        <w:numId w:val="4"/>
      </w:numPr>
      <w:spacing w:lineRule="exact" w:line="360" w:before="120" w:after="160"/>
      <w:contextualSpacing w:val="false"/>
      <w:jc w:val="both"/>
      <w:outlineLvl w:val="3"/>
    </w:pPr>
    <w:rPr>
      <w:sz w:val="26"/>
      <w:szCs w:val="28"/>
    </w:rPr>
  </w:style>
  <w:style w:type="paragraph" w:styleId="-">
    <w:name w:val="УРОВЕНЬ_-"/>
    <w:basedOn w:val="ListParagraph"/>
    <w:qFormat/>
    <w:pPr>
      <w:numPr>
        <w:ilvl w:val="0"/>
        <w:numId w:val="4"/>
      </w:numPr>
      <w:spacing w:lineRule="exact" w:line="360" w:before="120" w:after="160"/>
      <w:contextualSpacing w:val="false"/>
      <w:jc w:val="both"/>
      <w:outlineLvl w:val="4"/>
    </w:pPr>
    <w:rPr>
      <w:sz w:val="26"/>
      <w:szCs w:val="28"/>
    </w:rPr>
  </w:style>
  <w:style w:type="paragraph" w:styleId="210">
    <w:name w:val="УРОВЕНЬ_Абзац_тип2"/>
    <w:basedOn w:val="ListParagraph"/>
    <w:qFormat/>
    <w:pPr>
      <w:numPr>
        <w:ilvl w:val="0"/>
        <w:numId w:val="4"/>
      </w:numPr>
      <w:spacing w:lineRule="exact" w:line="360" w:before="120" w:after="160"/>
      <w:contextualSpacing w:val="false"/>
      <w:jc w:val="both"/>
    </w:pPr>
    <w:rPr>
      <w:sz w:val="26"/>
      <w:szCs w:val="28"/>
    </w:rPr>
  </w:style>
  <w:style w:type="paragraph" w:styleId="37">
    <w:name w:val="УРОВЕНЬ_Абзац_тип3"/>
    <w:basedOn w:val="ListParagraph"/>
    <w:qFormat/>
    <w:pPr>
      <w:numPr>
        <w:ilvl w:val="0"/>
        <w:numId w:val="4"/>
      </w:numPr>
      <w:spacing w:lineRule="exact" w:line="360" w:before="120" w:after="160"/>
      <w:contextualSpacing w:val="false"/>
      <w:jc w:val="both"/>
    </w:pPr>
    <w:rPr>
      <w:sz w:val="26"/>
      <w:szCs w:val="28"/>
    </w:rPr>
  </w:style>
  <w:style w:type="paragraph" w:styleId="Style36">
    <w:name w:val="УРОВЕНЬ_Подпись"/>
    <w:basedOn w:val="ListParagraph"/>
    <w:qFormat/>
    <w:pPr>
      <w:keepNext w:val="true"/>
      <w:numPr>
        <w:ilvl w:val="0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22">
    <w:name w:val="Стиль Заголовок 1 + по ширине"/>
    <w:basedOn w:val="Heading1"/>
    <w:qFormat/>
    <w:pPr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hanging="567" w:left="567" w:right="0"/>
      <w:jc w:val="both"/>
      <w:outlineLvl w:val="9"/>
    </w:pPr>
    <w:rPr>
      <w:rFonts w:ascii="Arial" w:hAnsi="Arial" w:eastAsia="Times New Roman" w:cs="Arial"/>
      <w:bCs/>
      <w:sz w:val="40"/>
      <w:szCs w:val="20"/>
      <w:lang w:eastAsia="ru-RU"/>
    </w:rPr>
  </w:style>
  <w:style w:type="paragraph" w:styleId="EndnoteText">
    <w:name w:val="Endnote Text"/>
    <w:basedOn w:val="Normal"/>
    <w:pPr>
      <w:spacing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14">
    <w:name w:val="Заголовок 2 КВВ"/>
    <w:basedOn w:val="Normal"/>
    <w:qFormat/>
    <w:pPr>
      <w:keepNext w:val="true"/>
      <w:numPr>
        <w:ilvl w:val="0"/>
        <w:numId w:val="5"/>
      </w:numPr>
      <w:spacing w:before="120" w:after="160"/>
      <w:jc w:val="both"/>
      <w:outlineLvl w:val="0"/>
    </w:pPr>
    <w:rPr>
      <w:rFonts w:ascii="Times New Roman" w:hAnsi="Times New Roman" w:eastAsia="Times New Roman" w:cs="Times New Roman"/>
      <w:b/>
      <w:szCs w:val="20"/>
    </w:rPr>
  </w:style>
  <w:style w:type="paragraph" w:styleId="Style37">
    <w:name w:val="Таблица текст"/>
    <w:basedOn w:val="Normal"/>
    <w:qFormat/>
    <w:pPr>
      <w:spacing w:before="40" w:after="40"/>
      <w:ind w:hanging="0" w:left="57" w:right="57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123">
    <w:name w:val="УРОВЕНЬ_1."/>
    <w:basedOn w:val="ListParagraph"/>
    <w:qFormat/>
    <w:pPr>
      <w:keepNext w:val="true"/>
      <w:keepLines/>
      <w:numPr>
        <w:ilvl w:val="0"/>
        <w:numId w:val="0"/>
      </w:numPr>
      <w:spacing w:lineRule="auto" w:line="276" w:before="240" w:after="120"/>
      <w:ind w:hanging="0" w:left="0" w:right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pPr>
      <w:spacing w:before="0" w:after="0"/>
      <w:ind w:hanging="0" w:left="1120" w:right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pPr>
      <w:spacing w:before="0" w:after="0"/>
      <w:ind w:hanging="0" w:left="1400" w:right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pPr>
      <w:spacing w:before="0" w:after="0"/>
      <w:ind w:hanging="0" w:left="1680" w:right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2"/>
      <w:szCs w:val="22"/>
      <w:lang w:val="ru-RU" w:eastAsia="en-US" w:bidi="ar-SA"/>
    </w:rPr>
  </w:style>
  <w:style w:type="paragraph" w:styleId="Index1">
    <w:name w:val="index 1"/>
    <w:basedOn w:val="Normal"/>
    <w:next w:val="Normal"/>
    <w:qFormat/>
    <w:pPr>
      <w:spacing w:lineRule="auto" w:line="240" w:before="0" w:after="0"/>
      <w:ind w:hanging="220" w:left="220" w:right="0"/>
    </w:pPr>
    <w:rPr/>
  </w:style>
  <w:style w:type="paragraph" w:styleId="Indexheading11">
    <w:name w:val="index heading11"/>
    <w:basedOn w:val="Title1"/>
    <w:qFormat/>
    <w:pPr/>
    <w:rPr/>
  </w:style>
  <w:style w:type="paragraph" w:styleId="Caption111">
    <w:name w:val="caption111"/>
    <w:basedOn w:val="Normal"/>
    <w:next w:val="Normal"/>
    <w:qFormat/>
    <w:pPr>
      <w:spacing w:lineRule="auto" w:line="240" w:before="0" w:after="200"/>
    </w:pPr>
    <w:rPr>
      <w:i/>
      <w:iCs/>
      <w:color w:val="44546A"/>
      <w:sz w:val="18"/>
      <w:szCs w:val="18"/>
    </w:rPr>
  </w:style>
  <w:style w:type="paragraph" w:styleId="313">
    <w:name w:val="Список 31"/>
    <w:basedOn w:val="Normal"/>
    <w:qFormat/>
    <w:pPr>
      <w:tabs>
        <w:tab w:val="clear" w:pos="708"/>
        <w:tab w:val="left" w:pos="0" w:leader="none"/>
      </w:tabs>
      <w:spacing w:before="120" w:after="0"/>
      <w:ind w:hanging="360" w:left="-207" w:right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Style38">
    <w:name w:val="Содержимое врезки"/>
    <w:basedOn w:val="Normal"/>
    <w:qFormat/>
    <w:pPr/>
    <w:rPr/>
  </w:style>
  <w:style w:type="paragraph" w:styleId="Msonormal">
    <w:name w:val="msonormal"/>
    <w:basedOn w:val="Normal"/>
    <w:qFormat/>
    <w:pPr>
      <w:spacing w:lineRule="auto" w:line="252"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AlterOffice/2026.0.1.1$Linux_X86_64 LibreOffice_project/8ed090b92615492561dee3ed0fff427c76b62756</Application>
  <AppVersion>15.0000</AppVersion>
  <Pages>22</Pages>
  <Words>4314</Words>
  <Characters>29879</Characters>
  <CharactersWithSpaces>33304</CharactersWithSpaces>
  <Paragraphs>895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2025-06-09T22:21:00Z</dcterms:created>
  <dc:creator>Портяная Валентина Геннадьевна</dc:creator>
  <dc:description/>
  <dc:language>ru-RU</dc:language>
  <cp:lastModifiedBy>martimyanva@sed.local</cp:lastModifiedBy>
  <dcterms:modified xsi:type="dcterms:W3CDTF">2026-06-30T07:22:11Z</dcterms:modified>
  <cp:revision>87</cp:revision>
  <dc:subject/>
  <dc:title/>
</cp:coreProperties>
</file>