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_rels/item4.xml.rels" ContentType="application/vnd.openxmlformats-package.relationship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1.xml" ContentType="application/xml"/>
  <Override PartName="/word/_rels/document.xml.rels" ContentType="application/vnd.openxmlformats-package.relationships+xml"/>
  <Override PartName="/word/header5.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word/footer4.xml" ContentType="application/vnd.openxmlformats-officedocument.wordprocessingml.footer+xml"/>
  <Override PartName="/word/styles.xml" ContentType="application/vnd.openxmlformats-officedocument.wordprocessingml.styles+xml"/>
  <Override PartName="/word/footer1.xml" ContentType="application/vnd.openxmlformats-officedocument.wordprocessingml.footer+xml"/>
  <Override PartName="/word/header6.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media/image9.wmf" ContentType="image/x-wmf"/>
  <Override PartName="/word/media/image19.wmf" ContentType="image/x-wmf"/>
  <Override PartName="/word/media/image8.wmf" ContentType="image/x-wmf"/>
  <Override PartName="/word/media/image18.wmf" ContentType="image/x-wmf"/>
  <Override PartName="/word/media/image20.wmf" ContentType="image/x-wmf"/>
  <Override PartName="/word/media/image7.wmf" ContentType="image/x-wmf"/>
  <Override PartName="/word/media/image6.wmf" ContentType="image/x-wmf"/>
  <Override PartName="/word/media/image16.wmf" ContentType="image/x-wmf"/>
  <Override PartName="/word/media/image17.png" ContentType="image/png"/>
  <Override PartName="/word/media/image4.wmf" ContentType="image/x-wmf"/>
  <Override PartName="/word/media/image14.wmf" ContentType="image/x-wmf"/>
  <Override PartName="/word/media/image11.wmf" ContentType="image/x-wmf"/>
  <Override PartName="/word/media/image13.wmf" ContentType="image/x-wmf"/>
  <Override PartName="/word/media/image3.wmf" ContentType="image/x-wmf"/>
  <Override PartName="/word/media/image12.wmf" ContentType="image/x-wmf"/>
  <Override PartName="/word/media/image2.wmf" ContentType="image/x-wmf"/>
  <Override PartName="/word/media/image1.png" ContentType="image/png"/>
  <Override PartName="/word/media/image10.wmf" ContentType="image/x-wmf"/>
  <Override PartName="/word/media/image5.wmf" ContentType="image/x-wmf"/>
  <Override PartName="/word/media/image15.wmf" ContentType="image/x-wmf"/>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sz w:val="24"/>
          <w:szCs w:val="24"/>
        </w:rPr>
      </w:pPr>
      <w:r>
        <w:rPr>
          <w:b/>
          <w:bCs/>
          <w:sz w:val="24"/>
          <w:szCs w:val="24"/>
        </w:rPr>
        <w:t>Договор поставки №_________________</w:t>
      </w:r>
    </w:p>
    <w:p>
      <w:pPr>
        <w:pStyle w:val="Normal"/>
        <w:shd w:val="clear" w:color="auto" w:fill="FFFFFF"/>
        <w:rPr>
          <w:b/>
          <w:bCs/>
          <w:sz w:val="12"/>
          <w:szCs w:val="12"/>
        </w:rPr>
      </w:pPr>
      <w:r>
        <w:rPr>
          <w:b/>
          <w:bCs/>
          <w:sz w:val="12"/>
          <w:szCs w:val="12"/>
        </w:rPr>
      </w:r>
    </w:p>
    <w:p>
      <w:pPr>
        <w:pStyle w:val="Normal"/>
        <w:shd w:val="clear" w:color="auto" w:fill="FFFFFF"/>
        <w:tabs>
          <w:tab w:val="clear" w:pos="709"/>
          <w:tab w:val="right" w:pos="9639" w:leader="none"/>
        </w:tabs>
        <w:jc w:val="right"/>
        <w:rPr>
          <w:bCs/>
          <w:sz w:val="24"/>
          <w:szCs w:val="24"/>
        </w:rPr>
      </w:pPr>
      <w:r>
        <w:rPr>
          <w:bCs/>
          <w:sz w:val="24"/>
          <w:szCs w:val="24"/>
        </w:rPr>
        <w:t>г. Пятигорск</w:t>
        <w:tab/>
        <w:t xml:space="preserve">   «___» _________ 20__ г.</w:t>
      </w:r>
    </w:p>
    <w:p>
      <w:pPr>
        <w:pStyle w:val="Normal"/>
        <w:shd w:val="clear" w:color="auto" w:fill="FFFFFF"/>
        <w:tabs>
          <w:tab w:val="clear" w:pos="709"/>
          <w:tab w:val="right" w:pos="9639" w:leader="none"/>
        </w:tabs>
        <w:jc w:val="right"/>
        <w:rPr>
          <w:bCs/>
          <w:sz w:val="12"/>
          <w:szCs w:val="12"/>
        </w:rPr>
      </w:pPr>
      <w:r>
        <w:rPr>
          <w:bCs/>
          <w:sz w:val="12"/>
          <w:szCs w:val="12"/>
        </w:rPr>
      </w:r>
    </w:p>
    <w:p>
      <w:pPr>
        <w:pStyle w:val="Normal"/>
        <w:ind w:firstLine="709"/>
        <w:jc w:val="both"/>
        <w:rPr>
          <w:spacing w:val="10"/>
          <w:sz w:val="24"/>
          <w:szCs w:val="24"/>
        </w:rPr>
      </w:pPr>
      <w:r>
        <w:rPr>
          <w:b/>
          <w:sz w:val="24"/>
          <w:szCs w:val="24"/>
        </w:rPr>
        <w:t xml:space="preserve">Акционерное общество «Транспортная компания РусГидро» </w:t>
      </w:r>
      <w:r>
        <w:rPr>
          <w:sz w:val="24"/>
          <w:szCs w:val="24"/>
        </w:rPr>
        <w:t>(АО «ТК РусГидро»)</w:t>
      </w:r>
      <w:r>
        <w:rPr>
          <w:spacing w:val="2"/>
          <w:sz w:val="24"/>
          <w:szCs w:val="24"/>
        </w:rPr>
        <w:t xml:space="preserve"> (далее – </w:t>
      </w:r>
      <w:r>
        <w:rPr>
          <w:sz w:val="24"/>
          <w:szCs w:val="24"/>
        </w:rPr>
        <w:t>«Покупатель»), в лице директора Южного филиала АО «ТК РусГидро» Изотова Виталия Анатольевича</w:t>
      </w:r>
      <w:r>
        <w:rPr>
          <w:spacing w:val="4"/>
          <w:sz w:val="24"/>
          <w:szCs w:val="24"/>
        </w:rPr>
        <w:t>, действующего на основании доверенность от 12.11.2025 №806 (доверенности (МЧД) от 13.01.2026 №841cfce5-0bb8-4268-ac08-961a66772c32),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по результатам проведенной Покупателем конкурентной процедуры </w:t>
      </w:r>
      <w:r>
        <w:rPr>
          <w:bCs/>
          <w:sz w:val="24"/>
          <w:szCs w:val="24"/>
        </w:rPr>
        <w:t>по лоту № ____________</w:t>
      </w:r>
      <w:r>
        <w:rPr>
          <w:sz w:val="24"/>
          <w:szCs w:val="24"/>
        </w:rPr>
        <w:t xml:space="preserve"> и на основании протокола от «___» _________ г. №_______,</w:t>
      </w:r>
    </w:p>
    <w:p>
      <w:pPr>
        <w:pStyle w:val="Normal"/>
        <w:ind w:firstLine="709"/>
        <w:jc w:val="both"/>
        <w:rPr>
          <w:b w:val="false"/>
          <w:bCs w:val="false"/>
        </w:rPr>
      </w:pPr>
      <w:r>
        <w:rPr>
          <w:b w:val="false"/>
          <w:bCs w:val="false"/>
          <w:spacing w:val="10"/>
          <w:sz w:val="24"/>
          <w:szCs w:val="24"/>
        </w:rPr>
        <w:t>заключили настоящий договор поставки (далее – «Договор») о нижеследующем:</w:t>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jc w:val="center"/>
        <w:rPr>
          <w:sz w:val="12"/>
          <w:szCs w:val="12"/>
        </w:rPr>
      </w:pPr>
      <w:r>
        <w:rPr>
          <w:sz w:val="12"/>
          <w:szCs w:val="12"/>
        </w:rPr>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 ТОРГ-2 «Акт об установленном расхождении по количеству и качеству при приемке товарно-материальных ценностей» и № ТОРГ-3 «Акт об установленном расхождении 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567" w:leader="none"/>
          <w:tab w:val="left" w:pos="1134" w:leader="none"/>
        </w:tabs>
        <w:overflowPunct w:val="fals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sz w:val="24"/>
          <w:szCs w:val="24"/>
          <w:lang w:eastAsia="en-US"/>
        </w:rPr>
        <w:t>«</w:t>
      </w:r>
      <w:bookmarkStart w:id="0" w:name="_GoBack"/>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документ, оформляемый по унифицированной форме № ТОРГ-12 «Товарная накладная», утвержденной постановлением Госкомстата РФ от 25.12.1998 № 132, подписываемый Сторонами после завершения приемки Товара по количеству, качеству и комплектности.</w:t>
      </w:r>
    </w:p>
    <w:p>
      <w:pPr>
        <w:sectPr>
          <w:headerReference w:type="default" r:id="rId2"/>
          <w:type w:val="nextPage"/>
          <w:pgSz w:w="11906" w:h="16838"/>
          <w:pgMar w:left="1418" w:right="851" w:gutter="0" w:header="709" w:top="1134" w:footer="0" w:bottom="1134"/>
          <w:pgNumType w:fmt="decimal"/>
          <w:formProt w:val="false"/>
          <w:textDirection w:val="lrTb"/>
          <w:docGrid w:type="default" w:linePitch="360" w:charSpace="8192"/>
        </w:sect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bookmarkEnd w:id="0"/>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«Партия Товара»</w:t>
      </w:r>
      <w:r>
        <w:rPr>
          <w:sz w:val="24"/>
          <w:szCs w:val="24"/>
          <w:lang w:eastAsia="en-US"/>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tabs>
          <w:tab w:val="clear" w:pos="709"/>
          <w:tab w:val="left" w:pos="567" w:leader="none"/>
        </w:tabs>
        <w:ind w:firstLine="708"/>
        <w:jc w:val="both"/>
        <w:rPr>
          <w:sz w:val="24"/>
          <w:szCs w:val="24"/>
          <w:highlight w:val="lightGray"/>
          <w:lang w:eastAsia="en-US"/>
        </w:rPr>
      </w:pPr>
      <w:r>
        <w:rPr>
          <w:b/>
          <w:sz w:val="24"/>
          <w:szCs w:val="24"/>
          <w:highlight w:val="lightGray"/>
          <w:lang w:eastAsia="en-US"/>
        </w:rPr>
        <w:t xml:space="preserve">«Рабочая документация» </w:t>
      </w:r>
      <w:r>
        <w:rPr>
          <w:sz w:val="24"/>
          <w:szCs w:val="24"/>
          <w:highlight w:val="lightGray"/>
          <w:lang w:eastAsia="en-US"/>
        </w:rPr>
        <w:t>–</w:t>
      </w:r>
      <w:r>
        <w:rPr>
          <w:b/>
          <w:sz w:val="24"/>
          <w:szCs w:val="24"/>
          <w:highlight w:val="lightGray"/>
          <w:lang w:eastAsia="en-US"/>
        </w:rPr>
        <w:t xml:space="preserve"> </w:t>
      </w:r>
      <w:r>
        <w:rPr>
          <w:sz w:val="24"/>
          <w:szCs w:val="24"/>
          <w:highlight w:val="lightGray"/>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рабочие чертежи основного комплекта, спецификации оборудования и изделий;</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документы, разработанные в дополнение к рабочим чертежам основного комплекта;</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сметную документацию.</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bCs/>
          <w:sz w:val="24"/>
          <w:szCs w:val="24"/>
          <w:highlight w:val="lightGray"/>
        </w:rPr>
        <w:t xml:space="preserve">_____________________ </w:t>
      </w:r>
      <w:r>
        <w:rPr>
          <w:bCs/>
          <w:i/>
          <w:sz w:val="24"/>
          <w:szCs w:val="24"/>
          <w:highlight w:val="lightGray"/>
        </w:rPr>
        <w:t>[указывается общее наименование товара]</w:t>
      </w:r>
      <w:r>
        <w:rPr>
          <w:bCs/>
          <w:sz w:val="24"/>
          <w:szCs w:val="24"/>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w:t>
      </w:r>
      <w:r>
        <w:rPr>
          <w:bCs/>
          <w:sz w:val="24"/>
          <w:szCs w:val="24"/>
          <w:highlight w:val="lightGray"/>
        </w:rPr>
        <w:t>__________________.</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Место поставки Товара: </w:t>
      </w:r>
      <w:r>
        <w:rPr>
          <w:sz w:val="24"/>
          <w:szCs w:val="24"/>
          <w:highlight w:val="lightGray"/>
        </w:rPr>
        <w:t>_________________</w:t>
      </w:r>
      <w:r>
        <w:rPr>
          <w:sz w:val="24"/>
          <w:szCs w:val="24"/>
        </w:rPr>
        <w:t xml:space="preserve"> (далее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Начало – </w:t>
      </w:r>
      <w:r>
        <w:rPr>
          <w:bCs/>
          <w:sz w:val="24"/>
          <w:szCs w:val="24"/>
          <w:highlight w:val="lightGray"/>
        </w:rPr>
        <w:t>«___» ___________ 20___</w:t>
      </w:r>
      <w:r>
        <w:rPr>
          <w:bCs/>
          <w:sz w:val="24"/>
          <w:szCs w:val="24"/>
        </w:rPr>
        <w:t xml:space="preserve"> г.</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r>
        <w:rPr>
          <w:bCs/>
          <w:sz w:val="24"/>
          <w:szCs w:val="24"/>
          <w:highlight w:val="lightGray"/>
        </w:rPr>
        <w:t>«___» _________ 20__</w:t>
      </w:r>
      <w:r>
        <w:rPr>
          <w:bCs/>
          <w:sz w:val="24"/>
          <w:szCs w:val="24"/>
        </w:rPr>
        <w:t xml:space="preserve"> г.</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Сроки поставки Товара (партий Товара) указаны в Календарном графике поставки Товара (Приложение № 3 к Договору) в рамках общих сроков, указанных в пункте 1.4 Договора. </w:t>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r>
        <w:rPr>
          <w:bCs/>
          <w:sz w:val="24"/>
          <w:szCs w:val="24"/>
          <w:highlight w:val="lightGray"/>
        </w:rPr>
        <w:t>предельной / твердой</w:t>
      </w:r>
      <w:r>
        <w:rPr>
          <w:rStyle w:val="FootnoteReference"/>
          <w:bCs/>
          <w:sz w:val="24"/>
          <w:szCs w:val="24"/>
          <w:highlight w:val="lightGray"/>
          <w:vertAlign w:val="superscript"/>
        </w:rPr>
        <w:footnoteReference w:id="2"/>
      </w:r>
      <w:r>
        <w:rPr>
          <w:bCs/>
          <w:sz w:val="24"/>
          <w:szCs w:val="24"/>
        </w:rPr>
        <w:t xml:space="preserve">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w:t>
      </w:r>
    </w:p>
    <w:p>
      <w:pPr>
        <w:pStyle w:val="ListParagraph"/>
        <w:numPr>
          <w:ilvl w:val="1"/>
          <w:numId w:val="2"/>
        </w:numPr>
        <w:tabs>
          <w:tab w:val="clear" w:pos="709"/>
          <w:tab w:val="left" w:pos="568" w:leader="none"/>
          <w:tab w:val="left" w:pos="1134" w:leader="none"/>
        </w:tabs>
        <w:ind w:left="0" w:firstLine="709"/>
        <w:jc w:val="both"/>
        <w:rPr/>
      </w:pPr>
      <w:r>
        <w:rPr>
          <w:bCs/>
          <w:sz w:val="24"/>
          <w:szCs w:val="24"/>
          <w:highlight w:val="lightGray"/>
        </w:rPr>
        <w:t>Спецификация (Приложение № 1 к Договору) подлежит согласованию Сторонами не позднее истечения 30 (тридцати) рабочих дней с даты завершения разработки Рабочей документации и приемки ее Покупателем.  При несогласовании Спецификации (Приложение № 1 к Договору) в установленный срок Поставщик обязан по соответствующему письменному требованию Покупателя приостановить исполнение Договора полностью или в части до момента такого согласования. После согласования Спецификации Стороны обязаны уточнить Цену Договора путем заключения дополнительного соглашения к Договору. Спецификация включается в Договор в качестве приложения путем заключения дополнительного соглашения к Договору.</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13"/>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highlight w:val="lightGray"/>
          <w:vertAlign w:val="superscript"/>
        </w:rPr>
        <w:footnoteReference w:id="3"/>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32"/>
          <w:szCs w:val="24"/>
        </w:rPr>
      </w:pPr>
      <w:r>
        <w:rPr>
          <w:sz w:val="24"/>
        </w:rPr>
        <w:t>Авансовые платежи за каждую партию Товара в размере 30 (тридцати) процентов от стоимости соответствующей партии Товара</w:t>
      </w:r>
      <w:r>
        <w:rPr>
          <w:rStyle w:val="FootnoteReference"/>
          <w:sz w:val="24"/>
        </w:rPr>
        <w:footnoteReference w:id="4"/>
      </w:r>
      <w:r>
        <w:rPr>
          <w:sz w:val="24"/>
        </w:rPr>
        <w:t xml:space="preserve"> выплачиваются Поставщику </w:t>
      </w:r>
      <w:r>
        <w:rPr>
          <w:sz w:val="24"/>
          <w:highlight w:val="lightGray"/>
        </w:rPr>
        <w:t>при условии согласования Сторонами Спецификации (Приложение № 1 к Договору) в соответствии с пунктом 2.2 Договора</w:t>
      </w:r>
      <w:r>
        <w:rPr>
          <w:sz w:val="24"/>
        </w:rPr>
        <w:t xml:space="preserve">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партии Товара, и с учетом пунктов 2.5.1, 2.5.4 Договора.</w:t>
      </w:r>
    </w:p>
    <w:p>
      <w:pPr>
        <w:pStyle w:val="ListParagraph"/>
        <w:numPr>
          <w:ilvl w:val="2"/>
          <w:numId w:val="2"/>
        </w:numPr>
        <w:tabs>
          <w:tab w:val="clear" w:pos="709"/>
        </w:tabs>
        <w:ind w:left="0" w:firstLine="709"/>
        <w:jc w:val="both"/>
        <w:rPr>
          <w:sz w:val="24"/>
        </w:rPr>
      </w:pPr>
      <w:r>
        <w:rPr>
          <w:sz w:val="24"/>
        </w:rPr>
        <w:t>Последующие платежи в размере 70 % (семидесяти процентов) от стоимости партии Товара</w:t>
      </w:r>
      <w:r>
        <w:rPr>
          <w:rStyle w:val="FootnoteReference"/>
          <w:sz w:val="24"/>
        </w:rPr>
        <w:footnoteReference w:id="5"/>
      </w:r>
      <w:r>
        <w:rPr>
          <w:sz w:val="24"/>
        </w:rPr>
        <w:t xml:space="preserve"> выплачиваются Поставщику в течение </w:t>
      </w:r>
      <w:r>
        <w:rPr>
          <w:sz w:val="24"/>
          <w:highlight w:val="lightGray"/>
        </w:rPr>
        <w:t>20 (двадцати) календарных дней</w:t>
      </w:r>
      <w:r>
        <w:rPr>
          <w:rStyle w:val="FootnoteReference"/>
          <w:sz w:val="24"/>
          <w:highlight w:val="lightGray"/>
        </w:rPr>
        <w:footnoteReference w:id="6"/>
      </w:r>
      <w:r>
        <w:rPr>
          <w:sz w:val="24"/>
          <w:highlight w:val="lightGray"/>
        </w:rPr>
        <w:t xml:space="preserve"> / 45 (сорока пяти) календарных дней</w:t>
      </w:r>
      <w:r>
        <w:rPr>
          <w:rStyle w:val="FootnoteReference"/>
          <w:sz w:val="24"/>
          <w:highlight w:val="lightGray"/>
        </w:rPr>
        <w:footnoteReference w:id="7"/>
      </w:r>
      <w:r>
        <w:rPr>
          <w:sz w:val="24"/>
          <w:highlight w:val="lightGray"/>
        </w:rPr>
        <w:t xml:space="preserve"> / 7 (семи) рабочих дней</w:t>
      </w:r>
      <w:r>
        <w:rPr>
          <w:rStyle w:val="FootnoteReference"/>
          <w:sz w:val="24"/>
          <w:highlight w:val="lightGray"/>
        </w:rPr>
        <w:footnoteReference w:id="8"/>
      </w:r>
      <w:r>
        <w:rPr>
          <w:sz w:val="24"/>
        </w:rPr>
        <w:t xml:space="preserve"> с даты подписания Сторонами накладной ТОРГ-12, на основании счета, выставленного Поставщиком, и с учетом пункта 2.5.4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1"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bookmarkEnd w:id="1"/>
      <w:r>
        <w:rPr>
          <w:bCs/>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12"/>
          <w:szCs w:val="12"/>
        </w:rPr>
      </w:pPr>
      <w:r>
        <w:rPr>
          <w:sz w:val="12"/>
          <w:szCs w:val="12"/>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Normal"/>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партиями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Проектной </w:t>
      </w:r>
      <w:r>
        <w:rPr>
          <w:bCs/>
          <w:sz w:val="24"/>
          <w:szCs w:val="24"/>
          <w:highlight w:val="lightGray"/>
        </w:rPr>
        <w:t>и Рабочей</w:t>
      </w:r>
      <w:r>
        <w:rPr>
          <w:bCs/>
          <w:sz w:val="24"/>
          <w:szCs w:val="24"/>
        </w:rPr>
        <w:t xml:space="preserve"> </w:t>
      </w:r>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9"/>
          <w:tab w:val="left" w:pos="1134" w:leader="none"/>
        </w:tabs>
        <w:ind w:firstLine="709"/>
        <w:jc w:val="both"/>
        <w:rPr>
          <w:bCs/>
          <w:sz w:val="24"/>
          <w:szCs w:val="24"/>
        </w:rPr>
      </w:pPr>
      <w:r>
        <w:rPr>
          <w:bCs/>
          <w:sz w:val="24"/>
          <w:szCs w:val="24"/>
          <w:highlight w:val="lightGray"/>
        </w:rPr>
        <w:t xml:space="preserve">Поставщик не вправе производить </w:t>
      </w:r>
      <w:r>
        <w:rPr>
          <w:sz w:val="24"/>
          <w:szCs w:val="24"/>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партии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сертификат качества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технический паспорт на русском языке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инструкция по эксплуатации на русском языке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упаковочный лист в </w:t>
      </w:r>
      <w:r>
        <w:rPr>
          <w:sz w:val="24"/>
          <w:szCs w:val="24"/>
          <w:highlight w:val="lightGray"/>
        </w:rPr>
        <w:t>__(____)</w:t>
      </w:r>
      <w:r>
        <w:rPr>
          <w:sz w:val="24"/>
          <w:szCs w:val="24"/>
        </w:rPr>
        <w:t xml:space="preserve"> 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w:t>
      </w:r>
      <w:r>
        <w:rPr>
          <w:sz w:val="24"/>
          <w:szCs w:val="24"/>
          <w:highlight w:val="lightGray"/>
        </w:rPr>
        <w:t>__(____)</w:t>
      </w:r>
      <w:r>
        <w:rPr>
          <w:sz w:val="24"/>
          <w:szCs w:val="24"/>
        </w:rPr>
        <w:t xml:space="preserve"> 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накладная ТОРГ-12 в </w:t>
      </w:r>
      <w:r>
        <w:rPr>
          <w:sz w:val="24"/>
          <w:szCs w:val="24"/>
          <w:highlight w:val="lightGray"/>
        </w:rPr>
        <w:t>__(____)</w:t>
      </w:r>
      <w:r>
        <w:rPr>
          <w:sz w:val="24"/>
          <w:szCs w:val="24"/>
        </w:rPr>
        <w:t xml:space="preserve">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2"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w:t>
      </w:r>
      <w:r>
        <w:rPr>
          <w:sz w:val="24"/>
          <w:szCs w:val="24"/>
          <w:highlight w:val="lightGray"/>
        </w:rPr>
        <w:t>и перемещение Товара (в том числе по территории Покупателя)</w:t>
      </w:r>
      <w:r>
        <w:rPr>
          <w:rStyle w:val="FootnoteReference"/>
          <w:sz w:val="24"/>
          <w:szCs w:val="24"/>
          <w:highlight w:val="lightGray"/>
          <w:vertAlign w:val="superscript"/>
        </w:rPr>
        <w:footnoteReference w:id="9"/>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стоимость Товара.</w:t>
      </w:r>
    </w:p>
    <w:p>
      <w:pPr>
        <w:pStyle w:val="ListParagraph"/>
        <w:widowContro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3" w:name="_Ref361396594"/>
      <w:r>
        <w:rPr>
          <w:sz w:val="24"/>
          <w:szCs w:val="24"/>
        </w:rPr>
        <w:t>Датой поставки партии Товара является дата подписания Сторонами накладной ТОРГ-12.</w:t>
      </w:r>
      <w:bookmarkEnd w:id="3"/>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4"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4"/>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со вскрытием тары и упаковки производится Покупателем в присутствии представителя Поставщика в течение </w:t>
      </w:r>
      <w:r>
        <w:rPr>
          <w:sz w:val="24"/>
          <w:szCs w:val="24"/>
          <w:highlight w:val="lightGray"/>
        </w:rPr>
        <w:t>10 (десяти)</w:t>
      </w:r>
      <w:r>
        <w:rPr>
          <w:sz w:val="24"/>
          <w:szCs w:val="24"/>
        </w:rPr>
        <w:t xml:space="preserve"> рабочих дней с даты подписания Покупателем транспортных документов. В случае отсутствия замечаний Покупатель подписывает накладную ТОРГ-12.</w:t>
      </w:r>
    </w:p>
    <w:p>
      <w:pPr>
        <w:pStyle w:val="Normal"/>
        <w:numPr>
          <w:ilvl w:val="1"/>
          <w:numId w:val="2"/>
        </w:numPr>
        <w:shd w:val="clear" w:color="auto" w:fill="FFFFFF"/>
        <w:tabs>
          <w:tab w:val="clear" w:pos="709"/>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pPr>
        <w:pStyle w:val="Norma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партию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5"/>
      <w:bookmarkStart w:id="6" w:name="OLE_LINK6"/>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jc w:val="both"/>
        <w:rPr>
          <w:sz w:val="12"/>
          <w:szCs w:val="12"/>
        </w:rPr>
      </w:pPr>
      <w:r>
        <w:rPr>
          <w:sz w:val="12"/>
          <w:szCs w:val="12"/>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Банковские гарантии</w:t>
      </w:r>
    </w:p>
    <w:p>
      <w:pPr>
        <w:pStyle w:val="Normal"/>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безотзывной и безусловной (гарантия по первому требованию).</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предусматривать, что для истребования суммы обеспечения Покупатель направляет Банку-Гаранту только письменное требование о предъявлении суммы обеспечения к оплате</w:t>
      </w:r>
      <w:r>
        <w:rPr>
          <w:sz w:val="24"/>
          <w:szCs w:val="24"/>
        </w:rPr>
        <w:t xml:space="preserve"> </w:t>
      </w:r>
      <w:r>
        <w:rPr>
          <w:bCs/>
          <w:sz w:val="24"/>
          <w:szCs w:val="24"/>
        </w:rPr>
        <w:t>как полностью, так и частично, с указанием 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возврата непогашенного (незачтенного)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нарушения Поставщиком сроков</w:t>
      </w:r>
      <w:r>
        <w:rPr>
          <w:sz w:val="24"/>
          <w:szCs w:val="24"/>
        </w:rPr>
        <w:t xml:space="preserve"> </w:t>
      </w:r>
      <w:r>
        <w:rPr>
          <w:bCs/>
          <w:sz w:val="24"/>
          <w:szCs w:val="24"/>
        </w:rPr>
        <w:t>поставки Товара, установленных Календарным графиком поставки Товара (Приложение № 3 к Договору) более, чем на 60 (шестьдесят) календарных дней;</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r>
      <w:r>
        <w:rPr>
          <w:bCs/>
          <w:sz w:val="24"/>
          <w:szCs w:val="24"/>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соответствующей партии Товара.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Покупателем по Банковской гарантии.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pPr>
        <w:pStyle w:val="Normal"/>
        <w:widowControl/>
        <w:numPr>
          <w:ilvl w:val="1"/>
          <w:numId w:val="2"/>
        </w:numPr>
        <w:tabs>
          <w:tab w:val="clear" w:pos="709"/>
          <w:tab w:val="left" w:pos="0" w:leader="none"/>
          <w:tab w:val="left" w:pos="1134" w:leader="none"/>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4 к Договору.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Сумма Банковской гарантии возврата авансового платежа по согласованию 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10"/>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Положения пункта 2.5.1 Договора применяются, если совокупный размер авансовых платежей, уплаченных и подлежащих уплате по Договору в соответствии с выставленными счетами Поставщика составляет 5 000 000 (Пять миллионов) рублей и более</w:t>
        <w:br/>
        <w:t xml:space="preserve">без учета НДС. </w:t>
      </w:r>
    </w:p>
    <w:p>
      <w:pPr>
        <w:pStyle w:val="ListParagraph"/>
        <w:widowControl/>
        <w:numPr>
          <w:ilvl w:val="1"/>
          <w:numId w:val="2"/>
        </w:numPr>
        <w:shd w:val="clear" w:color="auto" w:fill="FFFFFF"/>
        <w:tabs>
          <w:tab w:val="clear" w:pos="709"/>
          <w:tab w:val="left" w:pos="1134" w:leader="none"/>
          <w:tab w:val="left" w:pos="1985" w:leader="none"/>
        </w:tabs>
        <w:ind w:left="0" w:firstLine="709"/>
        <w:jc w:val="both"/>
        <w:rPr>
          <w:bCs/>
          <w:sz w:val="24"/>
          <w:szCs w:val="24"/>
        </w:rPr>
      </w:pPr>
      <w:r>
        <w:rPr>
          <w:sz w:val="24"/>
          <w:szCs w:val="24"/>
          <w:highlight w:val="lightGray"/>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sz w:val="24"/>
          <w:szCs w:val="24"/>
          <w:highlight w:val="lightGray"/>
        </w:rPr>
        <w:footnoteReference w:id="11"/>
      </w:r>
      <w:r>
        <w:rPr>
          <w:sz w:val="24"/>
          <w:szCs w:val="24"/>
          <w:highlight w:val="lightGray"/>
        </w:rPr>
        <w:t>.</w:t>
      </w:r>
    </w:p>
    <w:p>
      <w:pPr>
        <w:pStyle w:val="ListParagraph"/>
        <w:widowControl/>
        <w:numPr>
          <w:ilvl w:val="1"/>
          <w:numId w:val="2"/>
        </w:numPr>
        <w:shd w:val="clear" w:color="auto" w:fill="FFFFFF"/>
        <w:tabs>
          <w:tab w:val="clear" w:pos="709"/>
        </w:tabs>
        <w:ind w:left="0" w:firstLine="709"/>
        <w:jc w:val="both"/>
        <w:rPr>
          <w:bCs/>
          <w:sz w:val="24"/>
          <w:szCs w:val="24"/>
        </w:rPr>
      </w:pPr>
      <w:r>
        <w:rPr>
          <w:sz w:val="24"/>
        </w:rPr>
        <w:t>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9"/>
          <w:tab w:val="left" w:pos="0" w:leader="none"/>
          <w:tab w:val="left" w:pos="1134" w:leader="none"/>
        </w:tabs>
        <w:ind w:left="1419" w:hanging="0"/>
        <w:jc w:val="both"/>
        <w:rPr>
          <w:bCs/>
          <w:sz w:val="12"/>
          <w:szCs w:val="12"/>
        </w:rPr>
      </w:pPr>
      <w:r>
        <w:rPr>
          <w:bCs/>
          <w:sz w:val="12"/>
          <w:szCs w:val="12"/>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Normal"/>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Календарным графиком поставки Товара (Приложение № 3 к Договору), а также в случае несвоевременного устранения выявленных недостатков Товара, Покупатель вправе требовать уплаты Поставщиком:</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 размере 0,1 (ноль целых</w:t>
      </w:r>
      <w:r>
        <w:rPr>
          <w:rFonts w:eastAsia="Calibri"/>
          <w:bCs/>
          <w:sz w:val="24"/>
          <w:szCs w:val="24"/>
        </w:rPr>
        <w:t xml:space="preserve"> и одна десятая) </w:t>
      </w:r>
      <w:r>
        <w:rPr>
          <w:bCs/>
          <w:sz w:val="24"/>
          <w:szCs w:val="24"/>
        </w:rPr>
        <w:t xml:space="preserve">процента от цены </w:t>
      </w:r>
      <w:r>
        <w:rPr>
          <w:rFonts w:eastAsia="Calibri"/>
          <w:bCs/>
          <w:sz w:val="24"/>
          <w:szCs w:val="24"/>
        </w:rPr>
        <w:t>Партии Товара</w:t>
      </w:r>
      <w:r>
        <w:rPr>
          <w:bCs/>
          <w:sz w:val="24"/>
          <w:szCs w:val="24"/>
        </w:rPr>
        <w:t xml:space="preserve"> за каждый день просрочки;</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 размере</w:t>
      </w:r>
      <w:r>
        <w:rPr>
          <w:bCs/>
          <w:sz w:val="24"/>
          <w:szCs w:val="24"/>
        </w:rPr>
        <w:t xml:space="preserve"> 0,1 </w:t>
      </w:r>
      <w:r>
        <w:rPr>
          <w:sz w:val="24"/>
          <w:szCs w:val="24"/>
        </w:rPr>
        <w:t>(ноль целых и одна десятая) процента</w:t>
      </w:r>
      <w:r>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w:t>
      </w:r>
      <w:r>
        <w:rPr>
          <w:rFonts w:eastAsia="Calibri"/>
          <w:bCs/>
          <w:sz w:val="24"/>
          <w:szCs w:val="24"/>
        </w:rPr>
        <w:t>;</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w:t>
      </w:r>
      <w:r>
        <w:rPr>
          <w:bCs/>
          <w:sz w:val="24"/>
          <w:szCs w:val="24"/>
        </w:rPr>
        <w:t xml:space="preserve"> размере 0,1 </w:t>
      </w:r>
      <w:r>
        <w:rPr>
          <w:sz w:val="24"/>
          <w:szCs w:val="24"/>
        </w:rPr>
        <w:t>(ноль целых и одна десятая) процента</w:t>
      </w:r>
      <w:r>
        <w:rPr>
          <w:bCs/>
          <w:sz w:val="24"/>
          <w:szCs w:val="24"/>
        </w:rPr>
        <w:t xml:space="preserve"> от стоимости Партии 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w:t>
      </w:r>
    </w:p>
    <w:p>
      <w:pPr>
        <w:pStyle w:val="ListParagraph"/>
        <w:widowControl/>
        <w:numPr>
          <w:ilvl w:val="1"/>
          <w:numId w:val="2"/>
        </w:numPr>
        <w:tabs>
          <w:tab w:val="clear" w:pos="709"/>
          <w:tab w:val="left" w:pos="1276" w:leader="none"/>
          <w:tab w:val="left" w:pos="1701" w:leader="none"/>
        </w:tabs>
        <w:ind w:lef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5 к Договору.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три сотых) процента от Цены Договора за каждый день просрочки.</w:t>
      </w:r>
    </w:p>
    <w:p>
      <w:pPr>
        <w:pStyle w:val="ListParagraph"/>
        <w:numPr>
          <w:ilvl w:val="1"/>
          <w:numId w:val="2"/>
        </w:numPr>
        <w:tabs>
          <w:tab w:val="clear" w:pos="709"/>
        </w:tabs>
        <w:ind w:left="0" w:firstLine="709"/>
        <w:jc w:val="both"/>
        <w:rPr>
          <w:sz w:val="24"/>
          <w:szCs w:val="24"/>
          <w:highlight w:val="lightGray"/>
        </w:rPr>
      </w:pPr>
      <w:r>
        <w:rPr>
          <w:sz w:val="24"/>
          <w:szCs w:val="24"/>
          <w:highlight w:val="lightGray"/>
        </w:rPr>
        <w:t xml:space="preserve">В случае если неисполнение / ненадлежащее исполнение Поставщиком обязательств по Договору повлекло за собой нарушение </w:t>
      </w:r>
      <w:r>
        <w:rPr>
          <w:bCs/>
          <w:sz w:val="24"/>
          <w:szCs w:val="24"/>
          <w:highlight w:val="lightGray"/>
        </w:rPr>
        <w:t>Покупателем</w:t>
      </w:r>
      <w:r>
        <w:rPr>
          <w:sz w:val="24"/>
          <w:szCs w:val="24"/>
          <w:highlight w:val="lightGray"/>
        </w:rPr>
        <w:t xml:space="preserve"> обязательств на оптовом и / или розничных рынках электрической энергии и мощности, Поставщик несет ответственность перед </w:t>
      </w:r>
      <w:r>
        <w:rPr>
          <w:bCs/>
          <w:sz w:val="24"/>
          <w:szCs w:val="24"/>
          <w:highlight w:val="lightGray"/>
        </w:rPr>
        <w:t>Покупателем</w:t>
      </w:r>
      <w:r>
        <w:rPr>
          <w:sz w:val="24"/>
          <w:szCs w:val="24"/>
          <w:highlight w:val="lightGray"/>
        </w:rPr>
        <w:t xml:space="preserve">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w:t>
      </w:r>
      <w:r>
        <w:rPr>
          <w:bCs/>
          <w:sz w:val="24"/>
          <w:szCs w:val="24"/>
          <w:highlight w:val="lightGray"/>
        </w:rPr>
        <w:t>Покупателем</w:t>
      </w:r>
      <w:r>
        <w:rPr>
          <w:sz w:val="24"/>
          <w:szCs w:val="24"/>
          <w:highlight w:val="lightGray"/>
        </w:rPr>
        <w:t xml:space="preserve">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Поставщиком своих обязательств.</w:t>
      </w:r>
    </w:p>
    <w:p>
      <w:pPr>
        <w:pStyle w:val="Normal"/>
        <w:ind w:firstLine="709"/>
        <w:jc w:val="both"/>
        <w:rPr>
          <w:sz w:val="24"/>
          <w:szCs w:val="24"/>
          <w:highlight w:val="lightGray"/>
        </w:rPr>
      </w:pPr>
      <w:r>
        <w:rPr>
          <w:sz w:val="24"/>
          <w:szCs w:val="24"/>
          <w:highlight w:val="lightGray"/>
        </w:rPr>
        <w:t xml:space="preserve">Кроме суммы реального ущерба, Поставщик компенсирует </w:t>
      </w:r>
      <w:r>
        <w:rPr>
          <w:bCs/>
          <w:sz w:val="24"/>
          <w:szCs w:val="24"/>
          <w:highlight w:val="lightGray"/>
        </w:rPr>
        <w:t>Покупателем</w:t>
      </w:r>
      <w:r>
        <w:rPr>
          <w:sz w:val="24"/>
          <w:szCs w:val="24"/>
          <w:highlight w:val="lightGray"/>
        </w:rPr>
        <w:t xml:space="preserve">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ind w:firstLine="709"/>
        <w:jc w:val="both"/>
        <w:rPr>
          <w:sz w:val="24"/>
          <w:szCs w:val="24"/>
          <w:highlight w:val="lightGray"/>
        </w:rPr>
      </w:pPr>
      <w:r>
        <w:rPr>
          <w:sz w:val="24"/>
          <w:szCs w:val="24"/>
          <w:highlight w:val="lightGray"/>
        </w:rPr>
        <w:t xml:space="preserve">Размер упущенной выгоды (выручки) подтверждается (по выбору </w:t>
      </w:r>
      <w:r>
        <w:rPr>
          <w:bCs/>
          <w:sz w:val="24"/>
          <w:szCs w:val="24"/>
          <w:highlight w:val="lightGray"/>
        </w:rPr>
        <w:t>Покупателя</w:t>
      </w:r>
      <w:r>
        <w:rPr>
          <w:sz w:val="24"/>
          <w:szCs w:val="24"/>
          <w:highlight w:val="lightGray"/>
        </w:rPr>
        <w:t>):</w:t>
      </w:r>
    </w:p>
    <w:p>
      <w:pPr>
        <w:pStyle w:val="Normal"/>
        <w:widowControl/>
        <w:numPr>
          <w:ilvl w:val="0"/>
          <w:numId w:val="14"/>
        </w:numPr>
        <w:spacing w:lineRule="auto" w:line="259"/>
        <w:ind w:left="0" w:firstLine="709"/>
        <w:jc w:val="both"/>
        <w:rPr>
          <w:sz w:val="24"/>
          <w:szCs w:val="24"/>
          <w:highlight w:val="lightGray"/>
        </w:rPr>
      </w:pPr>
      <w:r>
        <w:rPr>
          <w:sz w:val="24"/>
          <w:szCs w:val="24"/>
          <w:highlight w:val="lightGray"/>
        </w:rPr>
        <w:t>в ценовых зонах:</w:t>
      </w:r>
    </w:p>
    <w:p>
      <w:pPr>
        <w:pStyle w:val="Normal"/>
        <w:ind w:firstLine="709"/>
        <w:jc w:val="both"/>
        <w:rPr>
          <w:sz w:val="24"/>
          <w:szCs w:val="24"/>
          <w:highlight w:val="lightGray"/>
        </w:rPr>
      </w:pPr>
      <w:r>
        <w:rPr>
          <w:sz w:val="24"/>
          <w:szCs w:val="24"/>
          <w:highlight w:val="lightGray"/>
        </w:rPr>
        <w:t xml:space="preserve">расчетом, подготовленным Коммерческим оператором оптового рынка; </w:t>
      </w:r>
    </w:p>
    <w:p>
      <w:pPr>
        <w:pStyle w:val="Normal"/>
        <w:ind w:firstLine="709"/>
        <w:jc w:val="both"/>
        <w:rPr>
          <w:sz w:val="24"/>
          <w:szCs w:val="24"/>
          <w:highlight w:val="lightGray"/>
        </w:rPr>
      </w:pPr>
      <w:r>
        <w:rPr>
          <w:sz w:val="24"/>
          <w:szCs w:val="24"/>
          <w:highlight w:val="lightGray"/>
        </w:rPr>
        <w:t>и / или</w:t>
      </w:r>
    </w:p>
    <w:p>
      <w:pPr>
        <w:pStyle w:val="Normal"/>
        <w:ind w:firstLine="709"/>
        <w:jc w:val="both"/>
        <w:rPr>
          <w:sz w:val="24"/>
          <w:szCs w:val="24"/>
          <w:highlight w:val="lightGray"/>
        </w:rPr>
      </w:pPr>
      <w:r>
        <w:rPr>
          <w:sz w:val="24"/>
          <w:szCs w:val="24"/>
          <w:highlight w:val="lightGray"/>
        </w:rPr>
        <w:t xml:space="preserve">расчетом, подготовленным </w:t>
      </w:r>
      <w:r>
        <w:rPr>
          <w:bCs/>
          <w:sz w:val="24"/>
          <w:szCs w:val="24"/>
          <w:highlight w:val="lightGray"/>
        </w:rPr>
        <w:t>Покупателем</w:t>
      </w:r>
      <w:r>
        <w:rPr>
          <w:sz w:val="24"/>
          <w:szCs w:val="24"/>
          <w:highlight w:val="lightGray"/>
        </w:rPr>
        <w:t xml:space="preserve">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(далее – Ассоциация «НП Совета рынка»).</w:t>
      </w:r>
    </w:p>
    <w:p>
      <w:pPr>
        <w:pStyle w:val="Normal"/>
        <w:widowControl/>
        <w:numPr>
          <w:ilvl w:val="0"/>
          <w:numId w:val="14"/>
        </w:numPr>
        <w:spacing w:lineRule="auto" w:line="259"/>
        <w:ind w:left="0" w:firstLine="709"/>
        <w:jc w:val="both"/>
        <w:rPr>
          <w:sz w:val="24"/>
          <w:szCs w:val="24"/>
          <w:highlight w:val="lightGray"/>
        </w:rPr>
      </w:pPr>
      <w:r>
        <w:rPr>
          <w:sz w:val="24"/>
          <w:szCs w:val="24"/>
          <w:highlight w:val="lightGray"/>
        </w:rPr>
        <w:t xml:space="preserve">в неценовой зоне Дальнего Востока: </w:t>
      </w:r>
    </w:p>
    <w:p>
      <w:pPr>
        <w:pStyle w:val="Normal"/>
        <w:ind w:firstLine="709"/>
        <w:jc w:val="both"/>
        <w:rPr>
          <w:sz w:val="24"/>
          <w:szCs w:val="24"/>
          <w:highlight w:val="lightGray"/>
        </w:rPr>
      </w:pPr>
      <w:r>
        <w:rPr>
          <w:sz w:val="24"/>
          <w:szCs w:val="24"/>
          <w:highlight w:val="lightGray"/>
        </w:rPr>
        <w:t xml:space="preserve">до даты утверждения Наблюдательным советом Ассоциации «НП Совет рынка» методики определения в неценовых зонах ОРЭМ упущенной выручки от недопоставки электрической энергии и мощности на ОРЭМ – расчетом, подготовленным </w:t>
      </w:r>
      <w:r>
        <w:rPr>
          <w:bCs/>
          <w:sz w:val="24"/>
          <w:szCs w:val="24"/>
          <w:highlight w:val="lightGray"/>
        </w:rPr>
        <w:t>Покупателем</w:t>
      </w:r>
      <w:r>
        <w:rPr>
          <w:sz w:val="24"/>
          <w:szCs w:val="24"/>
          <w:highlight w:val="lightGray"/>
        </w:rPr>
        <w:t xml:space="preserve"> на основании Методики (Приложение № 7 к Договору);</w:t>
      </w:r>
    </w:p>
    <w:p>
      <w:pPr>
        <w:pStyle w:val="Normal"/>
        <w:ind w:firstLine="709"/>
        <w:jc w:val="both"/>
        <w:rPr>
          <w:sz w:val="24"/>
          <w:szCs w:val="24"/>
          <w:highlight w:val="lightGray"/>
        </w:rPr>
      </w:pPr>
      <w:r>
        <w:rPr>
          <w:sz w:val="24"/>
          <w:szCs w:val="24"/>
          <w:highlight w:val="lightGray"/>
        </w:rPr>
        <w:t>после утверждения Наблюдательным советом Ассоциации «НП Совет рынка» методики определения в неценовых зонах ОРЭМ упущенной выручки от недопоставки электрической энергии и мощности на ОРЭМ:</w:t>
      </w:r>
    </w:p>
    <w:p>
      <w:pPr>
        <w:pStyle w:val="Normal"/>
        <w:ind w:firstLine="709"/>
        <w:jc w:val="both"/>
        <w:rPr>
          <w:sz w:val="24"/>
          <w:szCs w:val="24"/>
          <w:highlight w:val="lightGray"/>
        </w:rPr>
      </w:pPr>
      <w:r>
        <w:rPr>
          <w:sz w:val="24"/>
          <w:szCs w:val="24"/>
          <w:highlight w:val="lightGray"/>
        </w:rPr>
        <w:t xml:space="preserve">расчетом, подготовленным Коммерческим оператором оптового рынка; </w:t>
      </w:r>
    </w:p>
    <w:p>
      <w:pPr>
        <w:pStyle w:val="Normal"/>
        <w:ind w:firstLine="709"/>
        <w:jc w:val="both"/>
        <w:rPr>
          <w:sz w:val="24"/>
          <w:szCs w:val="24"/>
          <w:highlight w:val="lightGray"/>
        </w:rPr>
      </w:pPr>
      <w:r>
        <w:rPr>
          <w:sz w:val="24"/>
          <w:szCs w:val="24"/>
          <w:highlight w:val="lightGray"/>
        </w:rPr>
        <w:t>и / или</w:t>
      </w:r>
    </w:p>
    <w:p>
      <w:pPr>
        <w:pStyle w:val="Normal"/>
        <w:ind w:firstLine="709"/>
        <w:jc w:val="both"/>
        <w:rPr>
          <w:sz w:val="24"/>
          <w:szCs w:val="24"/>
          <w:highlight w:val="lightGray"/>
        </w:rPr>
      </w:pPr>
      <w:r>
        <w:rPr>
          <w:sz w:val="24"/>
          <w:szCs w:val="24"/>
          <w:highlight w:val="lightGray"/>
        </w:rPr>
        <w:t xml:space="preserve">расчетом, подготовленным </w:t>
      </w:r>
      <w:r>
        <w:rPr>
          <w:bCs/>
          <w:sz w:val="24"/>
          <w:szCs w:val="24"/>
          <w:highlight w:val="lightGray"/>
        </w:rPr>
        <w:t>Покупателем</w:t>
      </w:r>
      <w:r>
        <w:rPr>
          <w:sz w:val="24"/>
          <w:szCs w:val="24"/>
          <w:highlight w:val="lightGray"/>
        </w:rPr>
        <w:t xml:space="preserve"> на основании методики, утвержденной Наблюдательным советом Ассоциации «НП Совет рынка».</w:t>
      </w:r>
    </w:p>
    <w:p>
      <w:pPr>
        <w:pStyle w:val="Normal"/>
        <w:ind w:firstLine="709"/>
        <w:jc w:val="both"/>
        <w:rPr>
          <w:sz w:val="24"/>
          <w:szCs w:val="24"/>
          <w:highlight w:val="lightGray"/>
        </w:rPr>
      </w:pPr>
      <w:r>
        <w:rPr>
          <w:sz w:val="24"/>
          <w:szCs w:val="24"/>
          <w:highlight w:val="lightGray"/>
        </w:rPr>
        <w:t xml:space="preserve">В отношении вновь вводимого оборудования ГЭС / ГАЭС – объектов ДПМ, ДПМ ВИЭ в ценовых зонах ОРЭМ Поставщик дополнительно компенсирует </w:t>
      </w:r>
      <w:r>
        <w:rPr>
          <w:bCs/>
          <w:sz w:val="24"/>
          <w:szCs w:val="24"/>
          <w:highlight w:val="lightGray"/>
        </w:rPr>
        <w:t>Покупателю</w:t>
      </w:r>
      <w:r>
        <w:rPr>
          <w:sz w:val="24"/>
          <w:szCs w:val="24"/>
          <w:highlight w:val="lightGray"/>
        </w:rPr>
        <w:t xml:space="preserve"> упущенную выгоду (выручку) в связи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pPr>
        <w:pStyle w:val="Normal"/>
        <w:ind w:firstLine="709"/>
        <w:jc w:val="both"/>
        <w:rPr>
          <w:sz w:val="24"/>
          <w:szCs w:val="24"/>
          <w:highlight w:val="lightGray"/>
        </w:rPr>
      </w:pPr>
      <w:r>
        <w:rPr>
          <w:sz w:val="24"/>
          <w:szCs w:val="24"/>
          <w:highlight w:val="lightGray"/>
        </w:rPr>
        <w:t xml:space="preserve">В отношении вновь вводимого (модернизируемого) оборудования ТЭС в неценовой зоне Дальнего Востока Поставщик дополнительно компенсирует </w:t>
      </w:r>
      <w:r>
        <w:rPr>
          <w:bCs/>
          <w:sz w:val="24"/>
          <w:szCs w:val="24"/>
          <w:highlight w:val="lightGray"/>
        </w:rPr>
        <w:t>Покупателю</w:t>
      </w:r>
      <w:r>
        <w:rPr>
          <w:sz w:val="24"/>
          <w:szCs w:val="24"/>
          <w:highlight w:val="lightGray"/>
        </w:rPr>
        <w:t xml:space="preserve"> упущенную выгоду (выручку) в связи: </w:t>
      </w:r>
    </w:p>
    <w:p>
      <w:pPr>
        <w:pStyle w:val="ListParagraph"/>
        <w:numPr>
          <w:ilvl w:val="2"/>
          <w:numId w:val="2"/>
        </w:numPr>
        <w:tabs>
          <w:tab w:val="clear" w:pos="709"/>
        </w:tabs>
        <w:ind w:left="0" w:firstLine="709"/>
        <w:jc w:val="both"/>
        <w:rPr>
          <w:sz w:val="24"/>
          <w:szCs w:val="24"/>
          <w:highlight w:val="lightGray"/>
        </w:rPr>
      </w:pPr>
      <w:r>
        <w:rPr>
          <w:sz w:val="24"/>
          <w:szCs w:val="24"/>
          <w:highlight w:val="lightGray"/>
        </w:rPr>
        <w:t>С неоплатой мощности из-за просрочки исполнения обязательства по поставке мощности от модернизированного объекта.</w:t>
      </w:r>
    </w:p>
    <w:p>
      <w:pPr>
        <w:pStyle w:val="Normal"/>
        <w:ind w:firstLine="709"/>
        <w:jc w:val="both"/>
        <w:rPr>
          <w:sz w:val="24"/>
          <w:szCs w:val="24"/>
          <w:highlight w:val="lightGray"/>
        </w:rPr>
      </w:pPr>
      <w:r>
        <w:rPr>
          <w:sz w:val="24"/>
          <w:szCs w:val="24"/>
          <w:highlight w:val="lightGray"/>
        </w:rPr>
        <w:t>Размер упущенной выгоды для каждого месяца просрочки определяется как произведение установленной мощности модернизированного объекта на тариф по мощности, определенный Коммерческим оператором оптового рынка согласно приложению № 5(3) к Основам ценообразования в области регулируемых цен (тарифов) в электроэнергетике, утвержденным постановлением Правительства Российской Федерации от 29.12.2011 № 1178 «О ценообразовании в области регулируемых цен (тарифов) в электроэнергетике», в порядке, установленном договором о присоединении к торговой системе оптового рынка, на каждый месяц в течение 180 месяцев с даты начала поставки мощности, указанной в перечне, утвержденном Правительством Российской Федерации.</w:t>
      </w:r>
    </w:p>
    <w:p>
      <w:pPr>
        <w:pStyle w:val="ListParagraph"/>
        <w:numPr>
          <w:ilvl w:val="2"/>
          <w:numId w:val="2"/>
        </w:numPr>
        <w:tabs>
          <w:tab w:val="clear" w:pos="709"/>
        </w:tabs>
        <w:ind w:left="0" w:firstLine="709"/>
        <w:jc w:val="both"/>
        <w:rPr>
          <w:sz w:val="24"/>
          <w:szCs w:val="24"/>
          <w:highlight w:val="lightGray"/>
        </w:rPr>
      </w:pPr>
      <w:r>
        <w:rPr>
          <w:sz w:val="24"/>
          <w:szCs w:val="24"/>
          <w:highlight w:val="lightGray"/>
        </w:rPr>
        <w: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в неценовых зонах оптового рынка, определенную в соответствии с решением Правительства Российской Федерации.</w:t>
      </w:r>
    </w:p>
    <w:p>
      <w:pPr>
        <w:pStyle w:val="Normal"/>
        <w:ind w:firstLine="709"/>
        <w:jc w:val="both"/>
        <w:rPr>
          <w:sz w:val="24"/>
          <w:szCs w:val="24"/>
          <w:highlight w:val="lightGray"/>
        </w:rPr>
      </w:pPr>
      <w:r>
        <w:rPr>
          <w:sz w:val="24"/>
          <w:szCs w:val="24"/>
          <w:highlight w:val="lightGray"/>
        </w:rPr>
        <w: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t>
      </w:r>
    </w:p>
    <w:p>
      <w:pPr>
        <w:pStyle w:val="ListParagraph"/>
        <w:numPr>
          <w:ilvl w:val="2"/>
          <w:numId w:val="2"/>
        </w:numPr>
        <w:tabs>
          <w:tab w:val="clear" w:pos="709"/>
        </w:tabs>
        <w:ind w:left="0" w:firstLine="709"/>
        <w:jc w:val="both"/>
        <w:rPr>
          <w:sz w:val="24"/>
          <w:szCs w:val="24"/>
          <w:highlight w:val="lightGray"/>
        </w:rPr>
      </w:pPr>
      <w:r>
        <w:rPr>
          <w:sz w:val="24"/>
          <w:szCs w:val="24"/>
          <w:highlight w:val="lightGray"/>
        </w:rPr>
        <w:t xml:space="preserve"> </w:t>
      </w:r>
      <w:r>
        <w:rPr>
          <w:sz w:val="24"/>
          <w:szCs w:val="24"/>
          <w:highlight w:val="lightGray"/>
        </w:rPr>
        <w: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неценовой зоне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определяется в соответствии с порядком, предусмотренным пунктами 182(4), 182(5) Правил ОРЭМ</w:t>
      </w:r>
      <w:r>
        <w:rPr>
          <w:rStyle w:val="FootnoteReference"/>
          <w:sz w:val="24"/>
          <w:szCs w:val="24"/>
          <w:highlight w:val="lightGray"/>
        </w:rPr>
        <w:footnoteReference w:id="12"/>
      </w:r>
      <w:r>
        <w:rPr>
          <w:sz w:val="24"/>
          <w:szCs w:val="24"/>
          <w:highlight w:val="lightGray"/>
        </w:rPr>
        <w:t>.</w:t>
      </w:r>
    </w:p>
    <w:p>
      <w:pPr>
        <w:pStyle w:val="Normal"/>
        <w:ind w:firstLine="709"/>
        <w:jc w:val="both"/>
        <w:rPr>
          <w:sz w:val="24"/>
          <w:szCs w:val="24"/>
          <w:highlight w:val="lightGray"/>
        </w:rPr>
      </w:pPr>
      <w:r>
        <w:rPr>
          <w:sz w:val="24"/>
          <w:szCs w:val="24"/>
          <w:highlight w:val="lightGray"/>
        </w:rPr>
        <w:t>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 изложена в Приложении № 7 к Договору.</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numPr>
          <w:ilvl w:val="1"/>
          <w:numId w:val="2"/>
        </w:numPr>
        <w:shd w:val="clear" w:color="auto" w:fill="FFFFFF"/>
        <w:tabs>
          <w:tab w:val="clear" w:pos="709"/>
        </w:tabs>
        <w:ind w:left="0" w:firstLine="709"/>
        <w:jc w:val="both"/>
        <w:rPr>
          <w:rFonts w:eastAsia="Calibri"/>
          <w:bCs/>
          <w:sz w:val="24"/>
          <w:szCs w:val="24"/>
          <w:highlight w:val="lightGray"/>
        </w:rPr>
      </w:pPr>
      <w:r>
        <w:rPr>
          <w:rFonts w:eastAsia="Calibri"/>
          <w:bCs/>
          <w:sz w:val="24"/>
          <w:szCs w:val="24"/>
          <w:highlight w:val="lightGray"/>
        </w:rPr>
        <w:t>В случае нарушения Поставщиком сроков исполнения обязательств, установленных пунктом 3.1.1 Регламента взаимодействия в ходе исполнения процессов управления проектом (Приложение № 6 к Договору), Покупатель вправе потребовать уплаты Поставщиком неустойки в размере 0,02 (ноль целых и две сотых) процента от стоимости Партии Товара, в отношении которой (-ого) Поставщиком должен быть разработан детальный календарно-сетевой график, за каждый день просрочки, но не менее 50 000 (пятидесяти тысяч) рублей.</w:t>
      </w:r>
    </w:p>
    <w:p>
      <w:pPr>
        <w:pStyle w:val="Normal"/>
        <w:ind w:firstLine="709"/>
        <w:jc w:val="both"/>
        <w:rPr>
          <w:rFonts w:eastAsia="Calibri"/>
          <w:bCs/>
          <w:sz w:val="24"/>
          <w:szCs w:val="24"/>
          <w:highlight w:val="lightGray"/>
        </w:rPr>
      </w:pPr>
      <w:r>
        <w:rPr>
          <w:rFonts w:eastAsia="Calibri"/>
          <w:bCs/>
          <w:sz w:val="24"/>
          <w:szCs w:val="24"/>
          <w:highlight w:val="lightGray"/>
        </w:rPr>
        <w:t>В случае нарушения Поставщиком сроков исполнения обязательств, установленных пунктом 3.2.4 Регламента взаимодействия в ходе исполнения процессов управления проектом (Приложение № 7 к Договору), Покупатель вправе потребовать уплаты Поставщиком штрафа в размере 15 000 (Пятнадцать тысяч) рублей за каждый случай нарушения</w:t>
      </w:r>
      <w:r>
        <w:rPr>
          <w:rStyle w:val="FootnoteReference"/>
          <w:rFonts w:eastAsia="Calibri"/>
          <w:bCs/>
          <w:sz w:val="24"/>
          <w:szCs w:val="24"/>
          <w:highlight w:val="lightGray"/>
        </w:rPr>
        <w:footnoteReference w:id="13"/>
      </w:r>
      <w:r>
        <w:rPr>
          <w:rFonts w:eastAsia="Calibri"/>
          <w:bCs/>
          <w:sz w:val="24"/>
          <w:szCs w:val="24"/>
          <w:highlight w:val="lightGray"/>
        </w:rPr>
        <w:t>.</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12"/>
          <w:szCs w:val="12"/>
        </w:rPr>
      </w:pPr>
      <w:r>
        <w:rPr>
          <w:sz w:val="12"/>
          <w:szCs w:val="12"/>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0"/>
          <w:numId w:val="0"/>
        </w:numPr>
        <w:shd w:val="clear" w:color="auto" w:fill="FFFFFF"/>
        <w:tabs>
          <w:tab w:val="clear" w:pos="709"/>
          <w:tab w:val="left" w:pos="0" w:leader="none"/>
        </w:tabs>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находящихся на регистрации товарных знаках Покупателя, а также 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Поставщиках, поставщиках оборудования и материалов, а также 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не публиковать и не </w:t>
      </w:r>
      <w:r>
        <w:rPr>
          <w:sz w:val="24"/>
          <w:szCs w:val="24"/>
        </w:rPr>
        <w:t>раскрывать</w:t>
      </w:r>
      <w:r>
        <w:rPr>
          <w:bCs/>
          <w:sz w:val="24"/>
          <w:szCs w:val="24"/>
        </w:rPr>
        <w:t xml:space="preserve">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 9.6.7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8" w:name="_Ref361337832"/>
      <w:r>
        <w:rPr>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8"/>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9" w:name="_Ref361337863"/>
      <w:r>
        <w:rPr>
          <w:bCs/>
          <w:sz w:val="24"/>
          <w:szCs w:val="24"/>
        </w:rPr>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bookmarkEnd w:id="9"/>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12"/>
          <w:szCs w:val="12"/>
        </w:rPr>
      </w:pPr>
      <w:r>
        <w:rPr>
          <w:sz w:val="12"/>
          <w:szCs w:val="12"/>
        </w:rPr>
      </w:r>
    </w:p>
    <w:p>
      <w:pPr>
        <w:pStyle w:val="ListParagraph"/>
        <w:widowControl/>
        <w:numPr>
          <w:ilvl w:val="0"/>
          <w:numId w:val="2"/>
        </w:numPr>
        <w:shd w:val="clear" w:color="auto" w:fill="FFFFFF"/>
        <w:ind w:left="0" w:hanging="0"/>
        <w:jc w:val="center"/>
        <w:rPr>
          <w:b/>
          <w:bCs/>
          <w:sz w:val="24"/>
          <w:szCs w:val="24"/>
        </w:rPr>
      </w:pPr>
      <w:r>
        <w:rPr>
          <w:b/>
          <w:bCs/>
          <w:sz w:val="24"/>
          <w:szCs w:val="24"/>
        </w:rPr>
        <w:t>Разрешение споров</w:t>
      </w:r>
    </w:p>
    <w:p>
      <w:pPr>
        <w:pStyle w:val="ListParagraph"/>
        <w:widowControl/>
        <w:numPr>
          <w:ilvl w:val="0"/>
          <w:numId w:val="0"/>
        </w:numPr>
        <w:shd w:val="clear" w:color="auto" w:fill="FFFFFF"/>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sz w:val="24"/>
          <w:szCs w:val="24"/>
          <w:highlight w:val="lightGray"/>
        </w:rPr>
        <w:t>Ставропольского края</w:t>
      </w:r>
      <w:r>
        <w:rPr>
          <w:bCs/>
          <w:sz w:val="24"/>
          <w:szCs w:val="24"/>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14.8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bCs/>
          <w:sz w:val="12"/>
          <w:szCs w:val="12"/>
        </w:rPr>
      </w:pPr>
      <w:r>
        <w:rPr>
          <w:bCs/>
          <w:sz w:val="12"/>
          <w:szCs w:val="12"/>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widowControl/>
        <w:numPr>
          <w:ilvl w:val="0"/>
          <w:numId w:val="0"/>
        </w:numPr>
        <w:shd w:val="clear" w:color="auto" w:fill="FFFFFF"/>
        <w:ind w:left="0" w:hanging="0"/>
        <w:jc w:val="center"/>
        <w:rPr>
          <w:sz w:val="12"/>
          <w:szCs w:val="12"/>
        </w:rPr>
      </w:pPr>
      <w:r>
        <w:rPr>
          <w:sz w:val="12"/>
          <w:szCs w:val="12"/>
        </w:rPr>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12"/>
          <w:szCs w:val="12"/>
        </w:rPr>
      </w:pPr>
      <w:r>
        <w:rPr>
          <w:b/>
          <w:bCs/>
          <w:sz w:val="12"/>
          <w:szCs w:val="12"/>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0"/>
          <w:numId w:val="0"/>
        </w:numPr>
        <w:shd w:val="clear" w:color="auto" w:fill="FFFFFF"/>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этом любая из Сторон вправе отказаться от исполнения Договора в одностороннем внесудебном порядке.</w:t>
      </w:r>
    </w:p>
    <w:p>
      <w:pPr>
        <w:pStyle w:val="Normal"/>
        <w:shd w:val="clear" w:color="auto" w:fill="FFFFFF"/>
        <w:jc w:val="both"/>
        <w:rPr>
          <w:sz w:val="12"/>
          <w:szCs w:val="12"/>
        </w:rPr>
      </w:pPr>
      <w:r>
        <w:rPr>
          <w:sz w:val="12"/>
          <w:szCs w:val="12"/>
        </w:rPr>
      </w:r>
    </w:p>
    <w:p>
      <w:pPr>
        <w:pStyle w:val="Normal"/>
        <w:widowControl/>
        <w:numPr>
          <w:ilvl w:val="0"/>
          <w:numId w:val="2"/>
        </w:numPr>
        <w:shd w:val="clear" w:color="auto" w:fill="FFFFFF"/>
        <w:spacing w:lineRule="auto" w:line="259" w:before="0" w:after="0"/>
        <w:ind w:left="0" w:hanging="0"/>
        <w:contextualSpacing/>
        <w:jc w:val="center"/>
        <w:rPr>
          <w:b/>
          <w:bCs/>
          <w:sz w:val="24"/>
          <w:szCs w:val="24"/>
        </w:rPr>
      </w:pPr>
      <w:r>
        <w:rPr>
          <w:b/>
          <w:bCs/>
          <w:sz w:val="24"/>
          <w:szCs w:val="24"/>
        </w:rPr>
        <w:t>Особые положения</w:t>
      </w:r>
    </w:p>
    <w:p>
      <w:pPr>
        <w:pStyle w:val="Normal"/>
        <w:widowControl/>
        <w:numPr>
          <w:ilvl w:val="0"/>
          <w:numId w:val="0"/>
        </w:numPr>
        <w:shd w:val="clear" w:color="auto" w:fill="FFFFFF"/>
        <w:spacing w:lineRule="auto" w:line="259" w:before="0" w:after="0"/>
        <w:ind w:left="0" w:hanging="0"/>
        <w:contextualSpacing/>
        <w:jc w:val="center"/>
        <w:rPr>
          <w:sz w:val="12"/>
          <w:szCs w:val="12"/>
        </w:rPr>
      </w:pPr>
      <w:r>
        <w:rPr>
          <w:sz w:val="12"/>
          <w:szCs w:val="12"/>
        </w:rPr>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sz w:val="24"/>
            <w:szCs w:val="24"/>
          </w:rPr>
          <w:t>№ 18162/09</w:t>
        </w:r>
      </w:hyperlink>
      <w:r>
        <w:rPr>
          <w:bCs/>
          <w:sz w:val="24"/>
          <w:szCs w:val="24"/>
        </w:rPr>
        <w:t xml:space="preserve"> и от 25.05.2010 </w:t>
      </w:r>
      <w:hyperlink r:id="rId4">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5">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0"/>
          <w:numId w:val="0"/>
        </w:numPr>
        <w:shd w:val="clear" w:color="auto" w:fill="FFFFFF"/>
        <w:tabs>
          <w:tab w:val="clear" w:pos="709"/>
          <w:tab w:val="left" w:pos="426" w:leader="none"/>
        </w:tabs>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Поставщик 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Поставщик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12"/>
          <w:szCs w:val="12"/>
        </w:rPr>
      </w:pPr>
      <w:r>
        <w:rPr>
          <w:sz w:val="12"/>
          <w:szCs w:val="12"/>
        </w:rPr>
      </w:r>
    </w:p>
    <w:p>
      <w:pPr>
        <w:pStyle w:val="ListParagraph"/>
        <w:widowControl/>
        <w:numPr>
          <w:ilvl w:val="0"/>
          <w:numId w:val="2"/>
        </w:numPr>
        <w:shd w:val="clear" w:color="auto" w:fill="FFFFFF"/>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0"/>
          <w:numId w:val="0"/>
        </w:numPr>
        <w:shd w:val="clear" w:color="auto" w:fill="FFFFFF"/>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14.8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12"/>
          <w:szCs w:val="12"/>
        </w:rPr>
      </w:pPr>
      <w:r>
        <w:rPr>
          <w:bCs/>
          <w:sz w:val="12"/>
          <w:szCs w:val="12"/>
        </w:rPr>
      </w:r>
    </w:p>
    <w:p>
      <w:pPr>
        <w:pStyle w:val="ListParagraph"/>
        <w:widowControl/>
        <w:numPr>
          <w:ilvl w:val="0"/>
          <w:numId w:val="2"/>
        </w:numPr>
        <w:shd w:val="clear" w:color="auto" w:fill="FFFFFF"/>
        <w:ind w:left="0" w:hanging="0"/>
        <w:jc w:val="center"/>
        <w:rPr>
          <w:b/>
          <w:bCs/>
          <w:sz w:val="24"/>
          <w:szCs w:val="24"/>
        </w:rPr>
      </w:pPr>
      <w:r>
        <w:rPr>
          <w:b/>
          <w:bCs/>
          <w:sz w:val="24"/>
          <w:szCs w:val="24"/>
        </w:rPr>
        <w:t>Заключительные положения</w:t>
      </w:r>
    </w:p>
    <w:p>
      <w:pPr>
        <w:pStyle w:val="ListParagraph"/>
        <w:widowControl/>
        <w:numPr>
          <w:ilvl w:val="0"/>
          <w:numId w:val="0"/>
        </w:numPr>
        <w:shd w:val="clear" w:color="auto" w:fill="FFFFFF"/>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r>
        <w:rPr>
          <w:sz w:val="24"/>
          <w:szCs w:val="24"/>
          <w:highlight w:val="lightGray"/>
        </w:rPr>
        <w:t>В соответствии с пунктом 2 статьи 425 ГК РФ, условия Договора применяются к отношениям Сторон, возникшим с __________</w:t>
      </w:r>
      <w:r>
        <w:rPr>
          <w:sz w:val="24"/>
          <w:szCs w:val="24"/>
        </w:rPr>
        <w:t>.</w:t>
      </w:r>
    </w:p>
    <w:p>
      <w:pPr>
        <w:pStyle w:val="Normal"/>
        <w:widowControl/>
        <w:numPr>
          <w:ilvl w:val="1"/>
          <w:numId w:val="2"/>
        </w:numPr>
        <w:tabs>
          <w:tab w:val="clear" w:pos="709"/>
          <w:tab w:val="left" w:pos="142" w:leader="none"/>
        </w:tabs>
        <w:snapToGrid w:val="false"/>
        <w:ind w:left="0" w:firstLine="709"/>
        <w:jc w:val="both"/>
        <w:rPr>
          <w:sz w:val="24"/>
          <w:szCs w:val="24"/>
          <w:highlight w:val="lightGray"/>
          <w:lang w:eastAsia="en-US"/>
        </w:rPr>
      </w:pPr>
      <w:r>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sz w:val="24"/>
          <w:szCs w:val="24"/>
          <w:lang w:eastAsia="en-US"/>
        </w:rPr>
      </w:pPr>
      <w:r>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lang w:eastAsia="en-US"/>
        </w:rPr>
        <w:footnoteReference w:id="14"/>
      </w:r>
      <w:r>
        <w:rPr>
          <w:sz w:val="24"/>
          <w:szCs w:val="24"/>
          <w:highlight w:val="lightGray"/>
          <w:lang w:eastAsia="en-US"/>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14.7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наличия любых расхождений между содержанием Договора 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sz w:val="24"/>
          <w:szCs w:val="24"/>
          <w:highlight w:val="lightGray"/>
        </w:rPr>
        <w:t>14.8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0"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4"/>
          <w:szCs w:val="24"/>
          <w:highlight w:val="lightGray"/>
        </w:rPr>
        <w:t>14.8</w:t>
      </w:r>
      <w:r>
        <w:rPr>
          <w:sz w:val="24"/>
          <w:szCs w:val="24"/>
        </w:rPr>
        <w:t xml:space="preserve"> Договора.</w:t>
      </w:r>
      <w:bookmarkEnd w:id="10"/>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14.8.1 – 14.8.2</w:t>
      </w:r>
      <w:r>
        <w:rPr>
          <w:bCs/>
          <w:sz w:val="24"/>
          <w:szCs w:val="24"/>
        </w:rPr>
        <w:t xml:space="preserve"> Договора. </w:t>
      </w:r>
    </w:p>
    <w:p>
      <w:pPr>
        <w:pStyle w:val="Normal"/>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Уступка (передача), в том числе в залог, прав (требований) к Покупателю 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15"/>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6"/>
      </w:r>
      <w:r>
        <w:rPr>
          <w:sz w:val="24"/>
          <w:szCs w:val="24"/>
          <w:highlight w:val="lightGray"/>
        </w:rPr>
        <w:t>.</w:t>
      </w:r>
    </w:p>
    <w:p>
      <w:pPr>
        <w:pStyle w:val="Normal"/>
        <w:shd w:val="clear" w:color="auto" w:fill="FFFFFF"/>
        <w:ind w:firstLine="567"/>
        <w:jc w:val="both"/>
        <w:rPr>
          <w:sz w:val="12"/>
          <w:szCs w:val="12"/>
        </w:rPr>
      </w:pPr>
      <w:r>
        <w:rPr>
          <w:sz w:val="12"/>
          <w:szCs w:val="12"/>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Список приложений</w:t>
      </w:r>
    </w:p>
    <w:p>
      <w:pPr>
        <w:pStyle w:val="Normal"/>
        <w:widowControl/>
        <w:numPr>
          <w:ilvl w:val="0"/>
          <w:numId w:val="0"/>
        </w:numPr>
        <w:shd w:val="clear" w:color="auto" w:fill="FFFFFF"/>
        <w:tabs>
          <w:tab w:val="clear" w:pos="709"/>
          <w:tab w:val="left" w:pos="284" w:leader="none"/>
        </w:tabs>
        <w:spacing w:lineRule="auto" w:line="259" w:before="0" w:after="0"/>
        <w:ind w:left="360" w:hanging="0"/>
        <w:contextualSpacing/>
        <w:jc w:val="center"/>
        <w:rPr>
          <w:sz w:val="12"/>
          <w:szCs w:val="12"/>
        </w:rPr>
      </w:pPr>
      <w:r>
        <w:rPr>
          <w:sz w:val="12"/>
          <w:szCs w:val="12"/>
        </w:rPr>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lang w:eastAsia="x-none"/>
        </w:rPr>
      </w:pPr>
      <w:r>
        <w:rPr>
          <w:sz w:val="24"/>
          <w:szCs w:val="24"/>
          <w:lang w:eastAsia="x-none"/>
        </w:rPr>
        <w:t>Приложение № 3 –</w:t>
      </w:r>
      <w:r>
        <w:rPr>
          <w:rFonts w:eastAsia="Calibri"/>
          <w:sz w:val="24"/>
          <w:szCs w:val="24"/>
          <w:lang w:eastAsia="en-US"/>
        </w:rPr>
        <w:t xml:space="preserve"> Календарный график поставки Товара.</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rPr>
      </w:pPr>
      <w:bookmarkStart w:id="11" w:name="sub_1"/>
      <w:r>
        <w:rPr>
          <w:rFonts w:eastAsia="Calibri"/>
          <w:sz w:val="24"/>
          <w:szCs w:val="24"/>
          <w:lang w:eastAsia="en-US"/>
        </w:rPr>
        <w:t>Приложение № 4 – Критерии отбора Банков-Гарантов.</w:t>
      </w:r>
      <w:bookmarkEnd w:id="11"/>
    </w:p>
    <w:p>
      <w:pPr>
        <w:pStyle w:val="Normal"/>
        <w:ind w:firstLine="709"/>
        <w:jc w:val="both"/>
        <w:rPr>
          <w:bCs/>
          <w:sz w:val="24"/>
          <w:szCs w:val="24"/>
        </w:rPr>
      </w:pPr>
      <w:r>
        <w:rPr>
          <w:bCs/>
          <w:sz w:val="24"/>
          <w:szCs w:val="24"/>
        </w:rPr>
        <w:t xml:space="preserve">Приложение № 5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highlight w:val="lightGray"/>
        </w:rPr>
        <w:t xml:space="preserve">Приложение № 6 </w:t>
      </w:r>
      <w:r>
        <w:rPr>
          <w:rFonts w:eastAsia="Calibri"/>
          <w:sz w:val="24"/>
          <w:szCs w:val="24"/>
          <w:highlight w:val="lightGray"/>
          <w:lang w:eastAsia="en-US"/>
        </w:rPr>
        <w:t>–</w:t>
      </w:r>
      <w:r>
        <w:rPr>
          <w:bCs/>
          <w:sz w:val="24"/>
          <w:szCs w:val="24"/>
          <w:highlight w:val="lightGray"/>
        </w:rPr>
        <w:t xml:space="preserve"> Регламент взаимодействия в ходе исполнения процессов управления проектом</w:t>
      </w:r>
      <w:r>
        <w:rPr>
          <w:bCs/>
          <w:sz w:val="24"/>
          <w:szCs w:val="24"/>
        </w:rPr>
        <w:t>.</w:t>
      </w:r>
    </w:p>
    <w:p>
      <w:pPr>
        <w:pStyle w:val="Normal"/>
        <w:ind w:firstLine="709"/>
        <w:jc w:val="both"/>
        <w:rPr>
          <w:bCs/>
          <w:sz w:val="24"/>
          <w:szCs w:val="24"/>
          <w:highlight w:val="lightGray"/>
        </w:rPr>
      </w:pPr>
      <w:r>
        <w:rPr>
          <w:bCs/>
          <w:sz w:val="24"/>
          <w:szCs w:val="24"/>
          <w:highlight w:val="lightGray"/>
        </w:rPr>
        <w:t>Приложение № 7 – 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w:t>
      </w:r>
    </w:p>
    <w:p>
      <w:pPr>
        <w:pStyle w:val="Normal"/>
        <w:ind w:firstLine="709"/>
        <w:jc w:val="both"/>
        <w:rPr>
          <w:sz w:val="12"/>
          <w:szCs w:val="12"/>
        </w:rPr>
      </w:pPr>
      <w:r>
        <w:rPr>
          <w:sz w:val="12"/>
          <w:szCs w:val="12"/>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12"/>
          <w:szCs w:val="12"/>
        </w:rPr>
      </w:pPr>
      <w:r>
        <w:rPr>
          <w:b/>
          <w:bCs/>
          <w:sz w:val="12"/>
          <w:szCs w:val="12"/>
        </w:rPr>
      </w:r>
    </w:p>
    <w:tbl>
      <w:tblPr>
        <w:tblW w:w="989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782"/>
        <w:gridCol w:w="29"/>
        <w:gridCol w:w="5078"/>
      </w:tblGrid>
      <w:tr>
        <w:trPr/>
        <w:tc>
          <w:tcPr>
            <w:tcW w:w="4811" w:type="dxa"/>
            <w:gridSpan w:val="2"/>
            <w:tcBorders/>
          </w:tcPr>
          <w:p>
            <w:pPr>
              <w:pStyle w:val="Normal"/>
              <w:widowControl w:val="false"/>
              <w:rPr>
                <w:b/>
                <w:bCs/>
              </w:rPr>
            </w:pPr>
            <w:r>
              <w:rPr>
                <w:b/>
                <w:bCs/>
                <w:sz w:val="24"/>
                <w:szCs w:val="24"/>
              </w:rPr>
              <w:t>ПОКУПАТЕЛЬ:</w:t>
            </w:r>
          </w:p>
        </w:tc>
        <w:tc>
          <w:tcPr>
            <w:tcW w:w="5078" w:type="dxa"/>
            <w:tcBorders/>
          </w:tcPr>
          <w:p>
            <w:pPr>
              <w:pStyle w:val="Normal"/>
              <w:widowControl w:val="false"/>
              <w:rPr>
                <w:b/>
                <w:bCs/>
              </w:rPr>
            </w:pPr>
            <w:r>
              <w:rPr>
                <w:b/>
                <w:bCs/>
                <w:sz w:val="24"/>
                <w:szCs w:val="24"/>
              </w:rPr>
              <w:t>ПОСТАВЩИК:</w:t>
            </w:r>
          </w:p>
        </w:tc>
      </w:tr>
      <w:tr>
        <w:trPr/>
        <w:tc>
          <w:tcPr>
            <w:tcW w:w="4811" w:type="dxa"/>
            <w:gridSpan w:val="2"/>
            <w:tcBorders/>
            <w:shd w:color="auto" w:fill="BFBFBF" w:val="clear"/>
          </w:tcPr>
          <w:p>
            <w:pPr>
              <w:pStyle w:val="NoSpacing"/>
              <w:widowControl w:val="false"/>
              <w:rPr>
                <w:b/>
                <w:bCs/>
              </w:rPr>
            </w:pPr>
            <w:r>
              <w:rPr>
                <w:rFonts w:cs="Times New Roman" w:ascii="Times New Roman" w:hAnsi="Times New Roman"/>
                <w:b/>
                <w:bCs/>
                <w:sz w:val="24"/>
                <w:szCs w:val="24"/>
              </w:rPr>
              <w:t>Акционерное общество «ТК РусГидро»</w:t>
            </w:r>
          </w:p>
          <w:p>
            <w:pPr>
              <w:pStyle w:val="NoSpacing"/>
              <w:widowControl w:val="false"/>
              <w:rPr>
                <w:b/>
                <w:bCs/>
              </w:rPr>
            </w:pPr>
            <w:r>
              <w:rPr>
                <w:rFonts w:cs="Times New Roman" w:ascii="Times New Roman" w:hAnsi="Times New Roman"/>
                <w:b/>
                <w:bCs/>
                <w:sz w:val="24"/>
                <w:szCs w:val="24"/>
              </w:rPr>
              <w:t>(АО «ТК РусГидро»)</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655619, Республика Хакасия, город Саяногорск, рабочий поселок Черемушки,</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д. 101.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ИНН 1902018248 КПП 190201001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ОГРН 1031900676356 ОКПО 42213224</w:t>
            </w:r>
          </w:p>
          <w:p>
            <w:pPr>
              <w:pStyle w:val="NoSpacing"/>
              <w:widowControl w:val="false"/>
              <w:rPr>
                <w:b/>
                <w:bCs/>
              </w:rPr>
            </w:pPr>
            <w:r>
              <w:rPr>
                <w:rFonts w:cs="Times New Roman" w:ascii="Times New Roman" w:hAnsi="Times New Roman"/>
                <w:b/>
                <w:bCs/>
                <w:sz w:val="24"/>
                <w:szCs w:val="24"/>
              </w:rPr>
              <w:t>Южный филиал АО «ТК РусГидро»</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357506, Российская Федерация, Ставропольский край, город-курорт Пятигорск, ул. Тургеневская, зд. 30.</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Телефон, факс: +7(86554)4-16-55</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ИНН 1902018248 КПП 263243001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ОКПО 21967982</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Банковские реквизиты:</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р/с 40702810795000000002</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в Банк ГПБ (АО), г. Москва</w:t>
            </w:r>
          </w:p>
          <w:p>
            <w:pPr>
              <w:pStyle w:val="NoSpacing"/>
              <w:widowControl w:val="false"/>
              <w:rPr/>
            </w:pPr>
            <w:r>
              <w:rPr>
                <w:rFonts w:cs="Times New Roman" w:ascii="Times New Roman" w:hAnsi="Times New Roman"/>
              </w:rPr>
              <w:t>БИК 044525823 к/с 30101810200000000823</w:t>
            </w:r>
          </w:p>
        </w:tc>
        <w:tc>
          <w:tcPr>
            <w:tcW w:w="5078" w:type="dxa"/>
            <w:tcBorders/>
            <w:shd w:color="auto" w:fill="BFBFBF" w:val="clear"/>
          </w:tcPr>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82" w:type="dxa"/>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p>
            <w:pPr>
              <w:pStyle w:val="NoSpacing"/>
              <w:widowControl w:val="false"/>
              <w:rPr>
                <w:rFonts w:ascii="Times New Roman" w:hAnsi="Times New Roman" w:cs="Times New Roman"/>
                <w:sz w:val="24"/>
                <w:szCs w:val="24"/>
              </w:rPr>
            </w:pPr>
            <w:r>
              <w:rPr>
                <w:rFonts w:cs="Times New Roman" w:ascii="Times New Roman" w:hAnsi="Times New Roman"/>
                <w:sz w:val="24"/>
                <w:szCs w:val="24"/>
                <w:highlight w:val="lightGray"/>
              </w:rPr>
              <w:t>_______________ В.А. Изотов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highlight w:val="lightGray"/>
              </w:rPr>
              <w:t>МП</w:t>
            </w:r>
          </w:p>
        </w:tc>
        <w:tc>
          <w:tcPr>
            <w:tcW w:w="5107" w:type="dxa"/>
            <w:gridSpan w:val="2"/>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__.__.________________</w:t>
            </w:r>
          </w:p>
          <w:p>
            <w:pPr>
              <w:pStyle w:val="Normal"/>
              <w:widowControl w:val="false"/>
              <w:rPr>
                <w:sz w:val="24"/>
                <w:szCs w:val="24"/>
              </w:rPr>
            </w:pPr>
            <w:r>
              <w:rPr>
                <w:sz w:val="24"/>
                <w:szCs w:val="24"/>
              </w:rPr>
              <w:t>МП</w:t>
            </w:r>
          </w:p>
        </w:tc>
      </w:tr>
    </w:tbl>
    <w:p>
      <w:pPr>
        <w:sectPr>
          <w:headerReference w:type="default" r:id="rId6"/>
          <w:headerReference w:type="first" r:id="rId7"/>
          <w:footerReference w:type="default" r:id="rId8"/>
          <w:footnotePr>
            <w:numFmt w:val="decimal"/>
          </w:footnotePr>
          <w:type w:val="nextPage"/>
          <w:pgSz w:w="11906" w:h="16838"/>
          <w:pgMar w:left="1418" w:right="851" w:gutter="0" w:header="709" w:top="1276" w:footer="709" w:bottom="1134"/>
          <w:pgNumType w:fmt="decimal"/>
          <w:formProt w:val="false"/>
          <w:textDirection w:val="lrTb"/>
          <w:docGrid w:type="default" w:linePitch="360" w:charSpace="8192"/>
        </w:sectPr>
      </w:pPr>
    </w:p>
    <w:p>
      <w:pPr>
        <w:pStyle w:val="Normal"/>
        <w:suppressAutoHyphens w:val="true"/>
        <w:ind w:left="5103" w:right="96" w:hanging="0"/>
        <w:rPr>
          <w:sz w:val="22"/>
          <w:szCs w:val="22"/>
        </w:rPr>
      </w:pPr>
      <w:r>
        <w:rPr>
          <w:sz w:val="22"/>
          <w:szCs w:val="22"/>
        </w:rPr>
        <w:t>Приложение № 1</w:t>
      </w:r>
    </w:p>
    <w:p>
      <w:pPr>
        <w:pStyle w:val="Normal"/>
        <w:suppressAutoHyphens w:val="true"/>
        <w:ind w:left="5103" w:right="96" w:hanging="0"/>
        <w:rPr>
          <w:sz w:val="22"/>
          <w:szCs w:val="22"/>
        </w:rPr>
      </w:pPr>
      <w:r>
        <w:rPr>
          <w:sz w:val="22"/>
          <w:szCs w:val="22"/>
        </w:rPr>
        <w:t>к Договору поставки</w:t>
      </w:r>
    </w:p>
    <w:p>
      <w:pPr>
        <w:pStyle w:val="Normal"/>
        <w:suppressAutoHyphens w:val="true"/>
        <w:ind w:left="5103" w:right="96" w:hanging="0"/>
        <w:rPr>
          <w:sz w:val="22"/>
          <w:szCs w:val="22"/>
        </w:rPr>
      </w:pPr>
      <w:r>
        <w:rPr>
          <w:sz w:val="22"/>
          <w:szCs w:val="22"/>
        </w:rPr>
        <w:t>от «____» __________ 20 _ г. № _____</w:t>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10317" w:type="dxa"/>
        <w:jc w:val="left"/>
        <w:tblInd w:w="-714" w:type="dxa"/>
        <w:tblLayout w:type="fixed"/>
        <w:tblCellMar>
          <w:top w:w="0" w:type="dxa"/>
          <w:left w:w="108" w:type="dxa"/>
          <w:bottom w:w="0" w:type="dxa"/>
          <w:right w:w="108" w:type="dxa"/>
        </w:tblCellMar>
        <w:tblLook w:val="04a0" w:noVBand="1" w:noHBand="0" w:lastColumn="0" w:firstColumn="1" w:lastRow="0" w:firstRow="1"/>
      </w:tblPr>
      <w:tblGrid>
        <w:gridCol w:w="458"/>
        <w:gridCol w:w="383"/>
        <w:gridCol w:w="605"/>
        <w:gridCol w:w="610"/>
        <w:gridCol w:w="615"/>
        <w:gridCol w:w="766"/>
        <w:gridCol w:w="734"/>
        <w:gridCol w:w="619"/>
        <w:gridCol w:w="729"/>
        <w:gridCol w:w="691"/>
        <w:gridCol w:w="514"/>
        <w:gridCol w:w="647"/>
        <w:gridCol w:w="551"/>
        <w:gridCol w:w="514"/>
        <w:gridCol w:w="716"/>
        <w:gridCol w:w="1162"/>
      </w:tblGrid>
      <w:tr>
        <w:trPr>
          <w:trHeight w:val="526" w:hRule="atLeast"/>
        </w:trPr>
        <w:tc>
          <w:tcPr>
            <w:tcW w:w="4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7"/>
            </w:r>
          </w:p>
        </w:tc>
        <w:tc>
          <w:tcPr>
            <w:tcW w:w="7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18"/>
            </w:r>
          </w:p>
          <w:p>
            <w:pPr>
              <w:pStyle w:val="Normal"/>
              <w:widowControl w:val="false"/>
              <w:jc w:val="center"/>
              <w:rPr>
                <w:bCs/>
              </w:rPr>
            </w:pPr>
            <w:r>
              <w:rPr>
                <w:bCs/>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11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1</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11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11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36"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№1</w:t>
            </w:r>
            <w:r>
              <w:rPr/>
              <w:t>, руб. с НДС</w:t>
            </w:r>
          </w:p>
        </w:tc>
        <w:tc>
          <w:tcPr>
            <w:tcW w:w="187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2</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3</w:t>
            </w:r>
          </w:p>
        </w:tc>
        <w:tc>
          <w:tcPr>
            <w:tcW w:w="6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11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4</w:t>
            </w:r>
          </w:p>
        </w:tc>
        <w:tc>
          <w:tcPr>
            <w:tcW w:w="6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11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36"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№2</w:t>
            </w:r>
            <w:r>
              <w:rPr/>
              <w:t>, руб. с НДС</w:t>
            </w:r>
          </w:p>
        </w:tc>
        <w:tc>
          <w:tcPr>
            <w:tcW w:w="187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36"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87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rPr>
          <w:i/>
          <w:i/>
          <w:sz w:val="24"/>
          <w:szCs w:val="24"/>
          <w:highlight w:val="yellow"/>
        </w:rPr>
      </w:pPr>
      <w:r>
        <w:rPr>
          <w:i/>
          <w:sz w:val="24"/>
          <w:szCs w:val="24"/>
          <w:highlight w:val="yellow"/>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suppressAutoHyphens w:val="true"/>
        <w:spacing w:lineRule="auto" w:line="259"/>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suppressAutoHyphens w:val="true"/>
        <w:ind w:right="96" w:firstLine="5103"/>
        <w:rPr>
          <w:sz w:val="22"/>
          <w:szCs w:val="22"/>
        </w:rPr>
      </w:pPr>
      <w:r>
        <w:rPr>
          <w:sz w:val="22"/>
          <w:szCs w:val="22"/>
        </w:rPr>
        <w:t>Приложение № 2</w:t>
      </w:r>
    </w:p>
    <w:p>
      <w:pPr>
        <w:pStyle w:val="Normal"/>
        <w:suppressAutoHyphens w:val="true"/>
        <w:ind w:right="96" w:firstLine="5103"/>
        <w:rPr>
          <w:sz w:val="22"/>
          <w:szCs w:val="22"/>
        </w:rPr>
      </w:pPr>
      <w:r>
        <w:rPr>
          <w:sz w:val="22"/>
          <w:szCs w:val="22"/>
        </w:rPr>
        <w:t xml:space="preserve">к Договору поставки </w:t>
      </w:r>
    </w:p>
    <w:p>
      <w:pPr>
        <w:pStyle w:val="Normal"/>
        <w:suppressAutoHyphens w:val="true"/>
        <w:ind w:right="96" w:firstLine="5103"/>
        <w:rPr>
          <w:sz w:val="22"/>
          <w:szCs w:val="22"/>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sectPr>
          <w:headerReference w:type="default" r:id="rId9"/>
          <w:headerReference w:type="first" r:id="rId10"/>
          <w:footerReference w:type="default" r:id="rId11"/>
          <w:footerReference w:type="first" r:id="rId12"/>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pPr>
    </w:p>
    <w:p>
      <w:pPr>
        <w:pStyle w:val="Normal"/>
        <w:widowControl w:val="false"/>
        <w:suppressAutoHyphens w:val="true"/>
        <w:bidi w:val="0"/>
        <w:spacing w:before="0" w:after="0"/>
        <w:ind w:left="5102" w:right="-283" w:hanging="0"/>
        <w:jc w:val="left"/>
        <w:rPr>
          <w:sz w:val="22"/>
          <w:szCs w:val="22"/>
        </w:rPr>
      </w:pPr>
      <w:r>
        <w:rPr>
          <w:sz w:val="22"/>
          <w:szCs w:val="22"/>
        </w:rPr>
        <w:t>Приложение № 3</w:t>
      </w:r>
    </w:p>
    <w:p>
      <w:pPr>
        <w:pStyle w:val="Normal"/>
        <w:suppressAutoHyphens w:val="true"/>
        <w:ind w:right="96" w:firstLine="5103"/>
        <w:rPr>
          <w:sz w:val="22"/>
          <w:szCs w:val="22"/>
        </w:rPr>
      </w:pPr>
      <w:r>
        <w:rPr>
          <w:sz w:val="22"/>
          <w:szCs w:val="22"/>
        </w:rPr>
        <w:t>к Договору поставки</w:t>
      </w:r>
    </w:p>
    <w:p>
      <w:pPr>
        <w:pStyle w:val="Normal"/>
        <w:suppressAutoHyphens w:val="true"/>
        <w:ind w:right="96" w:firstLine="5103"/>
        <w:rPr>
          <w:sz w:val="22"/>
          <w:szCs w:val="22"/>
        </w:rPr>
      </w:pPr>
      <w:r>
        <w:rPr>
          <w:sz w:val="22"/>
          <w:szCs w:val="22"/>
        </w:rPr>
        <w:t>от «____» __________ 20 _ г. № ____</w:t>
      </w:r>
    </w:p>
    <w:p>
      <w:pPr>
        <w:pStyle w:val="Normal"/>
        <w:suppressAutoHyphens w:val="true"/>
        <w:jc w:val="center"/>
        <w:rPr>
          <w:b/>
          <w:sz w:val="24"/>
          <w:szCs w:val="24"/>
        </w:rPr>
      </w:pPr>
      <w:r>
        <w:rPr>
          <w:b/>
          <w:sz w:val="24"/>
          <w:szCs w:val="24"/>
        </w:rPr>
      </w:r>
    </w:p>
    <w:p>
      <w:pPr>
        <w:pStyle w:val="Normal"/>
        <w:suppressAutoHyphens w:val="true"/>
        <w:jc w:val="center"/>
        <w:rPr>
          <w:b/>
          <w:sz w:val="24"/>
          <w:szCs w:val="24"/>
        </w:rPr>
      </w:pPr>
      <w:r>
        <w:rPr>
          <w:b/>
          <w:sz w:val="24"/>
          <w:szCs w:val="24"/>
        </w:rPr>
      </w:r>
    </w:p>
    <w:p>
      <w:pPr>
        <w:pStyle w:val="Normal"/>
        <w:suppressAutoHyphens w:val="true"/>
        <w:jc w:val="center"/>
        <w:rPr>
          <w:b/>
          <w:sz w:val="24"/>
          <w:szCs w:val="24"/>
        </w:rPr>
      </w:pPr>
      <w:r>
        <w:rPr>
          <w:b/>
          <w:sz w:val="24"/>
          <w:szCs w:val="24"/>
        </w:rPr>
        <w:t xml:space="preserve">Календарный график поставки Товара </w:t>
      </w:r>
    </w:p>
    <w:p>
      <w:pPr>
        <w:pStyle w:val="Normal"/>
        <w:rPr>
          <w:sz w:val="24"/>
          <w:szCs w:val="24"/>
        </w:rPr>
      </w:pPr>
      <w:r>
        <w:rPr>
          <w:sz w:val="24"/>
          <w:szCs w:val="24"/>
        </w:rPr>
      </w:r>
    </w:p>
    <w:p>
      <w:pPr>
        <w:pStyle w:val="Normal"/>
        <w:rPr>
          <w:sz w:val="24"/>
          <w:szCs w:val="24"/>
        </w:rPr>
      </w:pPr>
      <w:r>
        <w:rPr>
          <w:sz w:val="24"/>
          <w:szCs w:val="24"/>
        </w:rPr>
        <w:t>Таблица 1. Календарный график поставки Товара</w:t>
      </w:r>
    </w:p>
    <w:p>
      <w:pPr>
        <w:pStyle w:val="Normal"/>
        <w:rPr>
          <w:sz w:val="24"/>
          <w:szCs w:val="24"/>
        </w:rPr>
      </w:pPr>
      <w:r>
        <w:rPr>
          <w:sz w:val="24"/>
          <w:szCs w:val="24"/>
        </w:rPr>
      </w:r>
    </w:p>
    <w:tbl>
      <w:tblPr>
        <w:tblW w:w="991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706"/>
        <w:gridCol w:w="1837"/>
        <w:gridCol w:w="1846"/>
        <w:gridCol w:w="1843"/>
        <w:gridCol w:w="1137"/>
        <w:gridCol w:w="1196"/>
        <w:gridCol w:w="1352"/>
      </w:tblGrid>
      <w:tr>
        <w:trPr>
          <w:trHeight w:val="1150" w:hRule="atLeast"/>
        </w:trPr>
        <w:tc>
          <w:tcPr>
            <w:tcW w:w="7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 xml:space="preserve">№ </w:t>
            </w:r>
            <w:r>
              <w:rPr/>
              <w:t xml:space="preserve">партии </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Наименование Товара (партии Товара)</w:t>
            </w:r>
          </w:p>
        </w:tc>
        <w:tc>
          <w:tcPr>
            <w:tcW w:w="1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 xml:space="preserve">Обоснование стоимости, пункт Спецификации </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Дата поставки Товара</w:t>
            </w:r>
          </w:p>
          <w:p>
            <w:pPr>
              <w:pStyle w:val="Normal"/>
              <w:widowControl w:val="false"/>
              <w:jc w:val="center"/>
              <w:rPr/>
            </w:pPr>
            <w:r>
              <w:rPr/>
            </w:r>
          </w:p>
        </w:tc>
        <w:tc>
          <w:tcPr>
            <w:tcW w:w="11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Цена, руб. без НДС</w:t>
            </w:r>
          </w:p>
        </w:tc>
        <w:tc>
          <w:tcPr>
            <w:tcW w:w="11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Сумма НДС (___%), руб.</w:t>
            </w:r>
          </w:p>
        </w:tc>
        <w:tc>
          <w:tcPr>
            <w:tcW w:w="13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Стоимость партии, руб. с НДС</w:t>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1.</w:t>
            </w:r>
          </w:p>
        </w:tc>
        <w:tc>
          <w:tcPr>
            <w:tcW w:w="18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2.</w:t>
            </w:r>
          </w:p>
        </w:tc>
        <w:tc>
          <w:tcPr>
            <w:tcW w:w="18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3.</w:t>
            </w:r>
          </w:p>
        </w:tc>
        <w:tc>
          <w:tcPr>
            <w:tcW w:w="18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4.</w:t>
            </w:r>
          </w:p>
        </w:tc>
        <w:tc>
          <w:tcPr>
            <w:tcW w:w="18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8565"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b/>
                <w:sz w:val="24"/>
                <w:szCs w:val="24"/>
              </w:rPr>
            </w:pPr>
            <w:r>
              <w:rPr>
                <w:b/>
                <w:sz w:val="24"/>
                <w:szCs w:val="24"/>
              </w:rPr>
              <w:t>Всего по Договору:</w:t>
            </w:r>
          </w:p>
        </w:tc>
        <w:tc>
          <w:tcPr>
            <w:tcW w:w="13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bl>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tabs>
          <w:tab w:val="clear" w:pos="709"/>
          <w:tab w:val="left" w:pos="4860" w:leader="none"/>
        </w:tabs>
        <w:suppressAutoHyphens w:val="true"/>
        <w:rPr>
          <w:b/>
          <w:sz w:val="24"/>
          <w:szCs w:val="24"/>
        </w:rPr>
      </w:pPr>
      <w:r>
        <w:rPr>
          <w:b/>
          <w:sz w:val="24"/>
          <w:szCs w:val="24"/>
        </w:rPr>
      </w:r>
    </w:p>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10099"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5103"/>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5103"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103"/>
        <w:rPr>
          <w:sz w:val="22"/>
          <w:szCs w:val="22"/>
        </w:rPr>
      </w:pPr>
      <w:r>
        <w:rPr>
          <w:sz w:val="22"/>
          <w:szCs w:val="22"/>
        </w:rPr>
        <w:t>Приложение № 4</w:t>
      </w:r>
    </w:p>
    <w:p>
      <w:pPr>
        <w:pStyle w:val="Normal"/>
        <w:suppressAutoHyphens w:val="true"/>
        <w:ind w:right="96" w:firstLine="5103"/>
        <w:rPr>
          <w:sz w:val="22"/>
          <w:szCs w:val="22"/>
        </w:rPr>
      </w:pPr>
      <w:r>
        <w:rPr>
          <w:sz w:val="22"/>
          <w:szCs w:val="22"/>
        </w:rPr>
        <w:t>к Договору поставки</w:t>
      </w:r>
    </w:p>
    <w:p>
      <w:pPr>
        <w:pStyle w:val="Normal"/>
        <w:ind w:firstLine="5103"/>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tabs>
          <w:tab w:val="clear" w:pos="709"/>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vertAlign w:val="superscript"/>
          <w:lang w:val="en-GB"/>
        </w:rPr>
        <w:footnoteReference w:id="19"/>
      </w:r>
      <w:r>
        <w:rPr>
          <w:sz w:val="24"/>
          <w:szCs w:val="24"/>
        </w:rPr>
        <w:t>, а также соответствовать следующим критериям:</w:t>
      </w:r>
    </w:p>
    <w:p>
      <w:pPr>
        <w:pStyle w:val="Normal"/>
        <w:widowControl/>
        <w:numPr>
          <w:ilvl w:val="1"/>
          <w:numId w:val="15"/>
        </w:numPr>
        <w:tabs>
          <w:tab w:val="clear" w:pos="709"/>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5"/>
        </w:numPr>
        <w:tabs>
          <w:tab w:val="clear" w:pos="709"/>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widowControl/>
        <w:numPr>
          <w:ilvl w:val="1"/>
          <w:numId w:val="15"/>
        </w:numPr>
        <w:tabs>
          <w:tab w:val="clear" w:pos="709"/>
          <w:tab w:val="left" w:pos="1134" w:leader="none"/>
        </w:tabs>
        <w:ind w:left="0" w:firstLine="710"/>
        <w:jc w:val="both"/>
        <w:rPr>
          <w:sz w:val="24"/>
          <w:szCs w:val="24"/>
        </w:rPr>
      </w:pPr>
      <w:r>
        <w:rPr>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t>
      </w:r>
      <w:r>
        <w:rPr>
          <w:sz w:val="24"/>
          <w:szCs w:val="24"/>
          <w:lang w:val="en-GB"/>
        </w:rPr>
        <w:t>www</w:t>
      </w:r>
      <w:r>
        <w:rPr>
          <w:sz w:val="24"/>
          <w:szCs w:val="24"/>
        </w:rPr>
        <w:t>.</w:t>
      </w:r>
      <w:r>
        <w:rPr>
          <w:sz w:val="24"/>
          <w:szCs w:val="24"/>
          <w:lang w:val="en-GB"/>
        </w:rPr>
        <w:t>cbr</w:t>
      </w:r>
      <w:r>
        <w:rPr>
          <w:sz w:val="24"/>
          <w:szCs w:val="24"/>
        </w:rPr>
        <w:t>.</w:t>
      </w:r>
      <w:r>
        <w:rPr>
          <w:sz w:val="24"/>
          <w:szCs w:val="24"/>
          <w:lang w:val="en-GB"/>
        </w:rPr>
        <w:t>ru</w:t>
      </w:r>
      <w:r>
        <w:rPr>
          <w:sz w:val="24"/>
          <w:szCs w:val="24"/>
        </w:rPr>
        <w:t xml:space="preserve">) по строке 000 «Расчет собственных средств (капитала) («Базель </w:t>
      </w:r>
      <w:r>
        <w:rPr>
          <w:sz w:val="24"/>
          <w:szCs w:val="24"/>
          <w:lang w:val="en-GB"/>
        </w:rPr>
        <w:t>III</w:t>
      </w:r>
      <w:r>
        <w:rPr>
          <w:sz w:val="24"/>
          <w:szCs w:val="24"/>
        </w:rPr>
        <w:t xml:space="preserve">»)»,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w:t>
      </w:r>
      <w:r>
        <w:rPr>
          <w:sz w:val="24"/>
          <w:szCs w:val="24"/>
          <w:lang w:val="en-GB"/>
        </w:rPr>
        <w:t>III</w:t>
      </w:r>
      <w:r>
        <w:rPr>
          <w:sz w:val="24"/>
          <w:szCs w:val="24"/>
        </w:rPr>
        <w:t>»)» (далее – Методика ЦБ РФ) или иным документом, его заменяющим (в случае изменения или отмены указанного Положения).</w:t>
      </w:r>
    </w:p>
    <w:p>
      <w:pPr>
        <w:pStyle w:val="Normal"/>
        <w:widowControl/>
        <w:numPr>
          <w:ilvl w:val="1"/>
          <w:numId w:val="15"/>
        </w:numPr>
        <w:tabs>
          <w:tab w:val="clear" w:pos="709"/>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vertAlign w:val="superscript"/>
          <w:lang w:val="en-GB"/>
        </w:rPr>
        <w:footnoteReference w:id="20"/>
      </w:r>
      <w:r>
        <w:rPr>
          <w:sz w:val="24"/>
          <w:szCs w:val="24"/>
        </w:rPr>
        <w:t xml:space="preserve">. </w:t>
      </w:r>
    </w:p>
    <w:p>
      <w:pPr>
        <w:pStyle w:val="Normal"/>
        <w:widowControl/>
        <w:numPr>
          <w:ilvl w:val="1"/>
          <w:numId w:val="15"/>
        </w:numPr>
        <w:tabs>
          <w:tab w:val="clear" w:pos="709"/>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vertAlign w:val="superscript"/>
          <w:lang w:val="en-GB"/>
        </w:rPr>
        <w:footnoteReference w:id="21"/>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Не иметь просроченную задолженность перед Обществом и компаниями Группы РусГидро.</w:t>
      </w:r>
    </w:p>
    <w:p>
      <w:pPr>
        <w:pStyle w:val="Normal"/>
        <w:widowControl/>
        <w:numPr>
          <w:ilvl w:val="1"/>
          <w:numId w:val="15"/>
        </w:numPr>
        <w:tabs>
          <w:tab w:val="clear" w:pos="709"/>
          <w:tab w:val="left" w:pos="1134" w:leader="none"/>
        </w:tabs>
        <w:ind w:left="0" w:firstLine="710"/>
        <w:jc w:val="both"/>
        <w:rPr>
          <w:sz w:val="24"/>
          <w:szCs w:val="24"/>
        </w:rPr>
      </w:pPr>
      <w:r>
        <w:rPr>
          <w:sz w:val="24"/>
          <w:szCs w:val="24"/>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sz w:val="24"/>
          <w:szCs w:val="24"/>
          <w:vertAlign w:val="superscript"/>
          <w:lang w:val="en-GB"/>
        </w:rPr>
        <w:footnoteReference w:id="22"/>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6"/>
        </w:numPr>
        <w:tabs>
          <w:tab w:val="clear" w:pos="709"/>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widowControl/>
        <w:numPr>
          <w:ilvl w:val="1"/>
          <w:numId w:val="15"/>
        </w:numPr>
        <w:tabs>
          <w:tab w:val="clear" w:pos="709"/>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tbl>
      <w:tblPr>
        <w:tblW w:w="9606"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817"/>
        <w:gridCol w:w="280"/>
        <w:gridCol w:w="8509"/>
      </w:tblGrid>
      <w:tr>
        <w:trPr>
          <w:trHeight w:val="426" w:hRule="atLeast"/>
        </w:trPr>
        <w:tc>
          <w:tcPr>
            <w:tcW w:w="817" w:type="dxa"/>
            <w:tcBorders/>
          </w:tcPr>
          <w:p>
            <w:pPr>
              <w:pStyle w:val="Normal"/>
              <w:widowControl w:val="false"/>
              <w:ind w:right="-108" w:hanging="0"/>
              <w:jc w:val="both"/>
              <w:rPr>
                <w:color w:val="000000"/>
                <w:sz w:val="24"/>
                <w:szCs w:val="24"/>
                <w:lang w:val="en-GB"/>
              </w:rPr>
            </w:pPr>
            <w:r>
              <w:rPr>
                <w:b/>
                <w:i/>
                <w:color w:val="000000"/>
                <w:sz w:val="24"/>
                <w:szCs w:val="24"/>
                <w:lang w:val="en-GB"/>
              </w:rPr>
              <w:t>Lim</w:t>
            </w:r>
            <w:r>
              <w:rPr>
                <w:b/>
                <w:i/>
                <w:color w:val="000000"/>
                <w:sz w:val="24"/>
                <w:szCs w:val="24"/>
                <w:vertAlign w:val="subscript"/>
                <w:lang w:val="en-US"/>
              </w:rPr>
              <w:t xml:space="preserve">Ai </w:t>
            </w:r>
          </w:p>
        </w:tc>
        <w:tc>
          <w:tcPr>
            <w:tcW w:w="280" w:type="dxa"/>
            <w:tcBorders/>
          </w:tcPr>
          <w:p>
            <w:pPr>
              <w:pStyle w:val="Normal"/>
              <w:widowControl w:val="false"/>
              <w:ind w:left="317" w:right="-108" w:hanging="317"/>
              <w:jc w:val="both"/>
              <w:rPr>
                <w:color w:val="000000"/>
                <w:sz w:val="24"/>
                <w:szCs w:val="24"/>
                <w:lang w:val="en-GB"/>
              </w:rPr>
            </w:pPr>
            <w:r>
              <w:rPr>
                <w:sz w:val="24"/>
                <w:szCs w:val="24"/>
                <w:lang w:val="en-GB"/>
              </w:rPr>
              <w:t xml:space="preserve">-  </w:t>
            </w:r>
          </w:p>
        </w:tc>
        <w:tc>
          <w:tcPr>
            <w:tcW w:w="8509" w:type="dxa"/>
            <w:tcBorders/>
          </w:tcPr>
          <w:p>
            <w:pPr>
              <w:pStyle w:val="Normal"/>
              <w:widowControl w:val="false"/>
              <w:ind w:left="-75" w:right="-108" w:hanging="0"/>
              <w:jc w:val="both"/>
              <w:rPr>
                <w:color w:val="000000"/>
                <w:sz w:val="24"/>
                <w:szCs w:val="24"/>
              </w:rPr>
            </w:pPr>
            <w:r>
              <w:rPr>
                <w:sz w:val="24"/>
                <w:szCs w:val="24"/>
              </w:rPr>
              <w:t xml:space="preserve">Лимит риска для </w:t>
            </w:r>
            <w:r>
              <w:rPr>
                <w:sz w:val="24"/>
                <w:szCs w:val="24"/>
                <w:lang w:val="en-GB"/>
              </w:rPr>
              <w:t>i</w:t>
            </w:r>
            <w:r>
              <w:rPr>
                <w:sz w:val="24"/>
                <w:szCs w:val="24"/>
              </w:rPr>
              <w:t>-ой кредитной организации</w:t>
            </w:r>
            <w:r>
              <w:rPr>
                <w:rStyle w:val="FootnoteReference"/>
                <w:sz w:val="24"/>
                <w:szCs w:val="24"/>
                <w:vertAlign w:val="superscript"/>
                <w:lang w:val="en-GB"/>
              </w:rPr>
              <w:footnoteReference w:id="23"/>
            </w:r>
            <w:r>
              <w:rPr>
                <w:sz w:val="24"/>
                <w:szCs w:val="24"/>
                <w:vertAlign w:val="superscript"/>
              </w:rPr>
              <w:t>.</w:t>
            </w:r>
            <w:r>
              <w:rPr>
                <w:sz w:val="24"/>
                <w:szCs w:val="24"/>
              </w:rPr>
              <w:t xml:space="preserve"> </w:t>
            </w:r>
          </w:p>
        </w:tc>
      </w:tr>
      <w:tr>
        <w:trPr>
          <w:trHeight w:val="280" w:hRule="atLeast"/>
        </w:trPr>
        <w:tc>
          <w:tcPr>
            <w:tcW w:w="817" w:type="dxa"/>
            <w:tcBorders/>
          </w:tcPr>
          <w:p>
            <w:pPr>
              <w:pStyle w:val="Normal"/>
              <w:widowControl w:val="false"/>
              <w:ind w:right="-108" w:hanging="0"/>
              <w:jc w:val="both"/>
              <w:rPr>
                <w:b/>
                <w:i/>
                <w:i/>
                <w:color w:val="000000"/>
                <w:sz w:val="24"/>
                <w:szCs w:val="24"/>
                <w:vertAlign w:val="subscript"/>
                <w:lang w:val="en-GB"/>
              </w:rPr>
            </w:pPr>
            <w:r>
              <w:rPr>
                <w:b/>
                <w:i/>
                <w:color w:val="000000"/>
                <w:sz w:val="24"/>
                <w:szCs w:val="24"/>
                <w:lang w:val="en-GB"/>
              </w:rPr>
              <w:t>С</w:t>
            </w:r>
            <w:r>
              <w:rPr>
                <w:b/>
                <w:i/>
                <w:color w:val="000000"/>
                <w:sz w:val="24"/>
                <w:szCs w:val="24"/>
                <w:lang w:val="en-US"/>
              </w:rPr>
              <w:t>K</w:t>
            </w:r>
            <w:r>
              <w:rPr>
                <w:b/>
                <w:i/>
                <w:color w:val="000000"/>
                <w:sz w:val="24"/>
                <w:szCs w:val="24"/>
                <w:vertAlign w:val="subscript"/>
                <w:lang w:val="en-US"/>
              </w:rPr>
              <w:t>i</w:t>
            </w:r>
          </w:p>
          <w:p>
            <w:pPr>
              <w:pStyle w:val="Normal"/>
              <w:widowControl w:val="false"/>
              <w:ind w:right="-108" w:hanging="0"/>
              <w:jc w:val="both"/>
              <w:rPr>
                <w:color w:val="000000"/>
                <w:sz w:val="24"/>
                <w:szCs w:val="24"/>
                <w:lang w:val="en-GB"/>
              </w:rPr>
            </w:pPr>
            <w:r>
              <w:rPr>
                <w:color w:val="000000"/>
                <w:sz w:val="24"/>
                <w:szCs w:val="24"/>
                <w:lang w:val="en-GB"/>
              </w:rPr>
            </w:r>
          </w:p>
        </w:tc>
        <w:tc>
          <w:tcPr>
            <w:tcW w:w="280" w:type="dxa"/>
            <w:tcBorders/>
          </w:tcPr>
          <w:p>
            <w:pPr>
              <w:pStyle w:val="Normal"/>
              <w:widowControl w:val="false"/>
              <w:ind w:right="-108" w:hanging="0"/>
              <w:jc w:val="both"/>
              <w:rPr>
                <w:color w:val="000000"/>
                <w:sz w:val="24"/>
                <w:szCs w:val="24"/>
                <w:lang w:val="en-GB"/>
              </w:rPr>
            </w:pPr>
            <w:r>
              <w:rPr>
                <w:sz w:val="24"/>
                <w:szCs w:val="24"/>
                <w:lang w:val="en-GB"/>
              </w:rPr>
              <w:t>-</w:t>
            </w:r>
            <w:r>
              <w:rPr>
                <w:color w:val="000000"/>
                <w:sz w:val="24"/>
                <w:szCs w:val="24"/>
                <w:lang w:val="en-GB"/>
              </w:rPr>
              <w:t xml:space="preserve">  </w:t>
            </w:r>
          </w:p>
        </w:tc>
        <w:tc>
          <w:tcPr>
            <w:tcW w:w="8509" w:type="dxa"/>
            <w:tcBorders/>
          </w:tcPr>
          <w:p>
            <w:pPr>
              <w:pStyle w:val="Normal"/>
              <w:widowControl w:val="false"/>
              <w:ind w:left="-75" w:right="-108" w:hanging="0"/>
              <w:jc w:val="both"/>
              <w:rPr>
                <w:color w:val="000000"/>
                <w:sz w:val="24"/>
                <w:szCs w:val="24"/>
              </w:rPr>
            </w:pPr>
            <w:r>
              <w:rPr>
                <w:sz w:val="24"/>
                <w:szCs w:val="24"/>
              </w:rPr>
              <w:t xml:space="preserve">размер собственных средств (капитала) </w:t>
            </w:r>
            <w:r>
              <w:rPr>
                <w:sz w:val="24"/>
                <w:szCs w:val="24"/>
                <w:lang w:val="en-GB"/>
              </w:rPr>
              <w:t>i</w:t>
            </w:r>
            <w:r>
              <w:rPr>
                <w:sz w:val="24"/>
                <w:szCs w:val="24"/>
              </w:rPr>
              <w:t>-ой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3">
              <w:r>
                <w:rPr>
                  <w:sz w:val="24"/>
                  <w:szCs w:val="24"/>
                  <w:u w:val="single"/>
                  <w:lang w:val="en-GB"/>
                </w:rPr>
                <w:t>www</w:t>
              </w:r>
              <w:r>
                <w:rPr>
                  <w:sz w:val="24"/>
                  <w:szCs w:val="24"/>
                  <w:u w:val="single"/>
                </w:rPr>
                <w:t>.</w:t>
              </w:r>
              <w:r>
                <w:rPr>
                  <w:sz w:val="24"/>
                  <w:szCs w:val="24"/>
                  <w:u w:val="single"/>
                  <w:lang w:val="en-GB"/>
                </w:rPr>
                <w:t>cbr</w:t>
              </w:r>
              <w:r>
                <w:rPr>
                  <w:sz w:val="24"/>
                  <w:szCs w:val="24"/>
                  <w:u w:val="single"/>
                </w:rPr>
                <w:t>.</w:t>
              </w:r>
              <w:r>
                <w:rPr>
                  <w:sz w:val="24"/>
                  <w:szCs w:val="24"/>
                  <w:u w:val="single"/>
                  <w:lang w:val="en-GB"/>
                </w:rPr>
                <w:t>ru</w:t>
              </w:r>
            </w:hyperlink>
            <w:r>
              <w:rPr>
                <w:sz w:val="24"/>
                <w:szCs w:val="24"/>
              </w:rPr>
              <w:t>) по строке 000 «Расчет собственных средств (капитала) («Базель</w:t>
            </w:r>
            <w:r>
              <w:rPr>
                <w:sz w:val="24"/>
                <w:szCs w:val="24"/>
                <w:lang w:val="en-GB"/>
              </w:rPr>
              <w:t> III</w:t>
            </w:r>
            <w:r>
              <w:rPr>
                <w:sz w:val="24"/>
                <w:szCs w:val="24"/>
              </w:rPr>
              <w:t>»)», код формы 0409123;</w:t>
            </w:r>
          </w:p>
        </w:tc>
      </w:tr>
      <w:tr>
        <w:trPr>
          <w:trHeight w:val="993" w:hRule="atLeast"/>
        </w:trPr>
        <w:tc>
          <w:tcPr>
            <w:tcW w:w="817" w:type="dxa"/>
            <w:tcBorders/>
          </w:tcPr>
          <w:p>
            <w:pPr>
              <w:pStyle w:val="Normal"/>
              <w:widowControl w:val="false"/>
              <w:ind w:right="-108" w:hanging="0"/>
              <w:jc w:val="both"/>
              <w:rPr>
                <w:b/>
                <w:i/>
                <w:i/>
                <w:color w:val="000000"/>
                <w:sz w:val="24"/>
                <w:szCs w:val="24"/>
                <w:lang w:val="en-GB"/>
              </w:rPr>
            </w:pPr>
            <w:r>
              <w:rPr>
                <w:b/>
                <w:i/>
                <w:color w:val="000000"/>
                <w:sz w:val="24"/>
                <w:szCs w:val="24"/>
                <w:lang w:val="en-GB"/>
              </w:rPr>
              <w:t>r</w:t>
            </w:r>
            <w:r>
              <w:rPr>
                <w:b/>
                <w:i/>
                <w:color w:val="000000"/>
                <w:sz w:val="24"/>
                <w:szCs w:val="24"/>
                <w:vertAlign w:val="subscript"/>
                <w:lang w:val="en-GB"/>
              </w:rPr>
              <w:t>i</w:t>
            </w:r>
          </w:p>
        </w:tc>
        <w:tc>
          <w:tcPr>
            <w:tcW w:w="280" w:type="dxa"/>
            <w:tcBorders/>
          </w:tcPr>
          <w:p>
            <w:pPr>
              <w:pStyle w:val="Normal"/>
              <w:widowControl w:val="false"/>
              <w:ind w:right="-108" w:hanging="0"/>
              <w:jc w:val="both"/>
              <w:rPr>
                <w:sz w:val="24"/>
                <w:szCs w:val="24"/>
                <w:lang w:val="en-GB"/>
              </w:rPr>
            </w:pPr>
            <w:r>
              <w:rPr>
                <w:sz w:val="24"/>
                <w:szCs w:val="24"/>
                <w:lang w:val="en-GB"/>
              </w:rPr>
              <w:t>-</w:t>
            </w:r>
          </w:p>
        </w:tc>
        <w:tc>
          <w:tcPr>
            <w:tcW w:w="8509" w:type="dxa"/>
            <w:tcBorders/>
          </w:tcPr>
          <w:p>
            <w:pPr>
              <w:pStyle w:val="Normal"/>
              <w:widowControl w:val="false"/>
              <w:tabs>
                <w:tab w:val="clear" w:pos="709"/>
                <w:tab w:val="left" w:pos="7130" w:leader="none"/>
              </w:tabs>
              <w:ind w:right="-108" w:hanging="0"/>
              <w:jc w:val="both"/>
              <w:rPr>
                <w:sz w:val="24"/>
                <w:szCs w:val="24"/>
              </w:rPr>
            </w:pPr>
            <w:r>
              <w:rPr>
                <w:sz w:val="24"/>
                <w:szCs w:val="24"/>
              </w:rPr>
              <w:t>рейтинговый коэффициент</w:t>
            </w:r>
            <w:r>
              <w:rPr>
                <w:rStyle w:val="FootnoteReference"/>
                <w:sz w:val="24"/>
                <w:szCs w:val="24"/>
                <w:vertAlign w:val="superscript"/>
                <w:lang w:val="en-GB"/>
              </w:rPr>
              <w:footnoteReference w:id="24"/>
            </w:r>
            <w:r>
              <w:rPr>
                <w:sz w:val="24"/>
                <w:szCs w:val="24"/>
              </w:rPr>
              <w:t xml:space="preserve"> для </w:t>
            </w:r>
            <w:r>
              <w:rPr>
                <w:sz w:val="24"/>
                <w:szCs w:val="24"/>
                <w:lang w:val="en-GB"/>
              </w:rPr>
              <w:t>i</w:t>
            </w:r>
            <w:r>
              <w:rPr>
                <w:sz w:val="24"/>
                <w:szCs w:val="24"/>
              </w:rPr>
              <w:t>-ой кредитной организации, равный:</w:t>
            </w:r>
          </w:p>
          <w:p>
            <w:pPr>
              <w:pStyle w:val="Normal"/>
              <w:widowControl w:val="false"/>
              <w:ind w:firstLine="492"/>
              <w:jc w:val="both"/>
              <w:rPr>
                <w:sz w:val="24"/>
                <w:szCs w:val="24"/>
              </w:rPr>
            </w:pPr>
            <w:r>
              <w:rPr>
                <w:b/>
                <w:sz w:val="24"/>
                <w:szCs w:val="24"/>
              </w:rPr>
              <w:t>0,05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«АА-»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ind w:left="67" w:firstLine="425"/>
              <w:jc w:val="both"/>
              <w:rPr>
                <w:sz w:val="24"/>
                <w:szCs w:val="24"/>
              </w:rPr>
            </w:pPr>
            <w:r>
              <w:rPr>
                <w:b/>
                <w:sz w:val="24"/>
                <w:szCs w:val="24"/>
              </w:rPr>
              <w:t>0,025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GB"/>
              </w:rPr>
              <w:t>ruA</w:t>
            </w:r>
            <w:r>
              <w:rPr>
                <w:b/>
                <w:sz w:val="24"/>
                <w:szCs w:val="24"/>
              </w:rPr>
              <w:t>-»</w:t>
            </w:r>
            <w:r>
              <w:rPr>
                <w:sz w:val="24"/>
                <w:szCs w:val="24"/>
              </w:rPr>
              <w:t xml:space="preserve"> по классификации рейтингового агентства Эксперт РА;</w:t>
            </w:r>
          </w:p>
          <w:p>
            <w:pPr>
              <w:pStyle w:val="Normal"/>
              <w:widowControl w:val="false"/>
              <w:ind w:firstLine="492"/>
              <w:jc w:val="both"/>
              <w:rPr>
                <w:sz w:val="24"/>
                <w:szCs w:val="24"/>
              </w:rPr>
            </w:pPr>
            <w:r>
              <w:rPr>
                <w:b/>
                <w:sz w:val="24"/>
                <w:szCs w:val="24"/>
              </w:rPr>
              <w:t>0,015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425" w:leader="none"/>
        </w:tabs>
        <w:rPr>
          <w:sz w:val="24"/>
          <w:szCs w:val="24"/>
        </w:rPr>
      </w:pPr>
      <w:r>
        <w:rPr>
          <w:sz w:val="24"/>
          <w:szCs w:val="24"/>
        </w:rPr>
      </w:r>
    </w:p>
    <w:tbl>
      <w:tblPr>
        <w:tblW w:w="1375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961"/>
        <w:gridCol w:w="8789"/>
      </w:tblGrid>
      <w:tr>
        <w:trPr/>
        <w:tc>
          <w:tcPr>
            <w:tcW w:w="4961" w:type="dxa"/>
            <w:tcBorders/>
          </w:tcPr>
          <w:p>
            <w:pPr>
              <w:pStyle w:val="Normal"/>
              <w:widowControl w:val="false"/>
              <w:rPr>
                <w:b/>
                <w:sz w:val="24"/>
                <w:szCs w:val="24"/>
                <w:lang w:val="en-GB"/>
              </w:rPr>
            </w:pPr>
            <w:r>
              <w:rPr>
                <w:b/>
                <w:sz w:val="24"/>
                <w:szCs w:val="24"/>
              </w:rPr>
              <w:t>Покупатель</w:t>
            </w:r>
            <w:r>
              <w:rPr>
                <w:b/>
                <w:sz w:val="24"/>
                <w:szCs w:val="24"/>
                <w:lang w:val="en-GB"/>
              </w:rPr>
              <w:t>:</w:t>
            </w:r>
          </w:p>
        </w:tc>
        <w:tc>
          <w:tcPr>
            <w:tcW w:w="8789" w:type="dxa"/>
            <w:tcBorders/>
          </w:tcPr>
          <w:p>
            <w:pPr>
              <w:pStyle w:val="Normal"/>
              <w:widowControl w:val="false"/>
              <w:rPr>
                <w:b/>
                <w:sz w:val="24"/>
                <w:szCs w:val="24"/>
                <w:lang w:val="en-GB"/>
              </w:rPr>
            </w:pPr>
            <w:r>
              <w:rPr>
                <w:b/>
                <w:sz w:val="24"/>
                <w:szCs w:val="24"/>
              </w:rPr>
              <w:t>Поставщик</w:t>
            </w:r>
            <w:r>
              <w:rPr>
                <w:b/>
                <w:sz w:val="24"/>
                <w:szCs w:val="24"/>
                <w:lang w:val="en-GB"/>
              </w:rPr>
              <w:t>:</w:t>
            </w:r>
          </w:p>
        </w:tc>
      </w:tr>
      <w:tr>
        <w:trPr/>
        <w:tc>
          <w:tcPr>
            <w:tcW w:w="4961"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878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103"/>
        <w:rPr>
          <w:sz w:val="22"/>
          <w:szCs w:val="22"/>
        </w:rPr>
      </w:pPr>
      <w:r>
        <w:rPr>
          <w:sz w:val="22"/>
          <w:szCs w:val="22"/>
        </w:rPr>
        <w:t>Приложение № 5</w:t>
      </w:r>
    </w:p>
    <w:p>
      <w:pPr>
        <w:pStyle w:val="Normal"/>
        <w:suppressAutoHyphens w:val="true"/>
        <w:ind w:right="96" w:firstLine="5103"/>
        <w:rPr>
          <w:sz w:val="22"/>
          <w:szCs w:val="22"/>
        </w:rPr>
      </w:pPr>
      <w:r>
        <w:rPr>
          <w:sz w:val="22"/>
          <w:szCs w:val="22"/>
        </w:rPr>
        <w:t>к Договору поставки</w:t>
      </w:r>
    </w:p>
    <w:p>
      <w:pPr>
        <w:pStyle w:val="Normal"/>
        <w:ind w:firstLine="5103"/>
        <w:rPr>
          <w:bCs/>
          <w:sz w:val="24"/>
          <w:szCs w:val="24"/>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uppressAutoHyphens w:val="true"/>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VBand="0" w:noHBand="0" w:lastColumn="1" w:firstColumn="1" w:lastRow="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snapToGrid w:val="false"/>
        <w:ind w:firstLine="5103"/>
        <w:rPr>
          <w:sz w:val="22"/>
          <w:szCs w:val="22"/>
          <w:highlight w:val="lightGray"/>
        </w:rPr>
      </w:pPr>
      <w:r>
        <w:rPr>
          <w:sz w:val="22"/>
          <w:szCs w:val="22"/>
          <w:highlight w:val="lightGray"/>
        </w:rPr>
        <w:t>Приложение № 6</w:t>
      </w:r>
    </w:p>
    <w:p>
      <w:pPr>
        <w:pStyle w:val="Normal"/>
        <w:snapToGrid w:val="false"/>
        <w:ind w:firstLine="5103"/>
        <w:rPr>
          <w:sz w:val="22"/>
          <w:szCs w:val="22"/>
          <w:highlight w:val="lightGray"/>
        </w:rPr>
      </w:pPr>
      <w:r>
        <w:rPr>
          <w:sz w:val="22"/>
          <w:szCs w:val="22"/>
          <w:highlight w:val="lightGray"/>
        </w:rPr>
        <w:t>к Договору поставки</w:t>
      </w:r>
    </w:p>
    <w:p>
      <w:pPr>
        <w:pStyle w:val="Normal"/>
        <w:snapToGrid w:val="false"/>
        <w:ind w:firstLine="5103"/>
        <w:rPr>
          <w:sz w:val="22"/>
          <w:szCs w:val="22"/>
        </w:rPr>
      </w:pPr>
      <w:r>
        <w:rPr>
          <w:sz w:val="22"/>
          <w:szCs w:val="22"/>
          <w:highlight w:val="lightGray"/>
        </w:rPr>
        <w:t>от «____» __________ 20 _ г. № ____</w:t>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center"/>
        <w:rPr>
          <w:bCs/>
          <w:sz w:val="28"/>
          <w:szCs w:val="28"/>
        </w:rPr>
      </w:pPr>
      <w:r>
        <w:rPr>
          <w:bCs/>
          <w:sz w:val="28"/>
          <w:szCs w:val="28"/>
        </w:rPr>
        <w:t>Регламент взаимодействия в ходе исполнения процессов управления проектом</w:t>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both"/>
        <w:rPr>
          <w:bCs/>
        </w:rPr>
      </w:pPr>
      <w:r>
        <w:rPr>
          <w:bCs/>
        </w:rPr>
      </w:r>
    </w:p>
    <w:p>
      <w:pPr>
        <w:pStyle w:val="Normal"/>
        <w:ind w:left="5103" w:hanging="0"/>
        <w:jc w:val="center"/>
        <w:rPr>
          <w:b/>
          <w:bCs/>
          <w:sz w:val="24"/>
          <w:szCs w:val="24"/>
        </w:rPr>
      </w:pPr>
      <w:r>
        <w:rPr>
          <w:b/>
          <w:bCs/>
          <w:sz w:val="24"/>
          <w:szCs w:val="24"/>
        </w:rPr>
      </w:r>
    </w:p>
    <w:p>
      <w:pPr>
        <w:pStyle w:val="Normal"/>
        <w:widowControl/>
        <w:rPr>
          <w:b/>
          <w:bCs/>
          <w:sz w:val="24"/>
          <w:szCs w:val="24"/>
        </w:rPr>
      </w:pPr>
      <w:r>
        <w:rPr>
          <w:b/>
          <w:bCs/>
          <w:sz w:val="24"/>
          <w:szCs w:val="24"/>
        </w:rPr>
      </w:r>
      <w:r>
        <w:br w:type="page"/>
      </w:r>
    </w:p>
    <w:p>
      <w:pPr>
        <w:pStyle w:val="Normal"/>
        <w:widowControl/>
        <w:ind w:firstLine="709"/>
        <w:jc w:val="right"/>
        <w:rPr>
          <w:sz w:val="22"/>
          <w:szCs w:val="22"/>
        </w:rPr>
      </w:pPr>
      <w:r>
        <w:rPr>
          <w:sz w:val="22"/>
          <w:szCs w:val="22"/>
        </w:rPr>
        <w:t>Приложение № 7</w:t>
      </w:r>
    </w:p>
    <w:p>
      <w:pPr>
        <w:pStyle w:val="Normal"/>
        <w:widowControl/>
        <w:jc w:val="right"/>
        <w:rPr>
          <w:sz w:val="22"/>
          <w:szCs w:val="22"/>
        </w:rPr>
      </w:pPr>
      <w:r>
        <w:rPr>
          <w:sz w:val="22"/>
          <w:szCs w:val="22"/>
        </w:rPr>
        <w:t xml:space="preserve">            </w:t>
      </w:r>
      <w:r>
        <w:rPr>
          <w:sz w:val="22"/>
          <w:szCs w:val="22"/>
        </w:rPr>
        <w:t>к Договору поставки</w:t>
      </w:r>
    </w:p>
    <w:p>
      <w:pPr>
        <w:pStyle w:val="Normal"/>
        <w:widowControl/>
        <w:jc w:val="right"/>
        <w:rPr>
          <w:sz w:val="24"/>
          <w:szCs w:val="24"/>
        </w:rPr>
      </w:pPr>
      <w:r>
        <w:rPr>
          <w:sz w:val="22"/>
          <w:szCs w:val="22"/>
        </w:rPr>
        <w:t xml:space="preserve">              </w:t>
      </w:r>
      <w:r>
        <w:rPr>
          <w:sz w:val="22"/>
          <w:szCs w:val="22"/>
        </w:rPr>
        <w:t>от «____» ________ 20 _ г. №_______</w:t>
      </w:r>
    </w:p>
    <w:p>
      <w:pPr>
        <w:pStyle w:val="Normal"/>
        <w:widowControl/>
        <w:ind w:firstLine="709"/>
        <w:jc w:val="center"/>
        <w:rPr>
          <w:szCs w:val="24"/>
        </w:rPr>
      </w:pPr>
      <w:r>
        <w:rPr>
          <w:szCs w:val="24"/>
        </w:rPr>
      </w:r>
    </w:p>
    <w:p>
      <w:pPr>
        <w:pStyle w:val="Normal"/>
        <w:widowControl/>
        <w:spacing w:before="20" w:after="20"/>
        <w:ind w:firstLine="709"/>
        <w:jc w:val="center"/>
        <w:rPr>
          <w:sz w:val="24"/>
          <w:szCs w:val="24"/>
        </w:rPr>
      </w:pPr>
      <w:r>
        <w:rPr>
          <w:sz w:val="24"/>
          <w:szCs w:val="24"/>
        </w:rPr>
        <w:t>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w:t>
      </w:r>
    </w:p>
    <w:p>
      <w:pPr>
        <w:pStyle w:val="Normal"/>
        <w:widowControl/>
        <w:ind w:firstLine="709"/>
        <w:jc w:val="both"/>
        <w:rPr>
          <w:sz w:val="24"/>
          <w:szCs w:val="24"/>
        </w:rPr>
      </w:pPr>
      <w:r>
        <w:rPr>
          <w:sz w:val="24"/>
          <w:szCs w:val="24"/>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Normal"/>
        <w:widowControl/>
        <w:ind w:firstLine="709"/>
        <w:jc w:val="both"/>
        <w:rPr>
          <w:sz w:val="24"/>
          <w:szCs w:val="24"/>
        </w:rPr>
      </w:pPr>
      <w:r>
        <w:rPr>
          <w:sz w:val="24"/>
          <w:szCs w:val="24"/>
        </w:rPr>
        <w: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pPr>
        <w:pStyle w:val="Normal"/>
        <w:widowControl/>
        <w:spacing w:before="20" w:after="20"/>
        <w:ind w:firstLine="709"/>
        <w:jc w:val="both"/>
        <w:rPr>
          <w:sz w:val="24"/>
          <w:szCs w:val="24"/>
        </w:rPr>
      </w:pPr>
      <w:r>
        <w:rPr>
          <w:sz w:val="24"/>
          <w:szCs w:val="24"/>
        </w:rPr>
        <w:t xml:space="preserve"> </w:t>
      </w:r>
      <w:r>
        <w:rPr>
          <w:sz w:val="24"/>
          <w:szCs w:val="24"/>
        </w:rPr>
        <w:t xml:space="preserve">В заявках должны быть указаны: </w:t>
      </w:r>
    </w:p>
    <w:p>
      <w:pPr>
        <w:pStyle w:val="Normal"/>
        <w:widowControl/>
        <w:numPr>
          <w:ilvl w:val="0"/>
          <w:numId w:val="17"/>
        </w:numPr>
        <w:ind w:left="0" w:firstLine="709"/>
        <w:jc w:val="both"/>
        <w:rPr>
          <w:bCs/>
          <w:sz w:val="24"/>
          <w:szCs w:val="24"/>
          <w:lang w:val="en-GB"/>
        </w:rPr>
      </w:pPr>
      <w:r>
        <w:rPr>
          <w:bCs/>
          <w:sz w:val="24"/>
          <w:szCs w:val="24"/>
          <w:lang w:val="en-GB"/>
        </w:rPr>
        <w:t>номер заявки;</w:t>
      </w:r>
    </w:p>
    <w:p>
      <w:pPr>
        <w:pStyle w:val="Normal"/>
        <w:widowControl/>
        <w:numPr>
          <w:ilvl w:val="0"/>
          <w:numId w:val="17"/>
        </w:numPr>
        <w:ind w:left="0" w:firstLine="709"/>
        <w:jc w:val="both"/>
        <w:rPr>
          <w:bCs/>
          <w:sz w:val="24"/>
          <w:szCs w:val="24"/>
          <w:lang w:val="en-GB"/>
        </w:rPr>
      </w:pPr>
      <w:r>
        <w:rPr>
          <w:bCs/>
          <w:sz w:val="24"/>
          <w:szCs w:val="24"/>
          <w:lang w:val="en-GB"/>
        </w:rPr>
        <w:t>подающее предприятие;</w:t>
      </w:r>
    </w:p>
    <w:p>
      <w:pPr>
        <w:pStyle w:val="Normal"/>
        <w:widowControl/>
        <w:numPr>
          <w:ilvl w:val="0"/>
          <w:numId w:val="17"/>
        </w:numPr>
        <w:ind w:left="0" w:firstLine="709"/>
        <w:jc w:val="both"/>
        <w:rPr>
          <w:bCs/>
          <w:sz w:val="24"/>
          <w:szCs w:val="24"/>
        </w:rPr>
      </w:pPr>
      <w:r>
        <w:rPr>
          <w:bCs/>
          <w:sz w:val="24"/>
          <w:szCs w:val="24"/>
        </w:rPr>
        <w:t>оборудование, по которому фиксируется изменение эксплуатационного состояния или технологического режима работы;</w:t>
      </w:r>
    </w:p>
    <w:p>
      <w:pPr>
        <w:pStyle w:val="Normal"/>
        <w:widowControl/>
        <w:numPr>
          <w:ilvl w:val="0"/>
          <w:numId w:val="17"/>
        </w:numPr>
        <w:ind w:left="0" w:firstLine="709"/>
        <w:jc w:val="both"/>
        <w:rPr>
          <w:bCs/>
          <w:sz w:val="24"/>
          <w:szCs w:val="24"/>
          <w:lang w:val="en-GB"/>
        </w:rPr>
      </w:pPr>
      <w:r>
        <w:rPr>
          <w:bCs/>
          <w:sz w:val="24"/>
          <w:szCs w:val="24"/>
          <w:lang w:val="en-GB"/>
        </w:rPr>
        <w:t>величина снижения максимальной мощности;</w:t>
      </w:r>
    </w:p>
    <w:p>
      <w:pPr>
        <w:pStyle w:val="Normal"/>
        <w:widowControl/>
        <w:numPr>
          <w:ilvl w:val="0"/>
          <w:numId w:val="17"/>
        </w:numPr>
        <w:ind w:left="0" w:firstLine="709"/>
        <w:jc w:val="both"/>
        <w:rPr>
          <w:bCs/>
          <w:sz w:val="24"/>
          <w:szCs w:val="24"/>
          <w:lang w:val="en-GB"/>
        </w:rPr>
      </w:pPr>
      <w:r>
        <w:rPr>
          <w:bCs/>
          <w:sz w:val="24"/>
          <w:szCs w:val="24"/>
          <w:lang w:val="en-GB"/>
        </w:rPr>
        <w:t>содержание работ;</w:t>
      </w:r>
    </w:p>
    <w:p>
      <w:pPr>
        <w:pStyle w:val="Normal"/>
        <w:widowControl/>
        <w:numPr>
          <w:ilvl w:val="0"/>
          <w:numId w:val="17"/>
        </w:numPr>
        <w:ind w:left="0" w:firstLine="709"/>
        <w:jc w:val="both"/>
        <w:rPr>
          <w:bCs/>
          <w:sz w:val="24"/>
          <w:szCs w:val="24"/>
          <w:lang w:val="en-GB"/>
        </w:rPr>
      </w:pPr>
      <w:r>
        <w:rPr>
          <w:bCs/>
          <w:sz w:val="24"/>
          <w:szCs w:val="24"/>
          <w:lang w:val="en-GB"/>
        </w:rPr>
        <w:t>время подачи заявки;</w:t>
      </w:r>
    </w:p>
    <w:p>
      <w:pPr>
        <w:pStyle w:val="Normal"/>
        <w:widowControl/>
        <w:numPr>
          <w:ilvl w:val="0"/>
          <w:numId w:val="17"/>
        </w:numPr>
        <w:ind w:left="0" w:firstLine="709"/>
        <w:jc w:val="both"/>
        <w:rPr>
          <w:bCs/>
          <w:sz w:val="24"/>
          <w:szCs w:val="24"/>
        </w:rPr>
      </w:pPr>
      <w:r>
        <w:rPr>
          <w:bCs/>
          <w:sz w:val="24"/>
          <w:szCs w:val="24"/>
        </w:rPr>
        <w:t>время начала и конца действия заявки и др.</w:t>
      </w:r>
    </w:p>
    <w:p>
      <w:pPr>
        <w:pStyle w:val="Normal"/>
        <w:widowControl/>
        <w:spacing w:before="120" w:after="20"/>
        <w:ind w:firstLine="709"/>
        <w:jc w:val="both"/>
        <w:rPr>
          <w:sz w:val="24"/>
          <w:szCs w:val="24"/>
        </w:rPr>
      </w:pPr>
      <w:r>
        <w:rPr>
          <w:sz w:val="24"/>
          <w:szCs w:val="24"/>
        </w:rPr>
        <w:t>2.</w:t>
        <w:tab/>
        <w:t xml:space="preserve"> Таблица данных по готовности генерирующего оборудования (ГРМ) сформированная Системным Оператором на конец каждого часа в отношении группы точек поставки генерации (ГТПГ) в которой в соответствии с п. 6.  «Технических требований к генерирующему оборудованию участников оптового рынка», пп. 5.3. – 5.9. Порядка установления соответствия генерирующего оборудования участников оптового рынка техническим требованиям и пп. 3.4.6 - 3.4.15.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w:t>
      </w:r>
    </w:p>
    <w:p>
      <w:pPr>
        <w:pStyle w:val="Normal"/>
        <w:widowControl/>
        <w:spacing w:before="20" w:after="20"/>
        <w:ind w:firstLine="709"/>
        <w:jc w:val="both"/>
        <w:rPr>
          <w:sz w:val="24"/>
          <w:szCs w:val="24"/>
        </w:rPr>
      </w:pPr>
      <w:r>
        <w:rPr/>
        <w:drawing>
          <wp:inline distT="0" distB="0" distL="0" distR="0">
            <wp:extent cx="318770" cy="223520"/>
            <wp:effectExtent l="0" t="0" r="0" b="0"/>
            <wp:docPr id="1"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0" descr=""/>
                    <pic:cNvPicPr>
                      <a:picLocks noChangeAspect="1" noChangeArrowheads="1"/>
                    </pic:cNvPicPr>
                  </pic:nvPicPr>
                  <pic:blipFill>
                    <a:blip r:embed="rId14"/>
                    <a:stretch>
                      <a:fillRect/>
                    </a:stretch>
                  </pic:blipFill>
                  <pic:spPr bwMode="auto">
                    <a:xfrm>
                      <a:off x="0" y="0"/>
                      <a:ext cx="318770" cy="223520"/>
                    </a:xfrm>
                    <a:prstGeom prst="rect">
                      <a:avLst/>
                    </a:prstGeom>
                  </pic:spPr>
                </pic:pic>
              </a:graphicData>
            </a:graphic>
          </wp:inline>
        </w:drawing>
      </w:r>
      <w:r>
        <w:rPr>
          <w:sz w:val="24"/>
          <w:szCs w:val="24"/>
        </w:rPr>
        <w:t xml:space="preserve"> – </w:t>
      </w:r>
      <w:r>
        <w:rPr>
          <w:sz w:val="24"/>
          <w:szCs w:val="24"/>
        </w:rPr>
        <w:t>величина согласованного планового ремонтного снижения мощности;</w:t>
      </w:r>
    </w:p>
    <w:p>
      <w:pPr>
        <w:pStyle w:val="Normal"/>
        <w:widowControl/>
        <w:spacing w:before="20" w:after="20"/>
        <w:ind w:firstLine="709"/>
        <w:jc w:val="both"/>
        <w:rPr>
          <w:sz w:val="24"/>
          <w:szCs w:val="24"/>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h</m:t>
            </m:r>
          </m:sub>
          <m:sup>
            <m:r>
              <w:rPr>
                <w:rFonts w:ascii="Cambria Math" w:hAnsi="Cambria Math"/>
              </w:rPr>
              <m:t xml:space="preserve">j</m:t>
            </m:r>
          </m:sup>
        </m:sSubSup>
      </m:oMath>
      <w:r>
        <w:rPr>
          <w:sz w:val="24"/>
          <w:szCs w:val="24"/>
        </w:rPr>
        <w:t xml:space="preserve"> – </w:t>
      </w:r>
      <w:r>
        <w:rPr>
          <w:sz w:val="24"/>
          <w:szCs w:val="24"/>
        </w:rPr>
        <w:t>плановое ремонтное снижение мощности, обусловленное проведением ремонта длительностью более 180 (сто восьмидесяти) суток для ТЭС в год;</w:t>
      </w:r>
    </w:p>
    <w:p>
      <w:pPr>
        <w:pStyle w:val="Normal"/>
        <w:widowControl/>
        <w:spacing w:before="20" w:after="20"/>
        <w:ind w:firstLine="709"/>
        <w:jc w:val="both"/>
        <w:rPr>
          <w:sz w:val="24"/>
          <w:szCs w:val="24"/>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r>
              <w:rPr>
                <w:rFonts w:ascii="Cambria Math" w:hAnsi="Cambria Math"/>
              </w:rPr>
              <m:t xml:space="preserve">,</m:t>
            </m:r>
            <m:r>
              <w:rPr>
                <w:rFonts w:ascii="Cambria Math" w:hAnsi="Cambria Math"/>
              </w:rPr>
              <m:t xml:space="preserve">h</m:t>
            </m:r>
          </m:sub>
          <m:sup>
            <m:r>
              <w:rPr>
                <w:rFonts w:ascii="Cambria Math" w:hAnsi="Cambria Math"/>
              </w:rPr>
              <m:t xml:space="preserve">j</m:t>
            </m:r>
          </m:sup>
        </m:sSubSup>
      </m:oMath>
      <w:r>
        <w:rPr>
          <w:sz w:val="24"/>
          <w:szCs w:val="24"/>
        </w:rPr>
        <w:t xml:space="preserve"> – </w:t>
      </w:r>
      <w:r>
        <w:rPr>
          <w:sz w:val="24"/>
          <w:szCs w:val="24"/>
        </w:rPr>
        <w:t>плановое ремонтное снижение мощности, обусловленное проведением ремонта длительностью более 360 суток для ТЭС за 4 (четыре) года;</w:t>
      </w:r>
    </w:p>
    <w:p>
      <w:pPr>
        <w:pStyle w:val="Normal"/>
        <w:widowControl/>
        <w:spacing w:before="20" w:after="20"/>
        <w:ind w:firstLine="709"/>
        <w:jc w:val="both"/>
        <w:rPr>
          <w:sz w:val="24"/>
          <w:szCs w:val="24"/>
        </w:rPr>
      </w:pPr>
      <w:r>
        <w:rPr/>
      </w:r>
      <m:oMath xmlns:m="http://schemas.openxmlformats.org/officeDocument/2006/math"/>
      <w:r>
        <w:rPr>
          <w:sz w:val="24"/>
          <w:szCs w:val="24"/>
        </w:rPr>
        <w:t xml:space="preserve"> – </w:t>
      </w:r>
      <w:r>
        <w:rPr>
          <w:sz w:val="24"/>
          <w:szCs w:val="24"/>
        </w:rPr>
        <w:t>итоговое значение согласованного планового ремонтного снижения располагаемой мощности;</w:t>
      </w:r>
    </w:p>
    <w:p>
      <w:pPr>
        <w:pStyle w:val="Normal"/>
        <w:widowControl/>
        <w:spacing w:before="20" w:after="20"/>
        <w:ind w:firstLine="709"/>
        <w:jc w:val="both"/>
        <w:rPr>
          <w:sz w:val="24"/>
          <w:szCs w:val="24"/>
        </w:rPr>
      </w:pPr>
      <w:r>
        <w:rPr/>
        <w:drawing>
          <wp:inline distT="0" distB="0" distL="0" distR="0">
            <wp:extent cx="542290" cy="276225"/>
            <wp:effectExtent l="0" t="0" r="0" b="0"/>
            <wp:docPr id="2"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9" descr=""/>
                    <pic:cNvPicPr>
                      <a:picLocks noChangeAspect="1" noChangeArrowheads="1"/>
                    </pic:cNvPicPr>
                  </pic:nvPicPr>
                  <pic:blipFill>
                    <a:blip r:embed="rId15"/>
                    <a:stretch>
                      <a:fillRect/>
                    </a:stretch>
                  </pic:blipFill>
                  <pic:spPr bwMode="auto">
                    <a:xfrm>
                      <a:off x="0" y="0"/>
                      <a:ext cx="542290" cy="276225"/>
                    </a:xfrm>
                    <a:prstGeom prst="rect">
                      <a:avLst/>
                    </a:prstGeom>
                  </pic:spPr>
                </pic:pic>
              </a:graphicData>
            </a:graphic>
          </wp:inline>
        </w:drawing>
      </w:r>
      <w:r>
        <w:rPr>
          <w:sz w:val="24"/>
          <w:szCs w:val="24"/>
        </w:rPr>
        <w:t xml:space="preserve"> – </w:t>
      </w:r>
      <w:r>
        <w:rPr>
          <w:sz w:val="24"/>
          <w:szCs w:val="24"/>
        </w:rPr>
        <w: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не позднее 10 часов 00 минут московского времени суток Х-2 в отношении суток Х+2 для часов с порядковыми номерами от 120;</w:t>
      </w:r>
    </w:p>
    <w:p>
      <w:pPr>
        <w:pStyle w:val="Normal"/>
        <w:widowControl/>
        <w:spacing w:before="20" w:after="20"/>
        <w:ind w:firstLine="709"/>
        <w:jc w:val="both"/>
        <w:rPr>
          <w:sz w:val="24"/>
          <w:szCs w:val="24"/>
        </w:rPr>
      </w:pPr>
      <w:r>
        <w:rPr/>
        <w:drawing>
          <wp:inline distT="0" distB="0" distL="0" distR="0">
            <wp:extent cx="520700" cy="266065"/>
            <wp:effectExtent l="0" t="0" r="0" b="0"/>
            <wp:docPr id="3"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8" descr=""/>
                    <pic:cNvPicPr>
                      <a:picLocks noChangeAspect="1" noChangeArrowheads="1"/>
                    </pic:cNvPicPr>
                  </pic:nvPicPr>
                  <pic:blipFill>
                    <a:blip r:embed="rId16"/>
                    <a:stretch>
                      <a:fillRect/>
                    </a:stretch>
                  </pic:blipFill>
                  <pic:spPr bwMode="auto">
                    <a:xfrm>
                      <a:off x="0" y="0"/>
                      <a:ext cx="520700" cy="266065"/>
                    </a:xfrm>
                    <a:prstGeom prst="rect">
                      <a:avLst/>
                    </a:prstGeom>
                  </pic:spPr>
                </pic:pic>
              </a:graphicData>
            </a:graphic>
          </wp:inline>
        </w:drawing>
      </w:r>
      <w:r>
        <w:rPr>
          <w:sz w:val="24"/>
          <w:szCs w:val="24"/>
        </w:rPr>
        <w:t xml:space="preserve"> – </w:t>
      </w:r>
      <w:r>
        <w:rPr>
          <w:sz w:val="24"/>
          <w:szCs w:val="24"/>
        </w:rPr>
        <w:t>заявленное в уведомлении о составе и параметрах оборудования, поданного не позднее 16 часов 30 минут московского времени суток Х-2 в отношении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pPr>
        <w:pStyle w:val="Normal"/>
        <w:widowControl/>
        <w:spacing w:before="20" w:after="20"/>
        <w:ind w:firstLine="709"/>
        <w:jc w:val="both"/>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2</m:t>
                </m:r>
                <m:r>
                  <m:rPr>
                    <m:lit/>
                    <m:nor/>
                  </m:rPr>
                  <w:rPr>
                    <w:rFonts w:ascii="Cambria Math" w:hAnsi="Cambria Math"/>
                  </w:rPr>
                  <m:t xml:space="preserve">_max,</m:t>
                </m:r>
                <m:r>
                  <w:rPr>
                    <w:rFonts w:ascii="Cambria Math" w:hAnsi="Cambria Math"/>
                  </w:rPr>
                  <m:t xml:space="preserve">h</m:t>
                </m:r>
              </m:sub>
              <m:sup>
                <m:r>
                  <w:rPr>
                    <w:rFonts w:ascii="Cambria Math" w:hAnsi="Cambria Math"/>
                  </w:rPr>
                  <m:t xml:space="preserve">1</m:t>
                </m:r>
                <m:d>
                  <m:dPr>
                    <m:begChr m:val="("/>
                    <m:endChr m:val=")"/>
                  </m:dPr>
                  <m:e>
                    <m:r>
                      <m:rPr>
                        <m:lit/>
                        <m:nor/>
                      </m:rPr>
                      <w:rPr>
                        <w:rFonts w:ascii="Cambria Math" w:hAnsi="Cambria Math"/>
                      </w:rPr>
                      <m:t xml:space="preserve">120</m:t>
                    </m:r>
                  </m:e>
                </m:d>
              </m:sup>
            </m:sSubSup>
          </m:sup>
        </m:sSup>
      </m:oMath>
      <w:r>
        <w:rPr>
          <w:sz w:val="24"/>
          <w:szCs w:val="24"/>
        </w:rPr>
        <w:t xml:space="preserve"> – </w:t>
      </w:r>
      <w:r>
        <w:rPr>
          <w:sz w:val="24"/>
          <w:szCs w:val="24"/>
        </w:rPr>
        <w: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не позднее 10 часов 00 минут московского времени суток Х-4 для часов с порядковыми номерами от 1 до 120;</w:t>
      </w:r>
    </w:p>
    <w:p>
      <w:pPr>
        <w:pStyle w:val="Normal"/>
        <w:widowControl/>
        <w:spacing w:before="20" w:after="20"/>
        <w:ind w:firstLine="709"/>
        <w:jc w:val="both"/>
        <w:rPr>
          <w:sz w:val="24"/>
          <w:szCs w:val="24"/>
        </w:rPr>
      </w:pPr>
      <w:r>
        <w:rPr/>
        <w:drawing>
          <wp:inline distT="0" distB="0" distL="0" distR="0">
            <wp:extent cx="531495" cy="276225"/>
            <wp:effectExtent l="0" t="0" r="0" b="0"/>
            <wp:docPr id="4"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7" descr=""/>
                    <pic:cNvPicPr>
                      <a:picLocks noChangeAspect="1" noChangeArrowheads="1"/>
                    </pic:cNvPicPr>
                  </pic:nvPicPr>
                  <pic:blipFill>
                    <a:blip r:embed="rId17"/>
                    <a:stretch>
                      <a:fillRect/>
                    </a:stretch>
                  </pic:blipFill>
                  <pic:spPr bwMode="auto">
                    <a:xfrm>
                      <a:off x="0" y="0"/>
                      <a:ext cx="531495" cy="276225"/>
                    </a:xfrm>
                    <a:prstGeom prst="rect">
                      <a:avLst/>
                    </a:prstGeom>
                  </pic:spPr>
                </pic:pic>
              </a:graphicData>
            </a:graphic>
          </wp:inline>
        </w:drawing>
      </w:r>
      <w:r>
        <w:rPr>
          <w:sz w:val="24"/>
          <w:szCs w:val="24"/>
        </w:rPr>
        <w:t xml:space="preserve"> – </w:t>
      </w:r>
      <w:r>
        <w:rPr>
          <w:sz w:val="24"/>
          <w:szCs w:val="24"/>
        </w:rPr>
        <w:t xml:space="preserve">снижение мощности ГТП генерации фиксируемое на основании данных, заявляемых участником ОРЭ не позднее 10 (десяти) часов хабаровского времени суток Х-1 для второй неценовой зоны в уведомлении о составе и параметрах оборудования и разрешенных внеплановых заявках на снижение максимальной мощности; </w:t>
      </w:r>
    </w:p>
    <w:p>
      <w:pPr>
        <w:pStyle w:val="Normal"/>
        <w:widowControl/>
        <w:spacing w:before="20" w:after="20"/>
        <w:ind w:firstLine="709"/>
        <w:jc w:val="both"/>
        <w:rPr>
          <w:sz w:val="24"/>
          <w:szCs w:val="24"/>
        </w:rPr>
      </w:pPr>
      <w:r>
        <w:rPr/>
        <w:drawing>
          <wp:inline distT="0" distB="0" distL="0" distR="0">
            <wp:extent cx="520700" cy="266065"/>
            <wp:effectExtent l="0" t="0" r="0" b="0"/>
            <wp:docPr id="5"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6" descr=""/>
                    <pic:cNvPicPr>
                      <a:picLocks noChangeAspect="1" noChangeArrowheads="1"/>
                    </pic:cNvPicPr>
                  </pic:nvPicPr>
                  <pic:blipFill>
                    <a:blip r:embed="rId18"/>
                    <a:stretch>
                      <a:fillRect/>
                    </a:stretch>
                  </pic:blipFill>
                  <pic:spPr bwMode="auto">
                    <a:xfrm>
                      <a:off x="0" y="0"/>
                      <a:ext cx="520700" cy="266065"/>
                    </a:xfrm>
                    <a:prstGeom prst="rect">
                      <a:avLst/>
                    </a:prstGeom>
                  </pic:spPr>
                </pic:pic>
              </a:graphicData>
            </a:graphic>
          </wp:inline>
        </w:drawing>
      </w:r>
      <w:r>
        <w:rPr>
          <w:sz w:val="24"/>
          <w:szCs w:val="24"/>
        </w:rPr>
        <w:t xml:space="preserve"> – </w:t>
      </w:r>
      <w:r>
        <w:rPr>
          <w:sz w:val="24"/>
          <w:szCs w:val="24"/>
        </w:rPr>
        <w: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не позднее 10 (десяти) часов хабаровского времени суток Х-1 (для второй неценовой зоны),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pPr>
        <w:pStyle w:val="Normal"/>
        <w:widowControl/>
        <w:spacing w:before="20" w:after="20"/>
        <w:ind w:firstLine="709"/>
        <w:jc w:val="both"/>
        <w:rPr>
          <w:sz w:val="24"/>
          <w:szCs w:val="24"/>
        </w:rPr>
      </w:pPr>
      <w:r>
        <w:rPr/>
        <w:drawing>
          <wp:inline distT="0" distB="0" distL="0" distR="0">
            <wp:extent cx="616585" cy="318770"/>
            <wp:effectExtent l="0" t="0" r="0" b="0"/>
            <wp:docPr id="6"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5" descr=""/>
                    <pic:cNvPicPr>
                      <a:picLocks noChangeAspect="1" noChangeArrowheads="1"/>
                    </pic:cNvPicPr>
                  </pic:nvPicPr>
                  <pic:blipFill>
                    <a:blip r:embed="rId19"/>
                    <a:stretch>
                      <a:fillRect/>
                    </a:stretch>
                  </pic:blipFill>
                  <pic:spPr bwMode="auto">
                    <a:xfrm>
                      <a:off x="0" y="0"/>
                      <a:ext cx="616585" cy="318770"/>
                    </a:xfrm>
                    <a:prstGeom prst="rect">
                      <a:avLst/>
                    </a:prstGeom>
                  </pic:spPr>
                </pic:pic>
              </a:graphicData>
            </a:graphic>
          </wp:inline>
        </w:drawing>
      </w:r>
      <w:r>
        <w:rPr>
          <w:sz w:val="24"/>
          <w:szCs w:val="24"/>
        </w:rPr>
        <w:t xml:space="preserve"> – </w:t>
      </w:r>
      <w:r>
        <w:rPr>
          <w:sz w:val="24"/>
          <w:szCs w:val="24"/>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с 10 (десяти) часов суток Х-1(второй неценовой зоны), до часа (</w:t>
      </w:r>
      <w:r>
        <w:rPr>
          <w:sz w:val="24"/>
          <w:szCs w:val="24"/>
          <w:lang w:val="en-GB"/>
        </w:rPr>
        <w:t>n</w:t>
      </w:r>
      <w:r>
        <w:rPr>
          <w:sz w:val="24"/>
          <w:szCs w:val="24"/>
        </w:rPr>
        <w:t>-4) суток Х;</w:t>
      </w:r>
    </w:p>
    <w:p>
      <w:pPr>
        <w:pStyle w:val="Normal"/>
        <w:widowControl/>
        <w:spacing w:before="20" w:after="20"/>
        <w:ind w:firstLine="709"/>
        <w:jc w:val="both"/>
        <w:rPr>
          <w:sz w:val="24"/>
          <w:szCs w:val="24"/>
        </w:rPr>
      </w:pPr>
      <w:r>
        <w:rPr/>
        <w:drawing>
          <wp:inline distT="0" distB="0" distL="0" distR="0">
            <wp:extent cx="520700" cy="266065"/>
            <wp:effectExtent l="0" t="0" r="0" b="0"/>
            <wp:docPr id="7"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4" descr=""/>
                    <pic:cNvPicPr>
                      <a:picLocks noChangeAspect="1" noChangeArrowheads="1"/>
                    </pic:cNvPicPr>
                  </pic:nvPicPr>
                  <pic:blipFill>
                    <a:blip r:embed="rId20"/>
                    <a:stretch>
                      <a:fillRect/>
                    </a:stretch>
                  </pic:blipFill>
                  <pic:spPr bwMode="auto">
                    <a:xfrm>
                      <a:off x="0" y="0"/>
                      <a:ext cx="520700" cy="266065"/>
                    </a:xfrm>
                    <a:prstGeom prst="rect">
                      <a:avLst/>
                    </a:prstGeom>
                  </pic:spPr>
                </pic:pic>
              </a:graphicData>
            </a:graphic>
          </wp:inline>
        </w:drawing>
      </w:r>
      <w:r>
        <w:rPr>
          <w:sz w:val="24"/>
          <w:szCs w:val="24"/>
        </w:rPr>
        <w:t xml:space="preserve"> – </w:t>
      </w:r>
      <w:r>
        <w:rPr>
          <w:sz w:val="24"/>
          <w:szCs w:val="24"/>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с 10 (десяти) часов суток Х-1 (второй неценовой зоны), до часа (</w:t>
      </w:r>
      <w:r>
        <w:rPr>
          <w:sz w:val="24"/>
          <w:szCs w:val="24"/>
          <w:lang w:val="en-GB"/>
        </w:rPr>
        <w:t>n</w:t>
      </w:r>
      <w:r>
        <w:rPr>
          <w:sz w:val="24"/>
          <w:szCs w:val="24"/>
        </w:rPr>
        <w:t>-4) суток Х;</w:t>
      </w:r>
    </w:p>
    <w:p>
      <w:pPr>
        <w:pStyle w:val="Normal"/>
        <w:widowControl/>
        <w:spacing w:before="20" w:after="20"/>
        <w:ind w:firstLine="709"/>
        <w:jc w:val="both"/>
        <w:rPr>
          <w:sz w:val="24"/>
          <w:szCs w:val="24"/>
        </w:rPr>
      </w:pPr>
      <w:r>
        <w:rPr/>
        <w:drawing>
          <wp:inline distT="0" distB="0" distL="0" distR="0">
            <wp:extent cx="510540" cy="233680"/>
            <wp:effectExtent l="0" t="0" r="0" b="0"/>
            <wp:docPr id="8"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3" descr=""/>
                    <pic:cNvPicPr>
                      <a:picLocks noChangeAspect="1" noChangeArrowheads="1"/>
                    </pic:cNvPicPr>
                  </pic:nvPicPr>
                  <pic:blipFill>
                    <a:blip r:embed="rId21"/>
                    <a:stretch>
                      <a:fillRect/>
                    </a:stretch>
                  </pic:blipFill>
                  <pic:spPr bwMode="auto">
                    <a:xfrm>
                      <a:off x="0" y="0"/>
                      <a:ext cx="510540" cy="233680"/>
                    </a:xfrm>
                    <a:prstGeom prst="rect">
                      <a:avLst/>
                    </a:prstGeom>
                  </pic:spPr>
                </pic:pic>
              </a:graphicData>
            </a:graphic>
          </wp:inline>
        </w:drawing>
      </w:r>
      <w:r>
        <w:rPr>
          <w:sz w:val="24"/>
          <w:szCs w:val="24"/>
        </w:rPr>
        <w:t xml:space="preserve"> – </w:t>
      </w:r>
      <w:r>
        <w:rPr>
          <w:sz w:val="24"/>
          <w:szCs w:val="24"/>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pPr>
        <w:pStyle w:val="Normal"/>
        <w:widowControl/>
        <w:spacing w:before="20" w:after="20"/>
        <w:ind w:firstLine="709"/>
        <w:jc w:val="both"/>
        <w:rPr>
          <w:sz w:val="24"/>
          <w:szCs w:val="24"/>
        </w:rPr>
      </w:pPr>
      <w:r>
        <w:rPr/>
        <w:drawing>
          <wp:inline distT="0" distB="0" distL="0" distR="0">
            <wp:extent cx="499745" cy="233680"/>
            <wp:effectExtent l="0" t="0" r="0" b="0"/>
            <wp:docPr id="9"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2" descr=""/>
                    <pic:cNvPicPr>
                      <a:picLocks noChangeAspect="1" noChangeArrowheads="1"/>
                    </pic:cNvPicPr>
                  </pic:nvPicPr>
                  <pic:blipFill>
                    <a:blip r:embed="rId22"/>
                    <a:stretch>
                      <a:fillRect/>
                    </a:stretch>
                  </pic:blipFill>
                  <pic:spPr bwMode="auto">
                    <a:xfrm>
                      <a:off x="0" y="0"/>
                      <a:ext cx="499745" cy="233680"/>
                    </a:xfrm>
                    <a:prstGeom prst="rect">
                      <a:avLst/>
                    </a:prstGeom>
                  </pic:spPr>
                </pic:pic>
              </a:graphicData>
            </a:graphic>
          </wp:inline>
        </w:drawing>
      </w:r>
      <w:r>
        <w:rPr>
          <w:sz w:val="24"/>
          <w:szCs w:val="24"/>
        </w:rPr>
        <w:t xml:space="preserve"> – </w:t>
      </w:r>
      <w:r>
        <w:rPr>
          <w:sz w:val="24"/>
          <w:szCs w:val="24"/>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widowControl/>
        <w:spacing w:before="20" w:after="20"/>
        <w:ind w:firstLine="709"/>
        <w:jc w:val="both"/>
        <w:rPr>
          <w:sz w:val="24"/>
          <w:szCs w:val="24"/>
        </w:rPr>
      </w:pPr>
      <w:r>
        <w:rPr/>
        <w:drawing>
          <wp:inline distT="0" distB="0" distL="0" distR="0">
            <wp:extent cx="903605" cy="287020"/>
            <wp:effectExtent l="0" t="0" r="0" b="0"/>
            <wp:docPr id="10"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1" descr=""/>
                    <pic:cNvPicPr>
                      <a:picLocks noChangeAspect="1" noChangeArrowheads="1"/>
                    </pic:cNvPicPr>
                  </pic:nvPicPr>
                  <pic:blipFill>
                    <a:blip r:embed="rId23"/>
                    <a:stretch>
                      <a:fillRect/>
                    </a:stretch>
                  </pic:blipFill>
                  <pic:spPr bwMode="auto">
                    <a:xfrm>
                      <a:off x="0" y="0"/>
                      <a:ext cx="903605" cy="287020"/>
                    </a:xfrm>
                    <a:prstGeom prst="rect">
                      <a:avLst/>
                    </a:prstGeom>
                  </pic:spPr>
                </pic:pic>
              </a:graphicData>
            </a:graphic>
          </wp:inline>
        </w:drawing>
      </w:r>
      <w:r>
        <w:rPr>
          <w:sz w:val="24"/>
          <w:szCs w:val="24"/>
        </w:rPr>
        <w:t xml:space="preserve"> – </w:t>
      </w:r>
      <w:r>
        <w:rPr>
          <w:sz w:val="24"/>
          <w:szCs w:val="24"/>
        </w:rPr>
        <w: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widowControl/>
        <w:spacing w:before="20" w:after="20"/>
        <w:ind w:firstLine="709"/>
        <w:jc w:val="both"/>
        <w:rPr>
          <w:sz w:val="24"/>
          <w:szCs w:val="24"/>
        </w:rPr>
      </w:pPr>
      <w:r>
        <w:rPr/>
        <w:drawing>
          <wp:inline distT="0" distB="0" distL="0" distR="0">
            <wp:extent cx="1052830" cy="361315"/>
            <wp:effectExtent l="0" t="0" r="0" b="0"/>
            <wp:docPr id="11"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descr=""/>
                    <pic:cNvPicPr>
                      <a:picLocks noChangeAspect="1" noChangeArrowheads="1"/>
                    </pic:cNvPicPr>
                  </pic:nvPicPr>
                  <pic:blipFill>
                    <a:blip r:embed="rId24"/>
                    <a:stretch>
                      <a:fillRect/>
                    </a:stretch>
                  </pic:blipFill>
                  <pic:spPr bwMode="auto">
                    <a:xfrm>
                      <a:off x="0" y="0"/>
                      <a:ext cx="1052830" cy="361315"/>
                    </a:xfrm>
                    <a:prstGeom prst="rect">
                      <a:avLst/>
                    </a:prstGeom>
                  </pic:spPr>
                </pic:pic>
              </a:graphicData>
            </a:graphic>
          </wp:inline>
        </w:drawing>
      </w:r>
      <w:r>
        <w:rPr>
          <w:sz w:val="24"/>
          <w:szCs w:val="24"/>
        </w:rPr>
        <w:t xml:space="preserve"> – </w:t>
      </w:r>
      <w:r>
        <w:rPr>
          <w:sz w:val="24"/>
          <w:szCs w:val="24"/>
        </w:rPr>
        <w:t>регистрируется при согласованном увеличении времени включения в сеть;</w:t>
      </w:r>
    </w:p>
    <w:p>
      <w:pPr>
        <w:pStyle w:val="Normal"/>
        <w:widowControl/>
        <w:spacing w:before="20" w:after="20"/>
        <w:ind w:firstLine="709"/>
        <w:jc w:val="both"/>
        <w:rPr>
          <w:sz w:val="24"/>
          <w:szCs w:val="24"/>
        </w:rPr>
      </w:pPr>
      <w:r>
        <w:rPr/>
        <w:drawing>
          <wp:inline distT="0" distB="0" distL="0" distR="0">
            <wp:extent cx="946150" cy="308610"/>
            <wp:effectExtent l="0" t="0" r="0" b="0"/>
            <wp:docPr id="12"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9" descr=""/>
                    <pic:cNvPicPr>
                      <a:picLocks noChangeAspect="1" noChangeArrowheads="1"/>
                    </pic:cNvPicPr>
                  </pic:nvPicPr>
                  <pic:blipFill>
                    <a:blip r:embed="rId25"/>
                    <a:stretch>
                      <a:fillRect/>
                    </a:stretch>
                  </pic:blipFill>
                  <pic:spPr bwMode="auto">
                    <a:xfrm>
                      <a:off x="0" y="0"/>
                      <a:ext cx="946150" cy="308610"/>
                    </a:xfrm>
                    <a:prstGeom prst="rect">
                      <a:avLst/>
                    </a:prstGeom>
                  </pic:spPr>
                </pic:pic>
              </a:graphicData>
            </a:graphic>
          </wp:inline>
        </w:drawing>
      </w:r>
      <w:r>
        <w:rPr>
          <w:sz w:val="24"/>
          <w:szCs w:val="24"/>
        </w:rPr>
        <w:t xml:space="preserve"> – </w:t>
      </w:r>
      <w:r>
        <w:rPr>
          <w:sz w:val="24"/>
          <w:szCs w:val="24"/>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widowControl/>
        <w:spacing w:before="20" w:after="20"/>
        <w:ind w:firstLine="709"/>
        <w:jc w:val="both"/>
        <w:rPr>
          <w:sz w:val="24"/>
          <w:szCs w:val="24"/>
        </w:rPr>
      </w:pPr>
      <w:r>
        <w:rPr/>
        <w:drawing>
          <wp:inline distT="0" distB="0" distL="0" distR="0">
            <wp:extent cx="361315" cy="287020"/>
            <wp:effectExtent l="0" t="0" r="0" b="0"/>
            <wp:docPr id="13"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8" descr=""/>
                    <pic:cNvPicPr>
                      <a:picLocks noChangeAspect="1" noChangeArrowheads="1"/>
                    </pic:cNvPicPr>
                  </pic:nvPicPr>
                  <pic:blipFill>
                    <a:blip r:embed="rId26"/>
                    <a:stretch>
                      <a:fillRect/>
                    </a:stretch>
                  </pic:blipFill>
                  <pic:spPr bwMode="auto">
                    <a:xfrm>
                      <a:off x="0" y="0"/>
                      <a:ext cx="361315" cy="287020"/>
                    </a:xfrm>
                    <a:prstGeom prst="rect">
                      <a:avLst/>
                    </a:prstGeom>
                  </pic:spPr>
                </pic:pic>
              </a:graphicData>
            </a:graphic>
          </wp:inline>
        </w:drawing>
      </w:r>
      <w:r>
        <w:rPr>
          <w:sz w:val="24"/>
          <w:szCs w:val="24"/>
        </w:rPr>
        <w:t xml:space="preserve"> – </w:t>
      </w:r>
      <w:r>
        <w:rPr>
          <w:sz w:val="24"/>
          <w:szCs w:val="24"/>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widowControl/>
        <w:spacing w:before="120" w:after="20"/>
        <w:ind w:firstLine="709"/>
        <w:jc w:val="both"/>
        <w:rPr>
          <w:sz w:val="24"/>
          <w:szCs w:val="24"/>
        </w:rPr>
      </w:pPr>
      <w:r>
        <w:rPr>
          <w:sz w:val="24"/>
          <w:szCs w:val="24"/>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drawing>
          <wp:inline distT="0" distB="0" distL="0" distR="0">
            <wp:extent cx="329565" cy="266065"/>
            <wp:effectExtent l="0" t="0" r="0" b="0"/>
            <wp:docPr id="14"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7" descr=""/>
                    <pic:cNvPicPr>
                      <a:picLocks noChangeAspect="1" noChangeArrowheads="1"/>
                    </pic:cNvPicPr>
                  </pic:nvPicPr>
                  <pic:blipFill>
                    <a:blip r:embed="rId27"/>
                    <a:stretch>
                      <a:fillRect/>
                    </a:stretch>
                  </pic:blipFill>
                  <pic:spPr bwMode="auto">
                    <a:xfrm>
                      <a:off x="0" y="0"/>
                      <a:ext cx="329565" cy="266065"/>
                    </a:xfrm>
                    <a:prstGeom prst="rect">
                      <a:avLst/>
                    </a:prstGeom>
                  </pic:spPr>
                </pic:pic>
              </a:graphicData>
            </a:graphic>
          </wp:inline>
        </w:drawing>
      </w:r>
      <w:r>
        <w:rPr>
          <w:sz w:val="24"/>
          <w:szCs w:val="24"/>
        </w:rPr>
        <w:t>, соответствующие объемам невыполнения требований в месяце, определяется по формуле:</w:t>
      </w:r>
    </w:p>
    <w:p>
      <w:pPr>
        <w:pStyle w:val="Normal"/>
        <w:widowControl/>
        <w:spacing w:before="20" w:after="20"/>
        <w:jc w:val="center"/>
        <w:rPr>
          <w:sz w:val="24"/>
          <w:szCs w:val="24"/>
          <w:lang w:val="en-GB"/>
        </w:rPr>
      </w:pPr>
      <w:r>
        <w:rPr/>
        <w:drawing>
          <wp:inline distT="0" distB="0" distL="0" distR="0">
            <wp:extent cx="1360805" cy="669925"/>
            <wp:effectExtent l="0" t="0" r="0" b="0"/>
            <wp:docPr id="15"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6" descr=""/>
                    <pic:cNvPicPr>
                      <a:picLocks noChangeAspect="1" noChangeArrowheads="1"/>
                    </pic:cNvPicPr>
                  </pic:nvPicPr>
                  <pic:blipFill>
                    <a:blip r:embed="rId28"/>
                    <a:stretch>
                      <a:fillRect/>
                    </a:stretch>
                  </pic:blipFill>
                  <pic:spPr bwMode="auto">
                    <a:xfrm>
                      <a:off x="0" y="0"/>
                      <a:ext cx="1360805" cy="669925"/>
                    </a:xfrm>
                    <a:prstGeom prst="rect">
                      <a:avLst/>
                    </a:prstGeom>
                  </pic:spPr>
                </pic:pic>
              </a:graphicData>
            </a:graphic>
          </wp:inline>
        </w:drawing>
      </w:r>
    </w:p>
    <w:p>
      <w:pPr>
        <w:pStyle w:val="Normal"/>
        <w:widowControl/>
        <w:spacing w:before="20" w:after="20"/>
        <w:ind w:firstLine="709"/>
        <w:jc w:val="both"/>
        <w:rPr>
          <w:sz w:val="24"/>
          <w:szCs w:val="24"/>
        </w:rPr>
      </w:pPr>
      <w:r>
        <w:rPr>
          <w:sz w:val="24"/>
          <w:szCs w:val="24"/>
        </w:rPr>
        <w:t>где:</w:t>
      </w:r>
    </w:p>
    <w:p>
      <w:pPr>
        <w:pStyle w:val="Normal"/>
        <w:widowControl/>
        <w:spacing w:before="20" w:after="20"/>
        <w:ind w:firstLine="709"/>
        <w:jc w:val="both"/>
        <w:rPr>
          <w:sz w:val="24"/>
          <w:szCs w:val="24"/>
        </w:rPr>
      </w:pPr>
      <w:r>
        <w:rPr/>
        <w:drawing>
          <wp:inline distT="0" distB="0" distL="0" distR="0">
            <wp:extent cx="287020" cy="266065"/>
            <wp:effectExtent l="0" t="0" r="0" b="0"/>
            <wp:docPr id="16"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5" descr=""/>
                    <pic:cNvPicPr>
                      <a:picLocks noChangeAspect="1" noChangeArrowheads="1"/>
                    </pic:cNvPicPr>
                  </pic:nvPicPr>
                  <pic:blipFill>
                    <a:blip r:embed="rId29"/>
                    <a:stretch>
                      <a:fillRect/>
                    </a:stretch>
                  </pic:blipFill>
                  <pic:spPr bwMode="auto">
                    <a:xfrm>
                      <a:off x="0" y="0"/>
                      <a:ext cx="287020" cy="266065"/>
                    </a:xfrm>
                    <a:prstGeom prst="rect">
                      <a:avLst/>
                    </a:prstGeom>
                  </pic:spPr>
                </pic:pic>
              </a:graphicData>
            </a:graphic>
          </wp:inline>
        </w:drawing>
      </w:r>
      <w:r>
        <w:rPr>
          <w:sz w:val="24"/>
          <w:szCs w:val="24"/>
        </w:rPr>
        <w:t xml:space="preserve"> – </w:t>
      </w:r>
      <w:r>
        <w:rPr>
          <w:sz w:val="24"/>
          <w:szCs w:val="24"/>
        </w:rPr>
        <w:t>значения снижения мощности ГТПГ, установленные СО в ГРМ;</w:t>
      </w:r>
    </w:p>
    <w:p>
      <w:pPr>
        <w:pStyle w:val="Normal"/>
        <w:widowControl/>
        <w:spacing w:before="20" w:after="20"/>
        <w:ind w:firstLine="709"/>
        <w:jc w:val="both"/>
        <w:rPr>
          <w:sz w:val="24"/>
          <w:szCs w:val="24"/>
        </w:rPr>
      </w:pPr>
      <w:r>
        <w:rPr>
          <w:sz w:val="24"/>
          <w:szCs w:val="24"/>
        </w:rPr>
        <w:t xml:space="preserve">Н – количество часов, соответствующее расчетному месяцу </w:t>
      </w:r>
      <w:r>
        <w:rPr>
          <w:sz w:val="24"/>
          <w:szCs w:val="24"/>
          <w:lang w:val="en-GB"/>
        </w:rPr>
        <w:t>m</w:t>
      </w:r>
      <w:r>
        <w:rPr>
          <w:sz w:val="24"/>
          <w:szCs w:val="24"/>
        </w:rPr>
        <w:t xml:space="preserve">. </w:t>
      </w:r>
    </w:p>
    <w:p>
      <w:pPr>
        <w:pStyle w:val="Normal"/>
        <w:widowControl/>
        <w:spacing w:before="20" w:after="20"/>
        <w:ind w:firstLine="709"/>
        <w:jc w:val="both"/>
        <w:rPr>
          <w:sz w:val="16"/>
          <w:szCs w:val="24"/>
        </w:rPr>
      </w:pPr>
      <w:r>
        <w:rPr>
          <w:sz w:val="16"/>
          <w:szCs w:val="24"/>
        </w:rPr>
      </w:r>
    </w:p>
    <w:p>
      <w:pPr>
        <w:pStyle w:val="Normal"/>
        <w:widowControl/>
        <w:spacing w:before="20" w:after="20"/>
        <w:ind w:firstLine="709"/>
        <w:jc w:val="both"/>
        <w:rPr>
          <w:sz w:val="24"/>
          <w:szCs w:val="24"/>
        </w:rPr>
      </w:pPr>
      <w:r>
        <w:rPr>
          <w:sz w:val="24"/>
          <w:szCs w:val="24"/>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pPr>
        <w:pStyle w:val="Normal"/>
        <w:widowControl/>
        <w:spacing w:before="120" w:after="20"/>
        <w:ind w:firstLine="709"/>
        <w:jc w:val="both"/>
        <w:rPr>
          <w:sz w:val="24"/>
          <w:szCs w:val="24"/>
        </w:rPr>
      </w:pPr>
      <w:r>
        <w:rPr>
          <w:sz w:val="24"/>
          <w:szCs w:val="24"/>
        </w:rPr>
        <w:t xml:space="preserve">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w:t>
      </w:r>
      <w:r>
        <w:rPr>
          <w:sz w:val="24"/>
          <w:szCs w:val="24"/>
          <w:lang w:val="en-GB"/>
        </w:rPr>
        <w:t>m</w:t>
      </w:r>
      <w:r>
        <w:rPr>
          <w:sz w:val="24"/>
          <w:szCs w:val="24"/>
        </w:rPr>
        <w:t>, рассчитывается для каждой ГТП (единицы оборудования) по формуле:</w:t>
      </w:r>
    </w:p>
    <w:p>
      <w:pPr>
        <w:pStyle w:val="Normal"/>
        <w:widowControl/>
        <w:spacing w:before="20" w:after="20"/>
        <w:ind w:firstLine="709"/>
        <w:jc w:val="both"/>
        <w:rPr>
          <w:sz w:val="16"/>
          <w:szCs w:val="24"/>
        </w:rPr>
      </w:pPr>
      <w:r>
        <w:rPr>
          <w:sz w:val="16"/>
          <w:szCs w:val="24"/>
        </w:rPr>
      </w:r>
    </w:p>
    <w:p>
      <w:pPr>
        <w:pStyle w:val="Normal"/>
        <w:widowControl/>
        <w:spacing w:before="20" w:after="20"/>
        <w:jc w:val="center"/>
        <w:rPr>
          <w:sz w:val="24"/>
          <w:szCs w:val="24"/>
          <w:lang w:val="en-GB"/>
        </w:rPr>
      </w:pPr>
      <w:r>
        <w:rPr/>
        <w:drawing>
          <wp:inline distT="0" distB="0" distL="0" distR="0">
            <wp:extent cx="1871345" cy="446405"/>
            <wp:effectExtent l="0" t="0" r="0" b="0"/>
            <wp:docPr id="17"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4" descr=""/>
                    <pic:cNvPicPr>
                      <a:picLocks noChangeAspect="1" noChangeArrowheads="1"/>
                    </pic:cNvPicPr>
                  </pic:nvPicPr>
                  <pic:blipFill>
                    <a:blip r:embed="rId30"/>
                    <a:stretch>
                      <a:fillRect/>
                    </a:stretch>
                  </pic:blipFill>
                  <pic:spPr bwMode="auto">
                    <a:xfrm>
                      <a:off x="0" y="0"/>
                      <a:ext cx="1871345" cy="446405"/>
                    </a:xfrm>
                    <a:prstGeom prst="rect">
                      <a:avLst/>
                    </a:prstGeom>
                  </pic:spPr>
                </pic:pic>
              </a:graphicData>
            </a:graphic>
          </wp:inline>
        </w:drawing>
      </w:r>
    </w:p>
    <w:p>
      <w:pPr>
        <w:pStyle w:val="Normal"/>
        <w:widowControl/>
        <w:spacing w:before="20" w:after="20"/>
        <w:ind w:firstLine="709"/>
        <w:jc w:val="both"/>
        <w:rPr>
          <w:sz w:val="24"/>
          <w:szCs w:val="24"/>
        </w:rPr>
      </w:pPr>
      <w:r>
        <w:rPr>
          <w:sz w:val="24"/>
          <w:szCs w:val="24"/>
        </w:rPr>
        <w:t xml:space="preserve"> </w:t>
      </w:r>
      <w:r>
        <w:rPr>
          <w:sz w:val="24"/>
          <w:szCs w:val="24"/>
        </w:rPr>
        <w:t>где:</w:t>
        <w:tab/>
        <w:tab/>
        <w:tab/>
        <w:tab/>
        <w:tab/>
        <w:tab/>
      </w:r>
    </w:p>
    <w:p>
      <w:pPr>
        <w:pStyle w:val="Normal"/>
        <w:widowControl/>
        <w:spacing w:before="20" w:after="20"/>
        <w:ind w:firstLine="709"/>
        <w:jc w:val="both"/>
        <w:rPr>
          <w:sz w:val="24"/>
          <w:szCs w:val="24"/>
        </w:rPr>
      </w:pPr>
      <w:r>
        <w:rPr/>
        <w:drawing>
          <wp:inline distT="0" distB="0" distL="0" distR="0">
            <wp:extent cx="180975" cy="233680"/>
            <wp:effectExtent l="0" t="0" r="0" b="0"/>
            <wp:docPr id="18"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3" descr=""/>
                    <pic:cNvPicPr>
                      <a:picLocks noChangeAspect="1" noChangeArrowheads="1"/>
                    </pic:cNvPicPr>
                  </pic:nvPicPr>
                  <pic:blipFill>
                    <a:blip r:embed="rId31"/>
                    <a:stretch>
                      <a:fillRect/>
                    </a:stretch>
                  </pic:blipFill>
                  <pic:spPr bwMode="auto">
                    <a:xfrm>
                      <a:off x="0" y="0"/>
                      <a:ext cx="180975" cy="233680"/>
                    </a:xfrm>
                    <a:prstGeom prst="rect">
                      <a:avLst/>
                    </a:prstGeom>
                  </pic:spPr>
                </pic:pic>
              </a:graphicData>
            </a:graphic>
          </wp:inline>
        </w:drawing>
      </w:r>
      <w:r>
        <w:rPr>
          <w:sz w:val="24"/>
          <w:szCs w:val="24"/>
        </w:rPr>
        <w:t xml:space="preserve"> </w:t>
      </w:r>
      <w:r>
        <w:rPr>
          <w:sz w:val="24"/>
          <w:szCs w:val="24"/>
        </w:rPr>
        <w:t>- коэффициенты (</w:t>
      </w:r>
      <w:r>
        <w:rPr/>
      </w:r>
      <m:oMath xmlns:m="http://schemas.openxmlformats.org/officeDocument/2006/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2</m:t>
            </m:r>
          </m:sub>
        </m:sSub>
      </m:o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3</m:t>
            </m:r>
          </m:sub>
        </m:sSub>
      </m:oMath>
      <w:r>
        <w:rPr>
          <w:sz w:val="24"/>
          <w:szCs w:val="24"/>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Б1</m:t>
            </m:r>
          </m:sub>
        </m:sSub>
      </m:oMath>
      <w:r>
        <w:rPr>
          <w:sz w:val="24"/>
          <w:szCs w:val="24"/>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Б2</m:t>
            </m:r>
          </m:sub>
        </m:sSub>
      </m:oMath>
      <w:r>
        <w:rPr>
          <w:sz w:val="24"/>
          <w:szCs w:val="24"/>
        </w:rPr>
        <w:t>,</w:t>
      </w:r>
      <w:r>
        <w:rPr/>
      </w:r>
      <m:oMath xmlns:m="http://schemas.openxmlformats.org/officeDocument/2006/math"/>
      <w:r>
        <w:rPr>
          <w:sz w:val="24"/>
          <w:szCs w:val="24"/>
        </w:rPr>
        <w:t>,</w:t>
      </w:r>
      <w:r>
        <w:rPr/>
      </w:r>
      <m:oMath xmlns:m="http://schemas.openxmlformats.org/officeDocument/2006/math"/>
      <w:r>
        <w:rPr>
          <w:sz w:val="24"/>
          <w:szCs w:val="24"/>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В2</m:t>
            </m:r>
          </m:sub>
        </m:sSub>
      </m:oMath>
      <w:r>
        <w:rPr>
          <w:sz w:val="24"/>
          <w:szCs w:val="24"/>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В3</m:t>
            </m:r>
          </m:sub>
        </m:sSub>
      </m:oMath>
      <w:r>
        <w:rPr>
          <w:sz w:val="24"/>
          <w:szCs w:val="24"/>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Г1</m:t>
            </m:r>
          </m:sub>
        </m:sSub>
      </m:oMath>
      <w:r>
        <w:rPr>
          <w:sz w:val="24"/>
          <w:szCs w:val="24"/>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Г2</m:t>
            </m:r>
          </m:sub>
        </m:sSub>
      </m:oMath>
      <w:r>
        <w:rPr>
          <w:sz w:val="24"/>
          <w:szCs w:val="24"/>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Г3</m:t>
            </m:r>
          </m:sub>
        </m:sSub>
      </m:o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Д</m:t>
            </m:r>
          </m:sub>
        </m:sSub>
      </m:o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Е</m:t>
            </m:r>
          </m:sub>
        </m:sSub>
      </m:o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Ж</m:t>
            </m:r>
          </m:sub>
        </m:sSub>
      </m:oMath>
      <w:r>
        <w:rPr>
          <w:sz w:val="24"/>
          <w:szCs w:val="24"/>
        </w:rPr>
        <w:t xml:space="preserve">, </w:t>
      </w:r>
      <w:r>
        <w:rPr/>
      </w:r>
      <m:oMath xmlns:m="http://schemas.openxmlformats.org/officeDocument/2006/math">
        <m:sSub>
          <m:e>
            <m:r>
              <w:rPr>
                <w:rFonts w:ascii="Cambria Math" w:hAnsi="Cambria Math"/>
              </w:rPr>
              <m:t xml:space="preserve">k</m:t>
            </m:r>
          </m:e>
          <m:sub>
            <m:r>
              <w:rPr>
                <w:rFonts w:ascii="Cambria Math" w:hAnsi="Cambria Math"/>
              </w:rPr>
              <m:t xml:space="preserve">З</m:t>
            </m:r>
          </m:sub>
        </m:sSub>
      </m:o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И</m:t>
            </m:r>
          </m:sub>
        </m:sSub>
      </m:oMath>
      <w:r>
        <w:rPr>
          <w:sz w:val="24"/>
          <w:szCs w:val="24"/>
        </w:rPr>
        <w:t>), определяемые для каждой из соответствующих им Правилами оптового рынка или приказом Минэнерго России (приложение 2 к приказу ФСТ России от 03.03.2009 № 32-э/1);</w:t>
      </w:r>
    </w:p>
    <w:p>
      <w:pPr>
        <w:pStyle w:val="Normal"/>
        <w:widowControl/>
        <w:spacing w:before="120" w:after="20"/>
        <w:ind w:firstLine="709"/>
        <w:jc w:val="both"/>
        <w:rPr>
          <w:sz w:val="24"/>
          <w:szCs w:val="24"/>
        </w:rPr>
      </w:pPr>
      <w:r>
        <w:rPr>
          <w:sz w:val="24"/>
          <w:szCs w:val="24"/>
        </w:rPr>
        <w:t xml:space="preserve">Снижение оплаты мощности рассчитывается как произведение объема недопоставки мощности </w:t>
      </w:r>
      <w:r>
        <w:rPr/>
        <w:drawing>
          <wp:inline distT="0" distB="0" distL="0" distR="0">
            <wp:extent cx="701675" cy="255270"/>
            <wp:effectExtent l="0" t="0" r="0" b="0"/>
            <wp:docPr id="19"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2" descr=""/>
                    <pic:cNvPicPr>
                      <a:picLocks noChangeAspect="1" noChangeArrowheads="1"/>
                    </pic:cNvPicPr>
                  </pic:nvPicPr>
                  <pic:blipFill>
                    <a:blip r:embed="rId32"/>
                    <a:stretch>
                      <a:fillRect/>
                    </a:stretch>
                  </pic:blipFill>
                  <pic:spPr bwMode="auto">
                    <a:xfrm>
                      <a:off x="0" y="0"/>
                      <a:ext cx="701675" cy="255270"/>
                    </a:xfrm>
                    <a:prstGeom prst="rect">
                      <a:avLst/>
                    </a:prstGeom>
                  </pic:spPr>
                </pic:pic>
              </a:graphicData>
            </a:graphic>
          </wp:inline>
        </w:drawing>
      </w:r>
      <w:r>
        <w:rPr>
          <w:sz w:val="24"/>
          <w:szCs w:val="24"/>
        </w:rPr>
        <w:t xml:space="preserve"> на тариф </w:t>
      </w:r>
      <w:r>
        <w:rPr/>
        <w:drawing>
          <wp:inline distT="0" distB="0" distL="0" distR="0">
            <wp:extent cx="499745" cy="340360"/>
            <wp:effectExtent l="0" t="0" r="0" b="0"/>
            <wp:docPr id="20"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 descr=""/>
                    <pic:cNvPicPr>
                      <a:picLocks noChangeAspect="1" noChangeArrowheads="1"/>
                    </pic:cNvPicPr>
                  </pic:nvPicPr>
                  <pic:blipFill>
                    <a:blip r:embed="rId33"/>
                    <a:stretch>
                      <a:fillRect/>
                    </a:stretch>
                  </pic:blipFill>
                  <pic:spPr bwMode="auto">
                    <a:xfrm>
                      <a:off x="0" y="0"/>
                      <a:ext cx="499745" cy="340360"/>
                    </a:xfrm>
                    <a:prstGeom prst="rect">
                      <a:avLst/>
                    </a:prstGeom>
                  </pic:spPr>
                </pic:pic>
              </a:graphicData>
            </a:graphic>
          </wp:inline>
        </w:drawing>
      </w:r>
      <w:r>
        <w:rPr>
          <w:sz w:val="24"/>
          <w:szCs w:val="24"/>
        </w:rPr>
        <w:t xml:space="preserve"> (определяется на текущий период в соответствии с приказом ФАС России «О ценах (тарифах) на электроэнергию (мощность), поставляемую в неценовых зонах оптового рынка») и на коэффициент сезонности  (определяется на текущий период согласно приказу ФАС России «Об утверждении коэффициентов сезонности, применяемых для оплаты мощности на территориях, не объединенных в ценовые зоны оптового рынка (неценовых зон)»).</w:t>
      </w:r>
    </w:p>
    <w:tbl>
      <w:tblPr>
        <w:tblW w:w="10120"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40"/>
        <w:gridCol w:w="4879"/>
      </w:tblGrid>
      <w:tr>
        <w:trPr>
          <w:trHeight w:val="282" w:hRule="atLeast"/>
        </w:trPr>
        <w:tc>
          <w:tcPr>
            <w:tcW w:w="5240" w:type="dxa"/>
            <w:tcBorders/>
          </w:tcPr>
          <w:p>
            <w:pPr>
              <w:pStyle w:val="Normal"/>
              <w:widowControl w:val="false"/>
              <w:jc w:val="center"/>
              <w:rPr>
                <w:b/>
                <w:sz w:val="24"/>
                <w:szCs w:val="24"/>
                <w:lang w:val="en-GB"/>
              </w:rPr>
            </w:pPr>
            <w:r>
              <w:rPr>
                <w:b/>
                <w:sz w:val="24"/>
                <w:szCs w:val="24"/>
                <w:lang w:val="en-GB"/>
              </w:rPr>
              <w:t>Покупатель:</w:t>
            </w:r>
          </w:p>
        </w:tc>
        <w:tc>
          <w:tcPr>
            <w:tcW w:w="4879" w:type="dxa"/>
            <w:tcBorders/>
          </w:tcPr>
          <w:p>
            <w:pPr>
              <w:pStyle w:val="Normal"/>
              <w:widowControl w:val="false"/>
              <w:jc w:val="center"/>
              <w:rPr>
                <w:b/>
                <w:sz w:val="24"/>
                <w:szCs w:val="24"/>
                <w:lang w:val="en-GB"/>
              </w:rPr>
            </w:pPr>
            <w:r>
              <w:rPr>
                <w:b/>
                <w:sz w:val="24"/>
                <w:szCs w:val="24"/>
              </w:rPr>
              <w:t>Поставщик</w:t>
            </w:r>
            <w:r>
              <w:rPr>
                <w:b/>
                <w:sz w:val="24"/>
                <w:szCs w:val="24"/>
                <w:lang w:val="en-GB"/>
              </w:rPr>
              <w:t>:</w:t>
            </w:r>
          </w:p>
        </w:tc>
      </w:tr>
      <w:tr>
        <w:trPr>
          <w:trHeight w:val="611" w:hRule="atLeast"/>
        </w:trPr>
        <w:tc>
          <w:tcPr>
            <w:tcW w:w="5240"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487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_______________ / _______________</w:t>
            </w:r>
          </w:p>
        </w:tc>
      </w:tr>
    </w:tbl>
    <w:p>
      <w:pPr>
        <w:pStyle w:val="Normal"/>
        <w:widowControl/>
        <w:spacing w:before="120" w:after="20"/>
        <w:jc w:val="both"/>
        <w:rPr>
          <w:sz w:val="24"/>
          <w:szCs w:val="24"/>
        </w:rPr>
      </w:pPr>
      <w:r>
        <w:rPr/>
      </w:r>
    </w:p>
    <w:sectPr>
      <w:headerReference w:type="default" r:id="rId34"/>
      <w:headerReference w:type="first" r:id="rId35"/>
      <w:footerReference w:type="default" r:id="rId36"/>
      <w:footerReference w:type="first" r:id="rId37"/>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24</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Предельная цена на Товар устанавливается в случае отсутствия утвержденной Рабочей документации (отсутствия точного перечня поставляемого Товара) на момент заключения Договора.</w:t>
      </w:r>
    </w:p>
  </w:footnote>
  <w:footnote w:id="3">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4"/>
        </w:rPr>
        <w:footnoteRef/>
      </w:r>
      <w:r>
        <w:rPr/>
        <w:t xml:space="preserve"> </w:t>
      </w:r>
      <w:r>
        <w:rPr/>
        <w:t>Условие о размере авансового платежа в размере не менее 50 (пятидесяти) процентов от стоимости соответствующей партии Товара предусматривается в  договорах, заключаемых в соответствии с Федеральным законом от 18 июля 2011 года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 При этом необходимо изменить процент последующих платежей (пункт 2.5.3. проекта Договора).</w:t>
      </w:r>
    </w:p>
  </w:footnote>
  <w:footnote w:id="5">
    <w:p>
      <w:pPr>
        <w:pStyle w:val="FootnoteText"/>
        <w:jc w:val="both"/>
        <w:rPr/>
      </w:pPr>
      <w:r>
        <w:rPr>
          <w:rStyle w:val="Style14"/>
        </w:rPr>
        <w:footnoteRef/>
      </w:r>
      <w:r>
        <w:rPr/>
        <w:t xml:space="preserve"> </w:t>
      </w:r>
      <w:r>
        <w:rPr/>
        <w:t>Указывается меньший размер платежей, в случае применения ссылки к пункту 2.5.2. проекта Договора о закупке кранового оборудования.</w:t>
      </w:r>
    </w:p>
  </w:footnote>
  <w:footnote w:id="6">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Общества.</w:t>
      </w:r>
    </w:p>
  </w:footnote>
  <w:footnote w:id="7">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Общества.</w:t>
      </w:r>
    </w:p>
  </w:footnote>
  <w:footnote w:id="8">
    <w:p>
      <w:pPr>
        <w:pStyle w:val="FootnoteText"/>
        <w:jc w:val="both"/>
        <w:rPr/>
      </w:pPr>
      <w:r>
        <w:rPr>
          <w:rStyle w:val="Style14"/>
        </w:rPr>
        <w:footnoteRef/>
      </w:r>
      <w:r>
        <w:rPr/>
        <w:t xml:space="preserve"> </w:t>
      </w:r>
      <w:r>
        <w:rPr/>
        <w:t>В случае, если Контрагент – МСП и применяется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10">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11">
    <w:p>
      <w:pPr>
        <w:pStyle w:val="FootnoteText"/>
        <w:jc w:val="both"/>
        <w:rPr/>
      </w:pPr>
      <w:r>
        <w:rPr>
          <w:rStyle w:val="Style14"/>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12">
    <w:p>
      <w:pPr>
        <w:pStyle w:val="FootnoteText"/>
        <w:rPr/>
      </w:pPr>
      <w:r>
        <w:rPr>
          <w:rStyle w:val="Style14"/>
        </w:rPr>
        <w:footnoteRef/>
      </w:r>
      <w:r>
        <w:rPr/>
        <w:t xml:space="preserve"> </w:t>
      </w:r>
      <w:r>
        <w:rPr>
          <w:szCs w:val="24"/>
          <w:highlight w:val="lightGray"/>
        </w:rPr>
        <w:t>Указанное условие применяется к договорам в отношении поставки Товара, обеспечивающего производство и/или передачу (транспортировку) электрической энергии и мощности.</w:t>
      </w:r>
    </w:p>
  </w:footnote>
  <w:footnote w:id="13">
    <w:p>
      <w:pPr>
        <w:pStyle w:val="FootnoteText"/>
        <w:jc w:val="both"/>
        <w:rPr>
          <w:szCs w:val="24"/>
          <w:highlight w:val="lightGray"/>
        </w:rPr>
      </w:pPr>
      <w:r>
        <w:rPr>
          <w:rStyle w:val="Style14"/>
        </w:rPr>
        <w:footnoteRef/>
      </w:r>
      <w:r>
        <w:rPr/>
        <w:t xml:space="preserve"> </w:t>
      </w:r>
      <w:r>
        <w:rPr>
          <w:highlight w:val="lightGray"/>
        </w:rPr>
        <w:t>Необходимость включения данного пункта определяется в соответствии с приказом ПАО «РусГидро</w:t>
      </w:r>
      <w:r>
        <w:rPr>
          <w:szCs w:val="24"/>
          <w:highlight w:val="lightGray"/>
        </w:rPr>
        <w:t>» от 12.01.2021 № 4.</w:t>
      </w:r>
    </w:p>
  </w:footnote>
  <w:footnote w:id="14">
    <w:p>
      <w:pPr>
        <w:pStyle w:val="FootnoteText"/>
        <w:jc w:val="both"/>
        <w:rPr/>
      </w:pPr>
      <w:r>
        <w:rPr>
          <w:rStyle w:val="Style14"/>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15">
    <w:p>
      <w:pPr>
        <w:pStyle w:val="FootnoteText"/>
        <w:jc w:val="both"/>
        <w:rPr/>
      </w:pPr>
      <w:r>
        <w:rPr>
          <w:rStyle w:val="Style14"/>
        </w:rPr>
        <w:footnoteRef/>
      </w:r>
      <w:r>
        <w:rPr/>
        <w:t xml:space="preserve"> </w:t>
      </w:r>
      <w:r>
        <w:rPr/>
        <w:t>В случае если Поставщик является субъектом малого предпринимательства,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6">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7">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8">
    <w:p>
      <w:pPr>
        <w:pStyle w:val="FootnoteText"/>
        <w:jc w:val="both"/>
        <w:rPr/>
      </w:pPr>
      <w:r>
        <w:rPr>
          <w:rStyle w:val="Style14"/>
        </w:rPr>
        <w:footnoteRef/>
      </w:r>
      <w:r>
        <w:rPr>
          <w:highlight w:val="lightGray"/>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19">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Общества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/6</w:t>
      </w:r>
    </w:p>
  </w:footnote>
  <w:footnote w:id="20">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21">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22">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23">
    <w:p>
      <w:pPr>
        <w:pStyle w:val="FootnoteText"/>
        <w:jc w:val="both"/>
        <w:rPr/>
      </w:pPr>
      <w:r>
        <w:rPr>
          <w:rStyle w:val="Style14"/>
        </w:rPr>
        <w:footnoteRef/>
      </w:r>
      <w:r>
        <w:rPr>
          <w:lang w:eastAsia="x-none"/>
        </w:rPr>
        <w:t xml:space="preserve"> </w:t>
      </w:r>
      <w:r>
        <w:rPr>
          <w:lang w:eastAsia="x-none"/>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Pr/>
        <w:t> </w:t>
      </w:r>
      <w:r>
        <w:rPr>
          <w:lang w:eastAsia="x-none"/>
        </w:rPr>
        <w:t>440 млн. руб., лимит к установлению - 5</w:t>
      </w:r>
      <w:r>
        <w:rPr/>
        <w:t> </w:t>
      </w:r>
      <w:r>
        <w:rPr>
          <w:lang w:eastAsia="x-none"/>
        </w:rPr>
        <w:t>400 млн. руб.; расчетное значение лимита - 5</w:t>
      </w:r>
      <w:r>
        <w:rPr/>
        <w:t> </w:t>
      </w:r>
      <w:r>
        <w:rPr>
          <w:lang w:eastAsia="x-none"/>
        </w:rPr>
        <w:t>450 млн. руб., лимит к установлению - 5</w:t>
      </w:r>
      <w:r>
        <w:rPr/>
        <w:t> </w:t>
      </w:r>
      <w:r>
        <w:rPr>
          <w:lang w:eastAsia="x-none"/>
        </w:rPr>
        <w:t>500 млн. руб.</w:t>
      </w:r>
    </w:p>
  </w:footnote>
  <w:footnote w:id="24">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t>ТФД 2.2.1_ЮФ</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22</w:t>
    </w:r>
    <w:r>
      <w:rPr/>
      <w:fldChar w:fldCharType="end"/>
    </w:r>
  </w:p>
  <w:p>
    <w:pPr>
      <w:pStyle w:val="Header"/>
      <w:jc w:val="right"/>
      <w:rPr/>
    </w:pPr>
    <w:r>
      <w:rPr/>
      <w:t xml:space="preserve">ТФД 2.2.1_ЮФ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24</w:t>
    </w:r>
    <w:r>
      <w:rPr/>
      <w:fldChar w:fldCharType="end"/>
    </w:r>
  </w:p>
  <w:p>
    <w:pPr>
      <w:pStyle w:val="Header"/>
      <w:jc w:val="right"/>
      <w:rPr/>
    </w:pPr>
    <w:r>
      <w:rPr/>
      <w:t>ТФД 2.2.1_ЮФ</w:t>
    </w:r>
  </w:p>
  <w:p>
    <w:pPr>
      <w:pStyle w:val="Normal"/>
      <w:tabs>
        <w:tab w:val="clear" w:pos="709"/>
        <w:tab w:val="left" w:pos="1875" w:leader="none"/>
        <w:tab w:val="center" w:pos="4153" w:leader="none"/>
        <w:tab w:val="right" w:pos="8306" w:leader="none"/>
      </w:tabs>
      <w:rPr>
        <w:i/>
        <w:i/>
      </w:rPr>
    </w:pPr>
    <w:r>
      <w:rPr>
        <w:i/>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33</w:t>
    </w:r>
    <w:r>
      <w:rPr/>
      <w:fldChar w:fldCharType="end"/>
    </w:r>
  </w:p>
  <w:p>
    <w:pPr>
      <w:pStyle w:val="Header"/>
      <w:jc w:val="right"/>
      <w:rPr/>
    </w:pPr>
    <w:r>
      <w:rPr/>
      <w:t>ТФД 2.2.1_ЮФ</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3">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6">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7">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8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Style27">
    <w:name w:val="Содержимое таблицы"/>
    <w:basedOn w:val="Normal"/>
    <w:qFormat/>
    <w:pPr>
      <w:widowControl w:val="false"/>
      <w:suppressLineNumbers/>
    </w:pPr>
    <w:rPr/>
  </w:style>
  <w:style w:type="paragraph" w:styleId="Style28">
    <w:name w:val="Заголовок таблицы"/>
    <w:basedOn w:val="Style27"/>
    <w:qFormat/>
    <w:pPr>
      <w:suppressLineNumbers/>
      <w:jc w:val="center"/>
    </w:pPr>
    <w:rPr>
      <w:b/>
      <w:bCs/>
    </w:rPr>
  </w:style>
  <w:style w:type="paragraph" w:styleId="NoSpacing">
    <w:name w:val="No Spacing"/>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yperlink" Target="http://www.cbr.ru/" TargetMode="External"/><Relationship Id="rId14" Type="http://schemas.openxmlformats.org/officeDocument/2006/relationships/image" Target="media/image1.png"/><Relationship Id="rId15" Type="http://schemas.openxmlformats.org/officeDocument/2006/relationships/image" Target="media/image2.wmf"/><Relationship Id="rId16" Type="http://schemas.openxmlformats.org/officeDocument/2006/relationships/image" Target="media/image3.wmf"/><Relationship Id="rId17" Type="http://schemas.openxmlformats.org/officeDocument/2006/relationships/image" Target="media/image4.wmf"/><Relationship Id="rId18" Type="http://schemas.openxmlformats.org/officeDocument/2006/relationships/image" Target="media/image5.wmf"/><Relationship Id="rId19" Type="http://schemas.openxmlformats.org/officeDocument/2006/relationships/image" Target="media/image6.wmf"/><Relationship Id="rId20" Type="http://schemas.openxmlformats.org/officeDocument/2006/relationships/image" Target="media/image7.wmf"/><Relationship Id="rId21" Type="http://schemas.openxmlformats.org/officeDocument/2006/relationships/image" Target="media/image8.wmf"/><Relationship Id="rId22" Type="http://schemas.openxmlformats.org/officeDocument/2006/relationships/image" Target="media/image9.wmf"/><Relationship Id="rId23" Type="http://schemas.openxmlformats.org/officeDocument/2006/relationships/image" Target="media/image10.wmf"/><Relationship Id="rId24" Type="http://schemas.openxmlformats.org/officeDocument/2006/relationships/image" Target="media/image11.wmf"/><Relationship Id="rId25" Type="http://schemas.openxmlformats.org/officeDocument/2006/relationships/image" Target="media/image12.wmf"/><Relationship Id="rId26" Type="http://schemas.openxmlformats.org/officeDocument/2006/relationships/image" Target="media/image13.wmf"/><Relationship Id="rId27" Type="http://schemas.openxmlformats.org/officeDocument/2006/relationships/image" Target="media/image14.wmf"/><Relationship Id="rId28" Type="http://schemas.openxmlformats.org/officeDocument/2006/relationships/image" Target="media/image15.wmf"/><Relationship Id="rId29" Type="http://schemas.openxmlformats.org/officeDocument/2006/relationships/image" Target="media/image16.wmf"/><Relationship Id="rId30" Type="http://schemas.openxmlformats.org/officeDocument/2006/relationships/image" Target="media/image17.png"/><Relationship Id="rId31" Type="http://schemas.openxmlformats.org/officeDocument/2006/relationships/image" Target="media/image18.wmf"/><Relationship Id="rId32" Type="http://schemas.openxmlformats.org/officeDocument/2006/relationships/image" Target="media/image19.wmf"/><Relationship Id="rId33" Type="http://schemas.openxmlformats.org/officeDocument/2006/relationships/image" Target="media/image20.wmf"/><Relationship Id="rId34" Type="http://schemas.openxmlformats.org/officeDocument/2006/relationships/header" Target="header6.xml"/><Relationship Id="rId35" Type="http://schemas.openxmlformats.org/officeDocument/2006/relationships/header" Target="header7.xml"/><Relationship Id="rId36" Type="http://schemas.openxmlformats.org/officeDocument/2006/relationships/footer" Target="footer4.xml"/><Relationship Id="rId37" Type="http://schemas.openxmlformats.org/officeDocument/2006/relationships/footer" Target="footer5.xml"/><Relationship Id="rId38" Type="http://schemas.openxmlformats.org/officeDocument/2006/relationships/footnotes" Target="footnotes.xml"/><Relationship Id="rId39" Type="http://schemas.openxmlformats.org/officeDocument/2006/relationships/numbering" Target="numbering.xml"/><Relationship Id="rId40" Type="http://schemas.openxmlformats.org/officeDocument/2006/relationships/fontTable" Target="fontTable.xml"/><Relationship Id="rId41" Type="http://schemas.openxmlformats.org/officeDocument/2006/relationships/settings" Target="settings.xml"/><Relationship Id="rId42" Type="http://schemas.openxmlformats.org/officeDocument/2006/relationships/theme" Target="theme/theme1.xml"/><Relationship Id="rId43" Type="http://schemas.openxmlformats.org/officeDocument/2006/relationships/customXml" Target="../customXml/item1.xml"/><Relationship Id="rId44" Type="http://schemas.openxmlformats.org/officeDocument/2006/relationships/customXml" Target="../customXml/item2.xml"/><Relationship Id="rId45" Type="http://schemas.openxmlformats.org/officeDocument/2006/relationships/customXml" Target="../customXml/item3.xml"/><Relationship Id="rId46"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C70CD4F-2764-4595-AB6F-4B36397AE6DF}">
  <ds:schemaRefs>
    <ds:schemaRef ds:uri="http://schemas.openxmlformats.org/officeDocument/2006/bibliography"/>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351</TotalTime>
  <Application>AlterOffice/3.4.0.9$Linux_X86_64 LibreOffice_project/b8daf9e823b1a5463a2f48435ddc2e8696e7d4fc</Application>
  <AppVersion>15.0000</AppVersion>
  <Pages>33</Pages>
  <Words>11572</Words>
  <Characters>82429</Characters>
  <CharactersWithSpaces>88283</CharactersWithSpaces>
  <Paragraphs>547</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2023-02-14T07:19:00Z</dcterms:created>
  <dc:creator>tsypilev_ag</dc:creator>
  <dc:description/>
  <dc:language>ru-RU</dc:language>
  <cp:lastModifiedBy>romanenkoav@corp.gidroogk.com</cp:lastModifiedBy>
  <cp:lastPrinted>2018-05-22T09:46:00Z</cp:lastPrinted>
  <dcterms:modified xsi:type="dcterms:W3CDTF">2026-01-20T14:42:36Z</dcterms:modified>
  <cp:revision>21</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