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header5.xml" ContentType="application/vnd.openxmlformats-officedocument.wordprocessingml.header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4"/>
        <w:spacing w:before="120" w:after="6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tabs>
          <w:tab w:val="clear" w:pos="708"/>
          <w:tab w:val="left" w:pos="3728" w:leader="none"/>
        </w:tabs>
        <w:rPr>
          <w:sz w:val="26"/>
          <w:szCs w:val="26"/>
        </w:rPr>
      </w:pPr>
      <w:r>
        <w:rPr/>
        <w:tab/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jc w:val="center"/>
        <w:rPr>
          <w:b/>
          <w:bCs/>
        </w:rPr>
      </w:pPr>
      <w:r>
        <w:rPr>
          <w:rFonts w:eastAsia="Calibri"/>
          <w:b/>
          <w:bCs/>
          <w:sz w:val="26"/>
          <w:szCs w:val="26"/>
        </w:rPr>
        <w:tab/>
        <w:t>ОКПД2 28.13.2</w:t>
      </w:r>
      <w:r>
        <w:rPr>
          <w:rFonts w:eastAsia="Calibri"/>
          <w:b/>
          <w:bCs/>
          <w:sz w:val="26"/>
          <w:szCs w:val="26"/>
        </w:rPr>
        <w:t>6</w:t>
      </w:r>
      <w:r>
        <w:rPr>
          <w:rFonts w:eastAsia="Calibri"/>
          <w:b/>
          <w:bCs/>
          <w:sz w:val="26"/>
          <w:szCs w:val="26"/>
        </w:rPr>
        <w:t>.000  Поставка компрессоров  дизель-генераторов для нужд филиалов АО «Сахаэнерго»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-РЕМ ПРОД-2027-СахаЭ</w:t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jc w:val="center"/>
        <w:rPr>
          <w:b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instrText xml:space="preserve"> TOC \z \o "1-4" \u \h</w:instrText>
          </w:r>
          <w:r>
            <w:rPr>
              <w:webHidden/>
              <w:rStyle w:val="Style16"/>
              <w:sz w:val="22"/>
              <w:szCs w:val="22"/>
              <w:vanish w:val="false"/>
              <w:rFonts w:eastAsia="Calibri"/>
            </w:rPr>
            <w:fldChar w:fldCharType="separate"/>
          </w:r>
          <w:hyperlink w:anchor="_Toc179884594" w:tgtFrame="#_Toc179884594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5" w:tgtFrame="#_Toc179884595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6" w:tgtFrame="#_Toc179884596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right" w:pos="9911" w:leader="dot"/>
            </w:tabs>
            <w:rPr/>
          </w:pPr>
          <w:hyperlink w:anchor="_Toc179884597" w:tgtFrame="#_Toc179884597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1.3.    Цели использования закупаемой продукции.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hyperlink w:anchor="_Toc179884598" w:tgtFrame="#_Toc179884598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iCs/>
                <w:sz w:val="22"/>
                <w:szCs w:val="22"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599" w:tgtFrame="#_Toc179884599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_Toc179884599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0" w:tgtFrame="#_Toc179884600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2.1.1.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_Toc179884600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1" w:tgtFrame="#_Toc179884601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_Toc179884601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tabs>
              <w:tab w:val="clear" w:pos="708"/>
              <w:tab w:val="left" w:pos="1120" w:leader="none"/>
              <w:tab w:val="right" w:pos="9911" w:leader="dot"/>
            </w:tabs>
            <w:rPr/>
          </w:pPr>
          <w:r>
            <w:rPr>
              <w:rFonts w:eastAsia="Calibri"/>
              <w:vanish w:val="false"/>
              <w:sz w:val="22"/>
              <w:szCs w:val="22"/>
            </w:rPr>
            <w:t xml:space="preserve">      </w:t>
          </w:r>
          <w:hyperlink w:anchor="_Toc179884602" w:tgtFrame="#_Toc179884602">
            <w:r>
              <w:rPr>
                <w:webHidden/>
                <w:rStyle w:val="Style16"/>
                <w:rFonts w:eastAsia="Calibri"/>
                <w:vanish w:val="false"/>
                <w:sz w:val="22"/>
                <w:szCs w:val="22"/>
              </w:rPr>
              <w:t>2.1.2.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срокам поставки продукции и оказания сопутствующих услуг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6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/>
              <w:b w:val="false"/>
              <w:bCs w:val="false"/>
              <w:vanish w:val="false"/>
              <w:sz w:val="22"/>
              <w:szCs w:val="22"/>
            </w:rPr>
            <w:t xml:space="preserve">         </w:t>
          </w:r>
          <w:hyperlink w:anchor="_Toc179884603" w:tgtFrame="#_Toc179884603">
            <w:r>
              <w:rPr>
                <w:webHidden/>
                <w:rStyle w:val="Style16"/>
                <w:rFonts w:eastAsia="Calibri"/>
                <w:b w:val="false"/>
                <w:bCs w:val="false"/>
                <w:vanish w:val="false"/>
                <w:sz w:val="22"/>
                <w:szCs w:val="22"/>
              </w:rPr>
              <w:t>Таблица 2.1 Требования по срокам поставки продукции</w:t>
            </w:r>
            <w:r>
              <w:rPr>
                <w:rStyle w:val="Style16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b w:val="false"/>
              <w:bCs w:val="false"/>
              <w:sz w:val="22"/>
              <w:szCs w:val="22"/>
            </w:rPr>
            <w:t>6</w:t>
          </w:r>
        </w:p>
        <w:p>
          <w:pPr>
            <w:pStyle w:val="TOC4"/>
            <w:tabs>
              <w:tab w:val="clear" w:pos="708"/>
              <w:tab w:val="left" w:pos="1120" w:leader="none"/>
              <w:tab w:val="right" w:pos="9911" w:leader="dot"/>
            </w:tabs>
            <w:rPr/>
          </w:pPr>
          <w:hyperlink w:anchor="_Toc179884604" w:tgtFrame="#_Toc179884604">
            <w:r>
              <w:rPr>
                <w:webHidden/>
                <w:rStyle w:val="Style16"/>
                <w:rFonts w:eastAsia="Calibri"/>
                <w:iCs/>
                <w:vanish w:val="false"/>
                <w:sz w:val="22"/>
                <w:szCs w:val="22"/>
              </w:rPr>
              <w:t>2.2.</w:t>
            </w:r>
            <w:r>
              <w:rPr>
                <w:rStyle w:val="Style16"/>
                <w:rFonts w:eastAsia="Arial" w:cs="Arial" w:cstheme="minorBidi" w:eastAsiaTheme="minorEastAsia"/>
                <w:sz w:val="22"/>
                <w:szCs w:val="22"/>
              </w:rPr>
              <w:tab/>
            </w:r>
            <w:r>
              <w:rPr>
                <w:rStyle w:val="Style16"/>
                <w:rFonts w:eastAsia="Calibri"/>
                <w:sz w:val="22"/>
                <w:szCs w:val="22"/>
              </w:rPr>
              <w:t>Требования к качеству продукции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7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3.      </w:t>
          </w:r>
          <w:r>
            <w:rPr>
              <w:rFonts w:eastAsia="Calibri"/>
              <w:b w:val="false"/>
              <w:bCs w:val="false"/>
              <w:iCs/>
              <w:vanish w:val="false"/>
              <w:sz w:val="22"/>
              <w:szCs w:val="22"/>
            </w:rPr>
            <w:t>Требования к предоставлению документов в составе заявки…………………………………9</w:t>
          </w:r>
        </w:p>
        <w:p>
          <w:pPr>
            <w:pStyle w:val="TOC1"/>
            <w:tabs>
              <w:tab w:val="clear" w:pos="708"/>
              <w:tab w:val="left" w:pos="560" w:leader="none"/>
              <w:tab w:val="right" w:pos="9911" w:leader="dot"/>
            </w:tabs>
            <w:rPr/>
          </w:pPr>
          <w:r>
            <w:rPr>
              <w:rFonts w:eastAsia="Calibri"/>
              <w:iCs/>
              <w:vanish w:val="false"/>
              <w:sz w:val="22"/>
              <w:szCs w:val="22"/>
            </w:rPr>
            <w:t xml:space="preserve">4.      </w:t>
          </w:r>
          <w:hyperlink w:anchor="_Toc179884606" w:tgtFrame="#_Toc179884606">
            <w:r>
              <w:rPr>
                <w:webHidden/>
                <w:rStyle w:val="Style16"/>
                <w:rFonts w:eastAsia="Calibri"/>
                <w:b w:val="false"/>
                <w:bCs w:val="false"/>
                <w:iCs/>
                <w:vanish w:val="false"/>
                <w:sz w:val="22"/>
                <w:szCs w:val="22"/>
              </w:rPr>
              <w:t>Приложения</w:t>
            </w:r>
            <w:r>
              <w:rPr>
                <w:rStyle w:val="Style16"/>
                <w:sz w:val="22"/>
                <w:szCs w:val="22"/>
              </w:rPr>
              <w:tab/>
            </w:r>
          </w:hyperlink>
          <w:r>
            <w:rPr>
              <w:sz w:val="22"/>
              <w:szCs w:val="22"/>
            </w:rPr>
            <w:t>9</w:t>
          </w:r>
        </w:p>
        <w:p>
          <w:pPr>
            <w:pStyle w:val="Normal"/>
            <w:tabs>
              <w:tab w:val="clear" w:pos="708"/>
              <w:tab w:val="left" w:pos="560" w:leader="none"/>
              <w:tab w:val="right" w:pos="9911" w:leader="dot"/>
            </w:tabs>
            <w:rPr>
              <w:rFonts w:ascii="Times New Roman" w:hAnsi="Times New Roman"/>
              <w:sz w:val="22"/>
              <w:szCs w:val="22"/>
            </w:rPr>
          </w:pPr>
          <w:r>
            <w:rPr>
              <w:sz w:val="22"/>
              <w:szCs w:val="22"/>
            </w:rPr>
            <w:t>5.      Требования к документации по ценообразованию на этапе закупки…………………….…..9</w:t>
          </w:r>
        </w:p>
        <w:p>
          <w:pPr>
            <w:pStyle w:val="TOC1"/>
            <w:tabs>
              <w:tab w:val="clear" w:pos="708"/>
              <w:tab w:val="right" w:pos="9911" w:leader="dot"/>
            </w:tabs>
            <w:rPr/>
          </w:pPr>
          <w:r>
            <w:rPr>
              <w:rFonts w:eastAsia="Calibri" w:cs="Arial" w:cstheme="minorBidi"/>
              <w:b w:val="false"/>
              <w:bCs w:val="false"/>
              <w:vanish w:val="false"/>
              <w:sz w:val="22"/>
              <w:szCs w:val="22"/>
            </w:rPr>
            <w:t xml:space="preserve">          </w:t>
          </w:r>
          <w:hyperlink w:anchor="_Toc179884605" w:tgtFrame="#_Toc179884605">
            <w:r>
              <w:rPr>
                <w:webHidden/>
                <w:rStyle w:val="Style16"/>
                <w:rFonts w:eastAsia="Calibri" w:cs="Arial" w:cstheme="minorBidi"/>
                <w:b w:val="false"/>
                <w:bCs w:val="false"/>
                <w:vanish w:val="false"/>
                <w:sz w:val="22"/>
                <w:szCs w:val="22"/>
              </w:rPr>
              <w:t>Таблица 3.1 Требования к продукции</w:t>
            </w:r>
            <w:r>
              <w:rPr>
                <w:rStyle w:val="Style16"/>
                <w:rFonts w:eastAsia="Arial" w:cs="Arial" w:cstheme="minorBidi" w:eastAsiaTheme="minorEastAsia"/>
                <w:b w:val="false"/>
                <w:bCs w:val="false"/>
                <w:sz w:val="22"/>
                <w:szCs w:val="22"/>
              </w:rPr>
              <w:tab/>
            </w:r>
          </w:hyperlink>
          <w:r>
            <w:rPr>
              <w:rFonts w:eastAsia="Arial" w:cs="Arial" w:cstheme="minorBidi" w:eastAsiaTheme="minorEastAsia"/>
              <w:b w:val="false"/>
              <w:bCs w:val="false"/>
              <w:sz w:val="22"/>
              <w:szCs w:val="22"/>
            </w:rPr>
            <w:t>10</w:t>
          </w:r>
          <w:r>
            <w:rPr>
              <w:sz w:val="22"/>
              <w:b w:val="false"/>
              <w:szCs w:val="22"/>
              <w:bCs w:val="false"/>
              <w:rFonts w:eastAsia="Arial" w:cs="Arial"/>
            </w:rPr>
            <w:fldChar w:fldCharType="end"/>
          </w:r>
        </w:p>
      </w:sdtContent>
    </w:sdt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Times New Roman" w:hAnsi="Times New Roman" w:eastAsia="Arial" w:cs="Arial" w:cstheme="minorBidi" w:eastAsiaTheme="minorEastAsia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/>
          <w:b w:val="false"/>
          <w:bCs w:val="false"/>
          <w:sz w:val="22"/>
          <w:szCs w:val="22"/>
        </w:rPr>
      </w:r>
    </w:p>
    <w:p>
      <w:pPr>
        <w:pStyle w:val="TOC1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keepNext w:val="true"/>
        <w:keepLines/>
        <w:jc w:val="center"/>
        <w:rPr>
          <w:rFonts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caps/>
        </w:rPr>
      </w:pPr>
      <w:bookmarkStart w:id="0" w:name="_Toc51339692"/>
      <w:bookmarkStart w:id="1" w:name="_Toc179884594"/>
      <w:r>
        <w:rPr/>
        <w:t>Общие сведения</w:t>
      </w:r>
      <w:bookmarkEnd w:id="0"/>
      <w:bookmarkEnd w:id="1"/>
    </w:p>
    <w:p>
      <w:pPr>
        <w:pStyle w:val="Heading4"/>
        <w:numPr>
          <w:ilvl w:val="1"/>
          <w:numId w:val="1"/>
        </w:numPr>
        <w:rPr/>
      </w:pPr>
      <w:bookmarkStart w:id="2" w:name="_Toc46743505"/>
      <w:bookmarkStart w:id="3" w:name="_Toc179884595"/>
      <w:r>
        <w:rPr/>
        <w:t>Обозначения и сокращения</w:t>
      </w:r>
      <w:bookmarkEnd w:id="2"/>
      <w:bookmarkEnd w:id="3"/>
    </w:p>
    <w:p>
      <w:pPr>
        <w:pStyle w:val="Normal"/>
        <w:rPr>
          <w:rStyle w:val="Style10"/>
          <w:b w:val="false"/>
          <w:bCs/>
          <w:iCs/>
          <w:sz w:val="26"/>
          <w:szCs w:val="26"/>
        </w:rPr>
      </w:pPr>
      <w:r>
        <w:rPr>
          <w:b w:val="false"/>
          <w:bCs/>
          <w:iCs/>
          <w:sz w:val="26"/>
          <w:szCs w:val="26"/>
        </w:rPr>
      </w:r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Технические требования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ДГУ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/>
              <w:rPr>
                <w:i/>
                <w:i/>
              </w:rPr>
            </w:pPr>
            <w:r>
              <w:rPr>
                <w:i/>
              </w:rPr>
              <w:t>Дизель-генераторная установка</w:t>
            </w:r>
          </w:p>
        </w:tc>
      </w:tr>
    </w:tbl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sz w:val="24"/>
          <w:szCs w:val="24"/>
        </w:rPr>
      </w:pPr>
      <w:r>
        <w:rPr>
          <w:sz w:val="24"/>
          <w:szCs w:val="24"/>
        </w:rPr>
      </w:r>
      <w:r>
        <w:br w:type="page"/>
      </w: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4" w:name="_Toc46743506"/>
      <w:bookmarkStart w:id="5" w:name="_Toc179884596"/>
      <w:r>
        <w:rPr>
          <w:sz w:val="22"/>
          <w:szCs w:val="22"/>
        </w:rPr>
        <w:t>Наименование закупаемой продукции</w:t>
      </w:r>
      <w:bookmarkEnd w:id="4"/>
      <w:bookmarkEnd w:id="5"/>
    </w:p>
    <w:p>
      <w:pPr>
        <w:pStyle w:val="Heading4"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/>
        <w:t xml:space="preserve"> </w:t>
      </w:r>
      <w:r>
        <w:rPr/>
        <w:t>ОКПД2 28.13.2</w:t>
      </w:r>
      <w:r>
        <w:rPr/>
        <w:t>6</w:t>
      </w:r>
      <w:r>
        <w:rPr/>
        <w:t>.000  Поставка компрессоров  дизель-генераторов для нужд филиалов АО «Сахаэнерго»</w:t>
      </w:r>
    </w:p>
    <w:p>
      <w:pPr>
        <w:pStyle w:val="Normal"/>
        <w:spacing w:before="240" w:after="6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rPr>
          <w:sz w:val="22"/>
          <w:szCs w:val="22"/>
        </w:rPr>
      </w:pPr>
      <w:r>
        <w:rPr>
          <w:b/>
          <w:bCs/>
          <w:sz w:val="22"/>
          <w:szCs w:val="22"/>
        </w:rPr>
        <w:t>1.3. Цели использования закупаемой продукции.</w:t>
      </w:r>
    </w:p>
    <w:p>
      <w:pPr>
        <w:pStyle w:val="Normal"/>
        <w:rPr/>
      </w:pPr>
      <w:r>
        <w:rPr>
          <w:sz w:val="22"/>
          <w:szCs w:val="22"/>
        </w:rPr>
        <w:t>Поставляемая продукция необходима для ремонта дизельных двигателей АО «Сахаэнерго»</w:t>
      </w:r>
    </w:p>
    <w:p>
      <w:pPr>
        <w:pStyle w:val="Heading1"/>
        <w:keepLines/>
        <w:numPr>
          <w:ilvl w:val="0"/>
          <w:numId w:val="1"/>
        </w:numPr>
        <w:ind w:left="357" w:hanging="357"/>
        <w:jc w:val="center"/>
        <w:rPr>
          <w:sz w:val="22"/>
          <w:szCs w:val="22"/>
        </w:rPr>
      </w:pPr>
      <w:bookmarkStart w:id="6" w:name="_Toc46743510"/>
      <w:bookmarkStart w:id="7" w:name="_Toc179884598"/>
      <w:bookmarkStart w:id="8" w:name="_Toc51339693"/>
      <w:bookmarkStart w:id="9" w:name="_Toc50125126"/>
      <w:bookmarkEnd w:id="9"/>
      <w:r>
        <w:rPr>
          <w:iCs/>
          <w:sz w:val="22"/>
          <w:szCs w:val="22"/>
        </w:rPr>
        <w:t>Требования к продукции</w:t>
      </w:r>
      <w:bookmarkEnd w:id="7"/>
      <w:bookmarkEnd w:id="8"/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10" w:name="_Toc179884599"/>
      <w:r>
        <w:rPr>
          <w:sz w:val="22"/>
          <w:szCs w:val="22"/>
        </w:rPr>
        <w:t>Требования к объемам и срокам поставки</w:t>
      </w:r>
      <w:bookmarkEnd w:id="10"/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1" w:name="_Toc179884600"/>
      <w:r>
        <w:rPr>
          <w:sz w:val="22"/>
          <w:szCs w:val="22"/>
        </w:rPr>
        <w:t>Перечень и объем закупаемой продукции</w:t>
      </w:r>
      <w:bookmarkEnd w:id="11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2" w:name="_Toc179884601"/>
      <w:bookmarkStart w:id="13" w:name="_Toc51339695"/>
      <w:r>
        <w:rPr>
          <w:sz w:val="22"/>
          <w:szCs w:val="22"/>
        </w:rPr>
        <w:t xml:space="preserve">Таблица 1.1 Перечень </w:t>
      </w:r>
      <w:bookmarkEnd w:id="13"/>
      <w:r>
        <w:rPr>
          <w:sz w:val="22"/>
          <w:szCs w:val="22"/>
        </w:rPr>
        <w:t>и объем закупаемой продукции</w:t>
      </w:r>
      <w:bookmarkEnd w:id="12"/>
    </w:p>
    <w:tbl>
      <w:tblPr>
        <w:tblW w:w="10363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VBand="0" w:noHBand="0" w:lastColumn="0" w:firstColumn="0" w:lastRow="0" w:firstRow="0"/>
      </w:tblPr>
      <w:tblGrid>
        <w:gridCol w:w="558"/>
        <w:gridCol w:w="7092"/>
        <w:gridCol w:w="1065"/>
        <w:gridCol w:w="1647"/>
      </w:tblGrid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п/п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Единица измерения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>
        <w:trPr/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>
        <w:trPr>
          <w:trHeight w:val="340" w:hRule="atLeast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7092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Компрессор поршневой масляный ременной электрический 2200Вт Remeza СБ4/С-100.LB30 A 21688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шт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Style37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</w:tbl>
    <w:p>
      <w:pPr>
        <w:pStyle w:val="Heading3"/>
        <w:tabs>
          <w:tab w:val="clear" w:pos="0"/>
        </w:tabs>
        <w:ind w:left="1224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3"/>
        <w:numPr>
          <w:ilvl w:val="2"/>
          <w:numId w:val="1"/>
        </w:numPr>
        <w:rPr>
          <w:sz w:val="22"/>
          <w:szCs w:val="22"/>
        </w:rPr>
      </w:pPr>
      <w:bookmarkStart w:id="14" w:name="_Toc179884602"/>
      <w:r>
        <w:rPr>
          <w:sz w:val="22"/>
          <w:szCs w:val="22"/>
        </w:rPr>
        <w:t>Требования к срокам поставки продукции и оказания сопутствующих услуг</w:t>
      </w:r>
      <w:bookmarkEnd w:id="14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bookmarkStart w:id="15" w:name="_Toc179884603"/>
      <w:bookmarkStart w:id="16" w:name="_Toc51339697"/>
      <w:bookmarkStart w:id="17" w:name="_Toc50125127"/>
      <w:bookmarkStart w:id="18" w:name="_Toc50125126_Копия_1"/>
      <w:bookmarkEnd w:id="18"/>
      <w:r>
        <w:rPr>
          <w:sz w:val="22"/>
          <w:szCs w:val="22"/>
        </w:rPr>
        <w:t xml:space="preserve">Таблица 2.1 </w:t>
      </w:r>
      <w:bookmarkStart w:id="19" w:name="_Hlk50465284"/>
      <w:r>
        <w:rPr>
          <w:sz w:val="22"/>
          <w:szCs w:val="22"/>
        </w:rPr>
        <w:t xml:space="preserve">Требования по срокам </w:t>
      </w:r>
      <w:bookmarkEnd w:id="16"/>
      <w:bookmarkEnd w:id="17"/>
      <w:bookmarkEnd w:id="19"/>
      <w:r>
        <w:rPr>
          <w:sz w:val="22"/>
          <w:szCs w:val="22"/>
        </w:rPr>
        <w:t>поставки продукции</w:t>
      </w:r>
      <w:bookmarkEnd w:id="15"/>
      <w:r>
        <w:rPr>
          <w:sz w:val="22"/>
          <w:szCs w:val="22"/>
        </w:rPr>
        <w:t xml:space="preserve"> </w:t>
      </w:r>
      <w:bookmarkStart w:id="20" w:name="_Toc50125131"/>
      <w:bookmarkStart w:id="21" w:name="_Toc54785622"/>
      <w:bookmarkEnd w:id="6"/>
      <w:bookmarkEnd w:id="21"/>
    </w:p>
    <w:tbl>
      <w:tblPr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960"/>
        <w:gridCol w:w="2720"/>
        <w:gridCol w:w="2983"/>
        <w:gridCol w:w="3112"/>
      </w:tblGrid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>
              <w:rPr>
                <w:sz w:val="22"/>
                <w:szCs w:val="22"/>
              </w:rPr>
              <w:t>п/п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31"/>
              <w:keepNext w:val="false"/>
              <w:widowControl w:val="false"/>
              <w:spacing w:before="40" w:after="40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</w:tr>
      <w:tr>
        <w:trPr/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ОКПД2 28.13.2</w:t>
            </w:r>
            <w:r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.000  Поставка компрессоров  дизель-генераторов для нужд филиалов АО «Сахаэнерго»</w:t>
            </w:r>
          </w:p>
        </w:tc>
        <w:tc>
          <w:tcPr>
            <w:tcW w:w="2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12.01.2027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color w:val="000000"/>
                <w:sz w:val="20"/>
                <w:szCs w:val="20"/>
              </w:rPr>
              <w:t>01.03.2027 г.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737" w:footer="0" w:bottom="992"/>
          <w:pgNumType w:fmt="decimal"/>
          <w:formProt w:val="false"/>
          <w:titlePg/>
          <w:textDirection w:val="lrTb"/>
          <w:docGrid w:type="default" w:linePitch="100" w:charSpace="0"/>
        </w:sectPr>
      </w:pPr>
    </w:p>
    <w:p>
      <w:pPr>
        <w:pStyle w:val="Heading4"/>
        <w:numPr>
          <w:ilvl w:val="1"/>
          <w:numId w:val="1"/>
        </w:numPr>
        <w:rPr>
          <w:sz w:val="22"/>
          <w:szCs w:val="22"/>
        </w:rPr>
      </w:pPr>
      <w:bookmarkStart w:id="22" w:name="_Toc51339698"/>
      <w:bookmarkStart w:id="23" w:name="_Toc179884604"/>
      <w:bookmarkStart w:id="24" w:name="_Toc46743511"/>
      <w:r>
        <w:rPr>
          <w:sz w:val="22"/>
          <w:szCs w:val="22"/>
        </w:rPr>
        <w:t xml:space="preserve">Требования к </w:t>
      </w:r>
      <w:bookmarkEnd w:id="24"/>
      <w:r>
        <w:rPr>
          <w:sz w:val="22"/>
          <w:szCs w:val="22"/>
        </w:rPr>
        <w:t>качеству продукции</w:t>
      </w:r>
      <w:bookmarkEnd w:id="23"/>
    </w:p>
    <w:p>
      <w:pPr>
        <w:pStyle w:val="Heading1"/>
        <w:keepLines/>
        <w:tabs>
          <w:tab w:val="clear" w:pos="0"/>
        </w:tabs>
        <w:spacing w:before="240" w:after="60"/>
        <w:ind w:left="0" w:hanging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bookmarkStart w:id="25" w:name="_Toc179884605"/>
      <w:r>
        <w:rPr>
          <w:sz w:val="22"/>
          <w:szCs w:val="22"/>
        </w:rPr>
        <w:t>Таблица 3. Требования к продукции</w:t>
      </w:r>
      <w:bookmarkEnd w:id="25"/>
      <w:r>
        <w:rPr>
          <w:sz w:val="22"/>
          <w:szCs w:val="22"/>
        </w:rPr>
        <w:t xml:space="preserve"> </w:t>
      </w:r>
      <w:bookmarkEnd w:id="20"/>
      <w:bookmarkEnd w:id="22"/>
    </w:p>
    <w:p>
      <w:pPr>
        <w:pStyle w:val="Normal"/>
        <w:jc w:val="both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 xml:space="preserve">Наименование продукции (позиция № 1 – </w:t>
      </w:r>
      <w:r>
        <w:rPr>
          <w:b/>
          <w:bCs/>
          <w:i/>
          <w:iCs/>
          <w:sz w:val="22"/>
          <w:szCs w:val="22"/>
        </w:rPr>
        <w:t>1</w:t>
      </w:r>
      <w:r>
        <w:rPr>
          <w:b/>
          <w:bCs/>
          <w:i/>
          <w:iCs/>
          <w:sz w:val="22"/>
          <w:szCs w:val="22"/>
        </w:rPr>
        <w:t xml:space="preserve"> Таблицы 1.1):</w:t>
      </w:r>
      <w:r>
        <w:rPr>
          <w:i/>
          <w:iCs/>
          <w:sz w:val="22"/>
          <w:szCs w:val="22"/>
        </w:rPr>
        <w:t xml:space="preserve">  </w:t>
      </w:r>
      <w:r>
        <w:rPr>
          <w:i/>
          <w:iCs/>
          <w:sz w:val="22"/>
          <w:szCs w:val="22"/>
        </w:rPr>
        <w:t>«</w:t>
      </w:r>
      <w:r>
        <w:rPr>
          <w:i/>
          <w:iCs/>
          <w:sz w:val="22"/>
          <w:szCs w:val="22"/>
        </w:rPr>
        <w:t>ОКПД2 28.13.2</w:t>
      </w:r>
      <w:r>
        <w:rPr>
          <w:i/>
          <w:iCs/>
          <w:sz w:val="22"/>
          <w:szCs w:val="22"/>
        </w:rPr>
        <w:t>6</w:t>
      </w:r>
      <w:r>
        <w:rPr>
          <w:i/>
          <w:iCs/>
          <w:sz w:val="22"/>
          <w:szCs w:val="22"/>
        </w:rPr>
        <w:t>.000 Поставка компрессоров  дизель-генераторов для нужд филиалов АО «Сахаэнерго»»</w:t>
      </w:r>
    </w:p>
    <w:tbl>
      <w:tblPr>
        <w:tblStyle w:val="affffc"/>
        <w:tblW w:w="1570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81"/>
        <w:gridCol w:w="2692"/>
        <w:gridCol w:w="5530"/>
        <w:gridCol w:w="2268"/>
        <w:gridCol w:w="2518"/>
        <w:gridCol w:w="2016"/>
      </w:tblGrid>
      <w:tr>
        <w:trPr/>
        <w:tc>
          <w:tcPr>
            <w:tcW w:w="68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 xml:space="preserve">№ </w:t>
            </w: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п/п</w:t>
            </w:r>
          </w:p>
        </w:tc>
        <w:tc>
          <w:tcPr>
            <w:tcW w:w="269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553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Требование заказчика</w:t>
            </w:r>
          </w:p>
        </w:tc>
        <w:tc>
          <w:tcPr>
            <w:tcW w:w="478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016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8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69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553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Согласие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с требованием/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указание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характеристик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016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1</w:t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2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3</w:t>
            </w:r>
          </w:p>
        </w:tc>
        <w:tc>
          <w:tcPr>
            <w:tcW w:w="226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4</w:t>
            </w:r>
          </w:p>
        </w:tc>
        <w:tc>
          <w:tcPr>
            <w:tcW w:w="251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5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Требования к техническим и функциональным характеристикам в отношении каждой позиции продукции представлены в Приложении № 1 к настоящим Техническим требованиям</w:t>
            </w:r>
          </w:p>
        </w:tc>
        <w:tc>
          <w:tcPr>
            <w:tcW w:w="226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92" w:hRule="atLeast"/>
        </w:trPr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b/>
                <w:bCs/>
                <w:iCs/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продукции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>
          <w:trHeight w:val="313" w:hRule="atLeast"/>
        </w:trPr>
        <w:tc>
          <w:tcPr>
            <w:tcW w:w="681" w:type="dxa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kern w:val="0"/>
                <w:sz w:val="22"/>
                <w:szCs w:val="22"/>
                <w:lang w:val="ru-RU" w:eastAsia="ru-RU" w:bidi="ar-SA"/>
              </w:rPr>
              <w:t>2.1.</w:t>
            </w:r>
          </w:p>
        </w:tc>
        <w:tc>
          <w:tcPr>
            <w:tcW w:w="8222" w:type="dxa"/>
            <w:gridSpan w:val="2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lang w:val="ru-RU" w:eastAsia="ru-RU" w:bidi="ar-SA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 xml:space="preserve">Все предлагаемые к поставке позиции перечня продукции должны быть совместимы с </w:t>
            </w: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highlight w:val="white"/>
                <w:lang w:val="ru-RU" w:eastAsia="ru-RU" w:bidi="ar-SA"/>
              </w:rPr>
              <w:t>компрессором марки Remeza</w:t>
            </w:r>
          </w:p>
        </w:tc>
        <w:tc>
          <w:tcPr>
            <w:tcW w:w="226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left"/>
              <w:rPr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016" w:type="dxa"/>
            <w:tcBorders/>
            <w:shd w:color="FFFFFF" w:fill="FFFFFF" w:val="clear"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bCs/>
                <w:kern w:val="0"/>
                <w:sz w:val="22"/>
                <w:szCs w:val="22"/>
                <w:lang w:val="ru-RU" w:eastAsia="ru-RU" w:bidi="ar-SA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Cs/>
                <w:i/>
                <w:kern w:val="0"/>
                <w:sz w:val="22"/>
                <w:szCs w:val="22"/>
                <w:lang w:val="ru-RU" w:eastAsia="ru-RU" w:bidi="ar-SA"/>
              </w:rPr>
              <w:t>Место поставки</w:t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Приемка продукции по количеству и качеству осуществляется по адресу: 677004, РФ, РС (Я), г. Якутск, ул. Беринга, 42 Производственная база АО «Сахаэнерго».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В случае несоответствия поставленной продукции требованиям технического задания, Поставщик за свой счет производит замену несоответствующего товара в течение 10 рабочих дней, в противном случае вся партия товара принята Заказчиком не будет.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Условия транспортирования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432" w:leader="none"/>
                <w:tab w:val="left" w:pos="459" w:leader="none"/>
              </w:tabs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ГОСТ 15150-69 (ОЖ4). Обоснование: транспортировка в район Крайнего Севера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Тара, используемая при  транспортировке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соответствие тары и упаковки для многоразовой перегрузки и транспортировки ТМЦ в условиях Крайнего Севера;</w:t>
            </w:r>
          </w:p>
          <w:p>
            <w:pPr>
              <w:pStyle w:val="Normal"/>
              <w:widowControl w:val="false"/>
              <w:spacing w:before="0" w:after="0"/>
              <w:ind w:left="72" w:hanging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- при отгрузке продукции в упакованных местах – вложение в каждое тарное место предусмотренного стандартами, техническими условиями. Особыми условиями поставки, иными обязательными правилами или Договором документа (упаковочного ярлыка), свидетельствующего о наименовании и количестве продукции, находящейся в данном тарном месте.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pacing w:before="20" w:after="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hd w:fill="FFFFFF" w:val="clear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shd w:fill="FFFFFF" w:val="clear"/>
                <w:lang w:val="ru-RU" w:eastAsia="ru-RU" w:bidi="ar-SA"/>
              </w:rPr>
              <w:t>Срок гарантии на продукции должен составлять не менее 12 месяцев с даты подписания ТОРГ-12 или УПД.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2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Документы, передаваемые вместе с продукцией</w:t>
            </w:r>
          </w:p>
        </w:tc>
        <w:tc>
          <w:tcPr>
            <w:tcW w:w="5530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Поставщик обязан одновременно с передачей продукции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сертификаты качества;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товарно-транспортную накладную формы №1-Т;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Tahoma" w:cs="Lohit Devanagari"/>
                <w:kern w:val="0"/>
                <w:highlight w:val="none"/>
                <w:shd w:fill="FFFF00" w:val="clear"/>
                <w:lang w:val="ru-RU" w:eastAsia="ru-RU" w:bidi="ar-SA"/>
              </w:rPr>
            </w:pPr>
            <w:r>
              <w:rPr>
                <w:i/>
                <w:iCs/>
                <w:sz w:val="22"/>
                <w:szCs w:val="22"/>
                <w:shd w:fill="FFFF00" w:val="clear"/>
              </w:rPr>
              <w:t>универсальный передаточный документ (УПД) или товарную накладную ТОРГ-12 в 2 экз.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pacing w:before="60" w:after="6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8222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pacing w:before="60" w:after="6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Прочие (дополнительные) требования к продукции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Сведения о новизне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1. Поставляемая продукция должна быть новой (не бывшей в эксплуатации, не допускается поставка выставочных образцов, а также собранной из восстановленных узлов и материалов), свободной от третьих лиц. Дата выпуска: не ранее 2025 года.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2. Продукция должна быть сертифицирована, а также иметь все необходимые документы, позволяющие надлежащим образом использовать продукцию.</w:t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sz w:val="22"/>
                <w:szCs w:val="22"/>
              </w:rPr>
            </w:pPr>
            <w:r>
              <w:rPr>
                <w:rFonts w:eastAsia="Tahoma" w:cs="Lohit Devanagari"/>
                <w:b/>
                <w:kern w:val="0"/>
                <w:sz w:val="22"/>
                <w:szCs w:val="22"/>
                <w:lang w:val="ru-RU" w:eastAsia="ru-RU" w:bidi="ar-SA"/>
              </w:rPr>
              <w:t>-//-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  <w:tr>
        <w:trPr/>
        <w:tc>
          <w:tcPr>
            <w:tcW w:w="68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pacing w:before="60" w:after="60"/>
              <w:ind w:left="-117" w:firstLine="142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692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Условия поставки эквивалентной продукции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5530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Указанные в настоящем ТТ ссылки на марку (тип) продукции носят описательный, а не обязательный характер.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В случае, если Участником предлагается эквивалентная продукция требуемой Заказчику продукции или ее составных частей, он должен в обязательном порядке в составе своего предложения предоставить подробное техническое описание предлагаемого к поставке эквивалента, в объеме не менее установленных в настоящем ТТ требований, обозначенных как «параметры эквивалентности».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Параметрами эквивалентности являются технические характеристики продукции, указанные в приложении № 1 к настоящим техническим требованиям.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rFonts w:cs="Times                      NewR"/>
                <w:i/>
                <w:i/>
                <w:iCs/>
                <w:sz w:val="22"/>
                <w:szCs w:val="22"/>
              </w:rPr>
            </w:pPr>
            <w:r>
              <w:rPr>
                <w:rFonts w:cs="Times                      NewR"/>
                <w:i/>
                <w:iCs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Times                      NewR"/>
                <w:i/>
                <w:iCs/>
                <w:kern w:val="0"/>
                <w:sz w:val="22"/>
                <w:szCs w:val="22"/>
                <w:lang w:val="ru-RU" w:eastAsia="ru-RU" w:bidi="ar-SA"/>
              </w:rPr>
              <w:t>Эквивалентная продукция – это продукция, которая по техническим и функциональным характеристикам не уступает характеристикам, заявленным в документации о закупке, в том числе, по гарантийным срокам и срокам эксплуатации.</w:t>
            </w:r>
          </w:p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2268" w:type="dxa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rFonts w:eastAsia="Tahoma" w:cs="Lohit Devanagari"/>
                <w:i/>
                <w:iCs/>
                <w:kern w:val="0"/>
                <w:sz w:val="22"/>
                <w:szCs w:val="22"/>
                <w:lang w:val="ru-RU" w:eastAsia="ru-RU" w:bidi="ar-SA"/>
              </w:rPr>
              <w:t>Согласие с требованием</w:t>
            </w:r>
          </w:p>
        </w:tc>
        <w:tc>
          <w:tcPr>
            <w:tcW w:w="2518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i/>
                <w:i/>
                <w:sz w:val="22"/>
                <w:szCs w:val="22"/>
              </w:rPr>
            </w:pPr>
            <w:r>
              <w:rPr>
                <w:rFonts w:eastAsia="Tahoma" w:cs="Lohit Devanagari"/>
                <w:i/>
                <w:kern w:val="0"/>
                <w:sz w:val="22"/>
                <w:szCs w:val="22"/>
                <w:lang w:val="ru-RU" w:eastAsia="ru-RU" w:bidi="ar-SA"/>
              </w:rPr>
              <w:t>В случае предложения эквивалента предоставить каталог производителя на предлагаемую продукцию. При отсутствии каталога на эквивалентную продукцию заявка Участника подлежит отклонению</w:t>
            </w:r>
          </w:p>
        </w:tc>
        <w:tc>
          <w:tcPr>
            <w:tcW w:w="2016" w:type="dxa"/>
            <w:tcBorders/>
          </w:tcPr>
          <w:p>
            <w:pPr>
              <w:pStyle w:val="Normal"/>
              <w:widowControl w:val="false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</w:r>
          </w:p>
        </w:tc>
      </w:tr>
    </w:tbl>
    <w:p>
      <w:pPr>
        <w:pStyle w:val="Heading1"/>
        <w:keepLines/>
        <w:ind w:left="357" w:hanging="35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highlight w:val="none"/>
          <w:shd w:fill="FFFFFF" w:val="clear"/>
        </w:rPr>
      </w:pPr>
      <w:r>
        <w:rPr>
          <w:shd w:fill="FFFFFF" w:val="clear"/>
        </w:rPr>
      </w:r>
    </w:p>
    <w:p>
      <w:pPr>
        <w:pStyle w:val="Normal"/>
        <w:rPr>
          <w:sz w:val="22"/>
          <w:szCs w:val="22"/>
          <w:highlight w:val="none"/>
          <w:shd w:fill="FFFFFF" w:val="clear"/>
        </w:rPr>
      </w:pPr>
      <w:r>
        <w:rPr>
          <w:sz w:val="22"/>
          <w:szCs w:val="22"/>
          <w:shd w:fill="FFFFFF" w:val="clear"/>
        </w:rPr>
      </w:r>
    </w:p>
    <w:p>
      <w:pPr>
        <w:pStyle w:val="Heading1"/>
        <w:keepLines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>В составе заявки необходимо предоставить: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Участник в составе своей заявки для подтверждения соответствия заявленных характеристик и конструктива предложенной продукции поставляемой продукции, требованиям настоящих ТТ, предоставляет следующие документы: </w:t>
      </w:r>
    </w:p>
    <w:p>
      <w:pPr>
        <w:pStyle w:val="Normal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    </w:t>
      </w:r>
      <w:r>
        <w:rPr>
          <w:sz w:val="24"/>
          <w:szCs w:val="24"/>
          <w:shd w:fill="FFFFFF" w:val="clear"/>
        </w:rPr>
        <w:t>1) Техническое предложение, подготовленное в соответствии с настоящими ТТ по форме, представленной в документации о закупке.</w:t>
      </w:r>
    </w:p>
    <w:p>
      <w:pPr>
        <w:pStyle w:val="Normal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Heading1"/>
        <w:numPr>
          <w:ilvl w:val="0"/>
          <w:numId w:val="1"/>
        </w:numPr>
        <w:ind w:left="357" w:hanging="357"/>
        <w:rPr>
          <w:highlight w:val="none"/>
          <w:shd w:fill="FFFFFF" w:val="clear"/>
        </w:rPr>
      </w:pPr>
      <w:bookmarkStart w:id="26" w:name="_Toc179884606"/>
      <w:r>
        <w:rPr>
          <w:iCs/>
          <w:sz w:val="24"/>
          <w:szCs w:val="24"/>
          <w:shd w:fill="FFFFFF" w:val="clear"/>
        </w:rPr>
        <w:t>Приложения</w:t>
      </w:r>
      <w:bookmarkEnd w:id="26"/>
      <w:r>
        <w:rPr>
          <w:iCs/>
          <w:sz w:val="24"/>
          <w:szCs w:val="24"/>
          <w:shd w:fill="FFFFFF" w:val="clear"/>
        </w:rPr>
        <w:t>: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  <w:t xml:space="preserve">Приложение №1: </w:t>
      </w:r>
      <w:r>
        <w:rPr>
          <w:rFonts w:eastAsia="Calibri"/>
          <w:b/>
          <w:bCs/>
          <w:sz w:val="24"/>
          <w:szCs w:val="24"/>
          <w:shd w:fill="FFFFFF" w:val="clear"/>
        </w:rPr>
        <w:t>Требования к продукции (индивидуальные требования по каждой позиции перечня продукции)</w:t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rPr>
          <w:highlight w:val="none"/>
          <w:shd w:fill="FFFFFF" w:val="clear"/>
        </w:rPr>
      </w:pPr>
      <w:r>
        <w:rPr>
          <w:rFonts w:eastAsia="Calibri"/>
          <w:b/>
          <w:bCs/>
          <w:color w:val="FF0000"/>
          <w:sz w:val="22"/>
          <w:szCs w:val="22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bookmarkStart w:id="27" w:name="_Toc149029451"/>
      <w:r>
        <w:rPr>
          <w:rFonts w:eastAsia="Calibri"/>
          <w:b/>
          <w:bCs/>
          <w:color w:val="000000"/>
          <w:sz w:val="24"/>
          <w:szCs w:val="24"/>
          <w:shd w:fill="FFFFFF" w:val="clear"/>
        </w:rPr>
        <w:t>5. Требования к документации по ценообразованию на этапе закупки</w:t>
      </w:r>
      <w:bookmarkEnd w:id="27"/>
    </w:p>
    <w:p>
      <w:pPr>
        <w:pStyle w:val="Normal"/>
        <w:jc w:val="both"/>
        <w:rPr>
          <w:sz w:val="24"/>
          <w:szCs w:val="24"/>
          <w:highlight w:val="none"/>
          <w:shd w:fill="FFFFFF" w:val="clear"/>
        </w:rPr>
      </w:pPr>
      <w:r>
        <w:rPr>
          <w:sz w:val="24"/>
          <w:szCs w:val="24"/>
          <w:shd w:fill="FFFFFF" w:val="clear"/>
        </w:rPr>
      </w:r>
    </w:p>
    <w:p>
      <w:pPr>
        <w:pStyle w:val="Normal"/>
        <w:jc w:val="both"/>
        <w:rPr>
          <w:rFonts w:eastAsia="Calibri"/>
          <w:vanish/>
          <w:sz w:val="24"/>
          <w:szCs w:val="24"/>
          <w:highlight w:val="none"/>
          <w:shd w:fill="FFFFFF" w:val="clear"/>
        </w:rPr>
      </w:pPr>
      <w:r>
        <w:rPr>
          <w:rFonts w:eastAsia="Calibri"/>
          <w:vanish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 xml:space="preserve">5.1.   В обоснование стоимости своей заявки Участник предоставляет Коммерческое предложение по форме </w:t>
      </w:r>
      <w:bookmarkStart w:id="28" w:name="_Hlk88325985"/>
      <w:r>
        <w:rPr>
          <w:rFonts w:eastAsia="Calibri"/>
          <w:sz w:val="24"/>
          <w:szCs w:val="24"/>
          <w:shd w:fill="FFFFFF" w:val="clear"/>
        </w:rPr>
        <w:t>(с учетом прилагаемой к ней инструкции по заполнению)</w:t>
      </w:r>
      <w:bookmarkEnd w:id="28"/>
      <w:r>
        <w:rPr>
          <w:rFonts w:eastAsia="Calibri"/>
          <w:sz w:val="24"/>
          <w:szCs w:val="24"/>
          <w:shd w:fill="FFFFFF" w:val="clear"/>
        </w:rPr>
        <w:t>, приведенной в Документации о закупке.</w:t>
      </w:r>
      <w:bookmarkStart w:id="29" w:name="_Hlk88327292"/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jc w:val="both"/>
        <w:rPr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  <w:t>5.2.   Дополнительные документы по ценообразованию</w:t>
      </w:r>
      <w:bookmarkEnd w:id="29"/>
      <w:r>
        <w:rPr>
          <w:rFonts w:eastAsia="Calibri"/>
          <w:sz w:val="24"/>
          <w:szCs w:val="24"/>
          <w:shd w:fill="FFFFFF" w:val="clear"/>
        </w:rPr>
        <w:t xml:space="preserve"> в состав заявки не включаются.</w:t>
      </w:r>
    </w:p>
    <w:p>
      <w:pPr>
        <w:pStyle w:val="Normal"/>
        <w:jc w:val="both"/>
        <w:rPr>
          <w:rFonts w:eastAsia="Calibri"/>
          <w:sz w:val="24"/>
          <w:szCs w:val="24"/>
          <w:highlight w:val="none"/>
          <w:shd w:fill="FFFFFF" w:val="clear"/>
        </w:rPr>
      </w:pPr>
      <w:r>
        <w:rPr>
          <w:rFonts w:eastAsia="Calibri"/>
          <w:sz w:val="24"/>
          <w:szCs w:val="24"/>
          <w:shd w:fill="FFFFFF" w:val="clear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spacing w:before="60" w:after="0"/>
        <w:jc w:val="both"/>
        <w:rPr>
          <w:highlight w:val="none"/>
          <w:shd w:fill="FFFFFF" w:val="clear"/>
        </w:rPr>
      </w:pPr>
      <w:r>
        <w:rPr>
          <w:rFonts w:eastAsia="Calibri"/>
          <w:b w:val="false"/>
          <w:bCs w:val="false"/>
          <w:color w:val="000000"/>
          <w:sz w:val="24"/>
          <w:szCs w:val="24"/>
          <w:shd w:fill="FFFFFF" w:val="clear"/>
        </w:rPr>
        <w:t>5.3.   Стоимость за единицу продукции (товара) должна включать в себя погрузку, транспортировку товара до места поставки, подлежащие уплате налоги, сборы и пошлины и прочие затраты, и расходы поставщика, связанные с поставкой товара, предусмотренные Проектом договора (Приложение к Документации о закупке).</w:t>
      </w:r>
    </w:p>
    <w:p>
      <w:pPr>
        <w:pStyle w:val="Normal"/>
        <w:rPr>
          <w:highlight w:val="none"/>
          <w:shd w:fill="auto" w:val="clear"/>
        </w:rPr>
      </w:pPr>
      <w:r>
        <w:rPr>
          <w:shd w:fill="auto" w:val="clear"/>
          <w:lang w:val="en-US"/>
        </w:rPr>
        <w:t xml:space="preserve">    </w:t>
      </w:r>
    </w:p>
    <w:p>
      <w:pPr>
        <w:pStyle w:val="Normal"/>
        <w:jc w:val="right"/>
        <w:rPr>
          <w:bCs/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№1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spacing w:before="0" w:after="120"/>
        <w:jc w:val="both"/>
        <w:rPr>
          <w:sz w:val="22"/>
          <w:szCs w:val="22"/>
        </w:rPr>
      </w:pPr>
      <w:r>
        <w:rPr>
          <w:rFonts w:eastAsia="Calibri"/>
          <w:b/>
          <w:bCs/>
          <w:sz w:val="22"/>
          <w:szCs w:val="22"/>
        </w:rPr>
        <w:t>Таблица 3.1. Требования к продукции (индивидуальные требования по каждой позиции перечня продукции)</w:t>
      </w:r>
    </w:p>
    <w:p>
      <w:pPr>
        <w:pStyle w:val="Normal"/>
        <w:spacing w:before="0" w:after="120"/>
        <w:ind w:right="397" w:hanging="0"/>
        <w:jc w:val="both"/>
        <w:rPr>
          <w:b/>
          <w:bCs/>
          <w:i/>
          <w:i/>
          <w:iCs/>
          <w:sz w:val="22"/>
          <w:szCs w:val="22"/>
        </w:rPr>
      </w:pPr>
      <w:r>
        <w:rPr>
          <w:b/>
          <w:bCs/>
          <w:sz w:val="22"/>
          <w:szCs w:val="22"/>
        </w:rPr>
        <w:t xml:space="preserve">Наименование продукции: </w:t>
      </w:r>
      <w:r>
        <w:rPr>
          <w:i/>
          <w:iCs/>
          <w:sz w:val="22"/>
          <w:szCs w:val="22"/>
        </w:rPr>
        <w:t xml:space="preserve"> «ОКПД2 28.</w:t>
      </w:r>
      <w:r>
        <w:rPr>
          <w:i/>
          <w:iCs/>
          <w:sz w:val="22"/>
          <w:szCs w:val="22"/>
        </w:rPr>
        <w:t xml:space="preserve">13.26.000 </w:t>
      </w:r>
      <w:r>
        <w:rPr>
          <w:i/>
          <w:iCs/>
          <w:sz w:val="22"/>
          <w:szCs w:val="22"/>
        </w:rPr>
        <w:t>Поставка компрессоров  дизель-генераторов для нужд филиалов АО «Сахаэнерго»</w:t>
      </w:r>
    </w:p>
    <w:tbl>
      <w:tblPr>
        <w:tblStyle w:val="1e"/>
        <w:tblW w:w="15408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845"/>
        <w:gridCol w:w="2946"/>
        <w:gridCol w:w="3627"/>
        <w:gridCol w:w="2764"/>
        <w:gridCol w:w="2716"/>
        <w:gridCol w:w="2510"/>
      </w:tblGrid>
      <w:tr>
        <w:trPr>
          <w:trHeight w:val="311" w:hRule="atLeast"/>
        </w:trPr>
        <w:tc>
          <w:tcPr>
            <w:tcW w:w="84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 xml:space="preserve">№ </w:t>
            </w: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п/п</w:t>
            </w:r>
          </w:p>
        </w:tc>
        <w:tc>
          <w:tcPr>
            <w:tcW w:w="294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Требование заказчика</w:t>
            </w:r>
          </w:p>
        </w:tc>
        <w:tc>
          <w:tcPr>
            <w:tcW w:w="5480" w:type="dxa"/>
            <w:gridSpan w:val="2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  <w:tc>
          <w:tcPr>
            <w:tcW w:w="2510" w:type="dxa"/>
            <w:vMerge w:val="restart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726" w:hRule="atLeast"/>
        </w:trPr>
        <w:tc>
          <w:tcPr>
            <w:tcW w:w="84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94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3627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kern w:val="0"/>
                <w:sz w:val="22"/>
                <w:szCs w:val="22"/>
                <w:lang w:val="ru-RU" w:eastAsia="en-US" w:bidi="ar-SA"/>
              </w:rPr>
              <w:t>Технические и функциональные характеристики</w:t>
            </w:r>
          </w:p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(параметры эквивалентности)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kern w:val="0"/>
                <w:sz w:val="22"/>
                <w:szCs w:val="22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  <w:tc>
          <w:tcPr>
            <w:tcW w:w="2510" w:type="dxa"/>
            <w:vMerge w:val="continue"/>
            <w:tcBorders/>
          </w:tcPr>
          <w:p>
            <w:pPr>
              <w:pStyle w:val="Normal"/>
              <w:widowControl w:val="false"/>
              <w:spacing w:before="0" w:after="0"/>
              <w:jc w:val="left"/>
              <w:rPr>
                <w:rFonts w:ascii="Times New Roman" w:hAnsi="Times New Roman"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b/>
                <w:bCs/>
                <w:sz w:val="22"/>
                <w:szCs w:val="22"/>
              </w:rPr>
            </w:r>
          </w:p>
        </w:tc>
      </w:tr>
      <w:tr>
        <w:trPr>
          <w:trHeight w:val="223" w:hRule="atLeast"/>
        </w:trPr>
        <w:tc>
          <w:tcPr>
            <w:tcW w:w="84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1</w:t>
            </w:r>
          </w:p>
        </w:tc>
        <w:tc>
          <w:tcPr>
            <w:tcW w:w="294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2</w:t>
            </w:r>
          </w:p>
        </w:tc>
        <w:tc>
          <w:tcPr>
            <w:tcW w:w="3627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kern w:val="0"/>
                <w:sz w:val="22"/>
                <w:szCs w:val="22"/>
                <w:lang w:val="en-US" w:eastAsia="en-US" w:bidi="ar-SA"/>
              </w:rPr>
              <w:t>3</w:t>
            </w:r>
          </w:p>
        </w:tc>
        <w:tc>
          <w:tcPr>
            <w:tcW w:w="276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4</w:t>
            </w:r>
          </w:p>
        </w:tc>
        <w:tc>
          <w:tcPr>
            <w:tcW w:w="2716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5</w:t>
            </w:r>
          </w:p>
        </w:tc>
        <w:tc>
          <w:tcPr>
            <w:tcW w:w="2510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/>
                <w:b/>
                <w:bCs/>
                <w:kern w:val="0"/>
                <w:sz w:val="22"/>
                <w:szCs w:val="22"/>
                <w:lang w:val="en-US" w:eastAsia="en-US" w:bidi="ar-SA"/>
              </w:rPr>
              <w:t>6</w:t>
            </w:r>
          </w:p>
        </w:tc>
      </w:tr>
      <w:tr>
        <w:trPr/>
        <w:tc>
          <w:tcPr>
            <w:tcW w:w="845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ind w:left="340" w:hanging="170"/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Calibri" w:ascii="Times New Roman" w:hAnsi="Times New Roman" w:cstheme="minorHAnsi" w:eastAsiaTheme="minorHAnsi"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94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Компрессор поршневой масляный ременной электрический 2200Вт  СБ4/С-100.LB30 A 21688</w:t>
            </w:r>
          </w:p>
        </w:tc>
        <w:tc>
          <w:tcPr>
            <w:tcW w:w="3627" w:type="dxa"/>
            <w:tcBorders>
              <w:top w:val="single" w:sz="6" w:space="0" w:color="000000"/>
              <w:left w:val="single" w:sz="6" w:space="0" w:color="000000"/>
              <w:right w:val="nil"/>
            </w:tcBorders>
          </w:tcPr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Напряжение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220 В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Рабочее давление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 бар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Число оборотов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1200 об/мин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Диаметр соединения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1/4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Производительность на входе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420 л/мин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Производительность на выходе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315 л/мин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Объем ресивера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100 л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Тип компрессора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поршневой ременной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Мощность (кВт)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2.2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Мощность (л.с.)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3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Транспортировочные колеса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Тип смазки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масляный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Тип соединения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рапид (EURO)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Класс товара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Профессиональный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Количество выходов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Тип двигателя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электрический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Форма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горизонтальный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Частота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50 Гц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Цилиндры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2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Ступени</w:t>
            </w:r>
          </w:p>
          <w:p>
            <w:pPr>
              <w:pStyle w:val="Style37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1</w:t>
            </w:r>
          </w:p>
        </w:tc>
        <w:tc>
          <w:tcPr>
            <w:tcW w:w="2764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Style37"/>
              <w:widowControl w:val="false"/>
              <w:tabs>
                <w:tab w:val="clear" w:pos="708"/>
                <w:tab w:val="left" w:pos="3225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lang w:val="ru-RU" w:eastAsia="en-US" w:bidi="ar-SA"/>
              </w:rPr>
              <w:t>Способ подтверждения: указание наименования продукции, товарной марки (в случае наличия), модели (в случае наличия) которая идентифицирует продукцию производителя или продавца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название каталога производителя на предлагаемую продукцию и предоставить в составе заявки данный каталог.</w:t>
            </w:r>
          </w:p>
        </w:tc>
        <w:tc>
          <w:tcPr>
            <w:tcW w:w="25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3225" w:leader="none"/>
              </w:tabs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eastAsia="Calibri" w:cs="Arial" w:ascii="Times New Roman" w:hAnsi="Times New Roman"/>
                <w:i/>
                <w:iCs/>
                <w:color w:val="000000"/>
                <w:kern w:val="0"/>
                <w:sz w:val="22"/>
                <w:szCs w:val="22"/>
                <w:highlight w:val="white"/>
                <w:lang w:val="ru-RU" w:eastAsia="en-US" w:bidi="ar-SA"/>
              </w:rPr>
              <w:t>В случае предложения эквивалента указать технические характеристики производителя на предлагаемую продукцию</w:t>
            </w:r>
          </w:p>
        </w:tc>
      </w:tr>
    </w:tbl>
    <w:p>
      <w:pPr>
        <w:pStyle w:val="Normal"/>
        <w:spacing w:before="0" w:after="120"/>
        <w:ind w:right="397" w:hanging="0"/>
        <w:jc w:val="both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center"/>
        <w:rPr>
          <w:sz w:val="22"/>
          <w:szCs w:val="22"/>
        </w:rPr>
      </w:pPr>
      <w:r>
        <w:rPr/>
      </w:r>
    </w:p>
    <w:sectPr>
      <w:headerReference w:type="default" r:id="rId5"/>
      <w:headerReference w:type="first" r:id="rId6"/>
      <w:type w:val="nextPage"/>
      <w:pgSz w:orient="landscape" w:w="16838" w:h="11906"/>
      <w:pgMar w:left="992" w:right="1134" w:gutter="0" w:header="680" w:top="1134" w:footer="0" w:bottom="851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 wp14:anchorId="23F1C766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 wp14:anchorId="23F1C766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pPr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tabs>
        <w:tab w:val="clear" w:pos="708"/>
        <w:tab w:val="left" w:pos="0" w:leader="none"/>
      </w:tabs>
      <w:spacing w:before="120" w:after="60"/>
      <w:ind w:left="1224" w:hanging="504"/>
      <w:outlineLvl w:val="2"/>
    </w:pPr>
    <w:rPr>
      <w:rFonts w:eastAsia="Calibri"/>
      <w:b/>
      <w:sz w:val="24"/>
      <w:szCs w:val="24"/>
    </w:rPr>
  </w:style>
  <w:style w:type="paragraph" w:styleId="Heading4">
    <w:name w:val="Heading 4"/>
    <w:basedOn w:val="Heading3"/>
    <w:next w:val="Normal"/>
    <w:link w:val="4"/>
    <w:qFormat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Heading7">
    <w:name w:val="Heading 7"/>
    <w:basedOn w:val="Normal"/>
    <w:next w:val="Normal"/>
    <w:link w:val="7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Heading8">
    <w:name w:val="Heading 8"/>
    <w:basedOn w:val="Normal"/>
    <w:next w:val="Normal"/>
    <w:link w:val="8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color w:val="2F5496" w:themeColor="accent1" w:themeShade="bf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Style" w:customStyle="1">
    <w:name w:val="Заголовок Знак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 w:customStyle="1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 w:customStyle="1">
    <w:name w:val="Quote Char"/>
    <w:basedOn w:val="DefaultParagraphFont"/>
    <w:uiPriority w:val="29"/>
    <w:qFormat/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uiPriority w:val="30"/>
    <w:qFormat/>
    <w:rPr>
      <w:i/>
      <w:iCs/>
      <w:color w:val="2F5496" w:themeColor="accent1" w:themeShade="bf"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Style1" w:customStyle="1">
    <w:name w:val="Нижний колонтитул Знак"/>
    <w:basedOn w:val="DefaultParagraphFont"/>
    <w:uiPriority w:val="99"/>
    <w:qFormat/>
    <w:rPr/>
  </w:style>
  <w:style w:type="character" w:styleId="FootnoteTextChar" w:customStyle="1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EndnoteTextChar" w:customStyle="1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Style2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uiPriority w:val="99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" w:customStyle="1">
    <w:name w:val="Заголовок 6 Знак"/>
    <w:uiPriority w:val="9"/>
    <w:qFormat/>
    <w:rPr>
      <w:rFonts w:ascii="Cambria" w:hAnsi="Cambria"/>
      <w:i/>
      <w:iCs/>
      <w:color w:val="243F60"/>
    </w:rPr>
  </w:style>
  <w:style w:type="character" w:styleId="7" w:customStyle="1">
    <w:name w:val="Заголовок 7 Знак"/>
    <w:uiPriority w:val="9"/>
    <w:qFormat/>
    <w:rPr>
      <w:rFonts w:ascii="Cambria" w:hAnsi="Cambria"/>
      <w:i/>
      <w:iCs/>
      <w:color w:val="404040"/>
    </w:rPr>
  </w:style>
  <w:style w:type="character" w:styleId="8" w:customStyle="1">
    <w:name w:val="Заголовок 8 Знак"/>
    <w:uiPriority w:val="9"/>
    <w:qFormat/>
    <w:rPr>
      <w:rFonts w:ascii="Cambria" w:hAnsi="Cambria"/>
      <w:color w:val="4F81BD"/>
    </w:rPr>
  </w:style>
  <w:style w:type="character" w:styleId="1" w:customStyle="1">
    <w:name w:val="Заголовок 1 Знак"/>
    <w:qFormat/>
    <w:rPr>
      <w:rFonts w:eastAsia="Calibri"/>
      <w:b/>
      <w:sz w:val="28"/>
      <w:szCs w:val="28"/>
    </w:rPr>
  </w:style>
  <w:style w:type="character" w:styleId="2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" w:customStyle="1">
    <w:name w:val="Заголовок 3 Знак"/>
    <w:qFormat/>
    <w:rPr>
      <w:rFonts w:eastAsia="Calibri"/>
      <w:b/>
      <w:sz w:val="24"/>
      <w:szCs w:val="24"/>
    </w:rPr>
  </w:style>
  <w:style w:type="character" w:styleId="4" w:customStyle="1">
    <w:name w:val="Заголовок 4 Знак"/>
    <w:qFormat/>
    <w:rPr>
      <w:rFonts w:eastAsia="Calibri"/>
      <w:b/>
      <w:bCs/>
      <w:sz w:val="24"/>
      <w:szCs w:val="24"/>
    </w:rPr>
  </w:style>
  <w:style w:type="character" w:styleId="5" w:customStyle="1">
    <w:name w:val="Заголовок 5 Знак"/>
    <w:uiPriority w:val="9"/>
    <w:qFormat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Pr>
      <w:rFonts w:ascii="Arial" w:hAnsi="Arial" w:cs="Arial"/>
      <w:sz w:val="22"/>
      <w:szCs w:val="22"/>
    </w:rPr>
  </w:style>
  <w:style w:type="character" w:styleId="Style3" w:customStyle="1">
    <w:name w:val="Название Знак"/>
    <w:link w:val="16"/>
    <w:uiPriority w:val="10"/>
    <w:qFormat/>
    <w:rPr>
      <w:sz w:val="28"/>
    </w:rPr>
  </w:style>
  <w:style w:type="character" w:styleId="Style4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Emphasis">
    <w:name w:val="Emphasis"/>
    <w:uiPriority w:val="20"/>
    <w:qFormat/>
    <w:rPr>
      <w:i/>
      <w:iCs/>
    </w:rPr>
  </w:style>
  <w:style w:type="character" w:styleId="21" w:customStyle="1">
    <w:name w:val="Цитата 2 Знак"/>
    <w:link w:val="Quote"/>
    <w:uiPriority w:val="29"/>
    <w:qFormat/>
    <w:rPr>
      <w:rFonts w:ascii="Calibri" w:hAnsi="Calibri" w:eastAsia="Calibri"/>
      <w:i/>
      <w:iCs/>
      <w:color w:val="000000"/>
    </w:rPr>
  </w:style>
  <w:style w:type="character" w:styleId="Style5" w:customStyle="1">
    <w:name w:val="Выделенная цитата Знак"/>
    <w:link w:val="IntenseQuote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6" w:customStyle="1">
    <w:name w:val="Электронная подпись Знак"/>
    <w:link w:val="E-mailSignature"/>
    <w:uiPriority w:val="99"/>
    <w:qFormat/>
    <w:rPr>
      <w:rFonts w:eastAsia="Calibri"/>
      <w:sz w:val="24"/>
      <w:szCs w:val="24"/>
    </w:rPr>
  </w:style>
  <w:style w:type="character" w:styleId="11" w:customStyle="1">
    <w:name w:val="Подпункт Знак1"/>
    <w:link w:val="Style24"/>
    <w:qFormat/>
    <w:rPr>
      <w:sz w:val="28"/>
    </w:rPr>
  </w:style>
  <w:style w:type="character" w:styleId="Style7" w:customStyle="1">
    <w:name w:val="Текст сноски Знак"/>
    <w:uiPriority w:val="99"/>
    <w:qFormat/>
    <w:rPr/>
  </w:style>
  <w:style w:type="character" w:styleId="Style8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9" w:customStyle="1">
    <w:name w:val="Абзац списка Знак"/>
    <w:link w:val="ListParagraph"/>
    <w:uiPriority w:val="34"/>
    <w:qFormat/>
    <w:rPr>
      <w:rFonts w:eastAsia="Calibri"/>
      <w:sz w:val="24"/>
      <w:szCs w:val="24"/>
    </w:rPr>
  </w:style>
  <w:style w:type="character" w:styleId="Style10" w:customStyle="1">
    <w:name w:val="комментарий"/>
    <w:qFormat/>
    <w:rPr>
      <w:b/>
      <w:i/>
      <w:shd w:fill="FFFF99" w:val="clear"/>
    </w:rPr>
  </w:style>
  <w:style w:type="character" w:styleId="Style11" w:customStyle="1">
    <w:name w:val="Подподпункт Знак"/>
    <w:link w:val="Style32"/>
    <w:qFormat/>
    <w:rPr>
      <w:sz w:val="26"/>
      <w:szCs w:val="26"/>
    </w:rPr>
  </w:style>
  <w:style w:type="character" w:styleId="31" w:customStyle="1">
    <w:name w:val="УРОВЕНЬ_Абзац_тип3 Знак"/>
    <w:link w:val="36"/>
    <w:qFormat/>
    <w:rPr>
      <w:rFonts w:eastAsia="Calibri"/>
      <w:sz w:val="26"/>
      <w:szCs w:val="28"/>
      <w:lang w:eastAsia="en-US"/>
    </w:rPr>
  </w:style>
  <w:style w:type="character" w:styleId="Style12" w:customStyle="1">
    <w:name w:val="Верхний колонтитул Знак"/>
    <w:uiPriority w:val="99"/>
    <w:qFormat/>
    <w:rPr>
      <w:sz w:val="24"/>
      <w:szCs w:val="24"/>
    </w:rPr>
  </w:style>
  <w:style w:type="character" w:styleId="Style13" w:customStyle="1">
    <w:name w:val="Текст примечания Знак"/>
    <w:link w:val="Annotationtext"/>
    <w:semiHidden/>
    <w:qFormat/>
    <w:rPr/>
  </w:style>
  <w:style w:type="character" w:styleId="Style14" w:customStyle="1">
    <w:name w:val="Текст концевой сноски Знак"/>
    <w:basedOn w:val="DefaultParagraphFont"/>
    <w:qFormat/>
    <w:rPr/>
  </w:style>
  <w:style w:type="character" w:styleId="Style15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22" w:customStyle="1">
    <w:name w:val="Пункт2 Знак"/>
    <w:link w:val="24"/>
    <w:qFormat/>
    <w:rPr>
      <w:b/>
      <w:sz w:val="28"/>
    </w:rPr>
  </w:style>
  <w:style w:type="character" w:styleId="12" w:customStyle="1">
    <w:name w:val="УРОВЕНЬ_1. Знак"/>
    <w:qFormat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Pr>
      <w:sz w:val="16"/>
      <w:szCs w:val="16"/>
    </w:rPr>
  </w:style>
  <w:style w:type="character" w:styleId="Style16" w:customStyle="1">
    <w:name w:val="Ссылка указателя"/>
    <w:qFormat/>
    <w:rPr/>
  </w:style>
  <w:style w:type="character" w:styleId="Style17" w:customStyle="1">
    <w:name w:val="Символ нумерации"/>
    <w:qFormat/>
    <w:rPr/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BodyText">
    <w:name w:val="Body Text"/>
    <w:basedOn w:val="Normal"/>
    <w:link w:val="Style8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Lohit Devanagari"/>
    </w:rPr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14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14"/>
    <w:qFormat/>
    <w:pPr/>
    <w:rPr/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Title">
    <w:name w:val="Title"/>
    <w:basedOn w:val="Normal"/>
    <w:next w:val="Normal"/>
    <w:link w:val="Style"/>
    <w:uiPriority w:val="10"/>
    <w:qFormat/>
    <w:pPr>
      <w:spacing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Indexheading1111" w:customStyle="1">
    <w:name w:val="index heading1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Style20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21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22" w:customStyle="1">
    <w:name w:val="Подраздел раздела положения"/>
    <w:basedOn w:val="Normal"/>
    <w:qFormat/>
    <w:pPr>
      <w:tabs>
        <w:tab w:val="clear" w:pos="708"/>
        <w:tab w:val="left" w:pos="357" w:leader="none"/>
      </w:tabs>
      <w:spacing w:before="80" w:after="80"/>
      <w:jc w:val="both"/>
    </w:pPr>
    <w:rPr/>
  </w:style>
  <w:style w:type="paragraph" w:styleId="FootnoteText">
    <w:name w:val="Footnote Text"/>
    <w:basedOn w:val="Normal"/>
    <w:link w:val="Style7"/>
    <w:uiPriority w:val="99"/>
    <w:pPr/>
    <w:rPr>
      <w:sz w:val="20"/>
      <w:szCs w:val="20"/>
    </w:rPr>
  </w:style>
  <w:style w:type="paragraph" w:styleId="15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3"/>
    <w:uiPriority w:val="10"/>
    <w:qFormat/>
    <w:pPr>
      <w:jc w:val="center"/>
    </w:pPr>
    <w:rPr>
      <w:szCs w:val="20"/>
    </w:rPr>
  </w:style>
  <w:style w:type="paragraph" w:styleId="Style2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2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pPr>
      <w:ind w:left="360" w:hanging="0"/>
    </w:pPr>
    <w:rPr>
      <w:sz w:val="24"/>
      <w:szCs w:val="24"/>
    </w:rPr>
  </w:style>
  <w:style w:type="paragraph" w:styleId="Footer">
    <w:name w:val="Footer"/>
    <w:basedOn w:val="Normal"/>
    <w:link w:val="Style1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4" w:customStyle="1">
    <w:name w:val="Подпункт"/>
    <w:basedOn w:val="Normal"/>
    <w:link w:val="11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Пункт2"/>
    <w:basedOn w:val="Normal"/>
    <w:link w:val="22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25" w:customStyle="1">
    <w:name w:val="Раздел регламента"/>
    <w:basedOn w:val="Normal"/>
    <w:qFormat/>
    <w:pPr/>
    <w:rPr/>
  </w:style>
  <w:style w:type="paragraph" w:styleId="Style26" w:customStyle="1">
    <w:name w:val="Приложение к регламенту"/>
    <w:basedOn w:val="Normal"/>
    <w:qFormat/>
    <w:pPr>
      <w:jc w:val="right"/>
    </w:pPr>
    <w:rPr/>
  </w:style>
  <w:style w:type="paragraph" w:styleId="TOC2">
    <w:name w:val="TOC 2"/>
    <w:basedOn w:val="Normal"/>
    <w:next w:val="Normal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3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pPr>
      <w:pageBreakBefore/>
      <w:jc w:val="both"/>
      <w:outlineLvl w:val="0"/>
    </w:pPr>
    <w:rPr>
      <w:b/>
    </w:rPr>
  </w:style>
  <w:style w:type="paragraph" w:styleId="Style27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111" w:customStyle="1">
    <w:name w:val="caption111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4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link w:val="Style9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link w:val="Style5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IndexHeading">
    <w:name w:val="Index Heading"/>
    <w:basedOn w:val="Style18"/>
    <w:pPr/>
    <w:rPr/>
  </w:style>
  <w:style w:type="paragraph" w:styleId="TOCHeading">
    <w:name w:val="TOC Heading"/>
    <w:basedOn w:val="Heading1"/>
    <w:next w:val="Normal"/>
    <w:uiPriority w:val="39"/>
    <w:qFormat/>
    <w:pPr>
      <w:keepLines/>
      <w:spacing w:before="480" w:after="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6"/>
    <w:uiPriority w:val="99"/>
    <w:unhideWhenUsed/>
    <w:qFormat/>
    <w:pPr/>
    <w:rPr>
      <w:rFonts w:eastAsia="Calibri"/>
      <w:sz w:val="24"/>
      <w:szCs w:val="24"/>
    </w:rPr>
  </w:style>
  <w:style w:type="paragraph" w:styleId="Style28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pPr>
      <w:tabs>
        <w:tab w:val="clear" w:pos="708"/>
        <w:tab w:val="left" w:pos="1233" w:leader="none"/>
      </w:tabs>
      <w:ind w:left="1233" w:hanging="360"/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pPr>
      <w:tabs>
        <w:tab w:val="clear" w:pos="708"/>
        <w:tab w:val="left" w:pos="513" w:leader="none"/>
      </w:tabs>
      <w:spacing w:before="120" w:after="0"/>
      <w:ind w:left="513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Lohit Devanagari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9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30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31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32" w:customStyle="1">
    <w:name w:val="Подподпункт"/>
    <w:basedOn w:val="Style24"/>
    <w:link w:val="Style1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33" w:customStyle="1">
    <w:name w:val="УРОВЕНЬ_(а)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985" w:hanging="567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2268" w:hanging="567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701" w:hanging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pPr>
      <w:tabs>
        <w:tab w:val="clear" w:pos="708"/>
        <w:tab w:val="left" w:pos="0" w:leader="none"/>
      </w:tabs>
      <w:spacing w:lineRule="exact" w:line="360" w:before="120" w:after="0"/>
      <w:ind w:left="0" w:hanging="0"/>
      <w:contextualSpacing w:val="false"/>
      <w:jc w:val="both"/>
    </w:pPr>
    <w:rPr>
      <w:sz w:val="26"/>
      <w:szCs w:val="28"/>
      <w:lang w:eastAsia="en-US"/>
    </w:rPr>
  </w:style>
  <w:style w:type="paragraph" w:styleId="Style34" w:customStyle="1">
    <w:name w:val="УРОВЕНЬ_Подпись"/>
    <w:basedOn w:val="ListParagraph"/>
    <w:qFormat/>
    <w:pPr>
      <w:keepNext w:val="true"/>
      <w:tabs>
        <w:tab w:val="clear" w:pos="708"/>
        <w:tab w:val="left" w:pos="0" w:leader="none"/>
      </w:tabs>
      <w:spacing w:lineRule="exact" w:line="360" w:before="120" w:after="120"/>
      <w:ind w:left="1134" w:hanging="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EndnoteText">
    <w:name w:val="Endnote Text"/>
    <w:basedOn w:val="Normal"/>
    <w:link w:val="Style14"/>
    <w:pPr/>
    <w:rPr>
      <w:sz w:val="20"/>
      <w:szCs w:val="20"/>
    </w:rPr>
  </w:style>
  <w:style w:type="paragraph" w:styleId="28" w:customStyle="1">
    <w:name w:val="Заголовок 2 КВВ"/>
    <w:basedOn w:val="Normal"/>
    <w:qFormat/>
    <w:pPr>
      <w:keepNext w:val="true"/>
      <w:tabs>
        <w:tab w:val="clear" w:pos="708"/>
        <w:tab w:val="left" w:pos="0" w:leader="none"/>
      </w:tabs>
      <w:spacing w:before="120" w:after="120"/>
      <w:ind w:left="1429" w:hanging="360"/>
      <w:jc w:val="both"/>
      <w:outlineLvl w:val="0"/>
    </w:pPr>
    <w:rPr>
      <w:b/>
      <w:sz w:val="24"/>
      <w:szCs w:val="20"/>
    </w:rPr>
  </w:style>
  <w:style w:type="paragraph" w:styleId="Style3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9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36" w:customStyle="1">
    <w:name w:val="Содержимое врезки"/>
    <w:basedOn w:val="Normal"/>
    <w:qFormat/>
    <w:pPr/>
    <w:rPr/>
  </w:style>
  <w:style w:type="paragraph" w:styleId="Style3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8" w:customStyle="1">
    <w:name w:val="Заголовок таблицы"/>
    <w:basedOn w:val="Style37"/>
    <w:qFormat/>
    <w:pPr>
      <w:jc w:val="center"/>
    </w:pPr>
    <w:rPr>
      <w:b/>
      <w:bCs/>
    </w:rPr>
  </w:style>
  <w:style w:type="paragraph" w:styleId="Main14" w:customStyle="1">
    <w:name w:val="Main 14"/>
    <w:basedOn w:val="Caption1"/>
    <w:qFormat/>
    <w:pPr>
      <w:spacing w:lineRule="auto" w:line="312" w:before="60" w:after="0"/>
      <w:ind w:firstLine="709"/>
      <w:jc w:val="both"/>
    </w:pPr>
    <w:rPr>
      <w:rFonts w:eastAsia="Batang" w:cs="Times New Roman"/>
      <w:i w:val="false"/>
      <w:iCs w:val="false"/>
      <w:sz w:val="28"/>
      <w:szCs w:val="28"/>
      <w:lang w:eastAsia="ko-KR"/>
    </w:rPr>
  </w:style>
  <w:style w:type="numbering" w:styleId="NoList" w:default="1">
    <w:name w:val="No List"/>
    <w:uiPriority w:val="99"/>
    <w:semiHidden/>
    <w:unhideWhenUsed/>
    <w:qFormat/>
  </w:style>
  <w:style w:type="numbering" w:styleId="110" w:customStyle="1">
    <w:name w:val="Стиль1"/>
    <w:uiPriority w:val="99"/>
    <w:qFormat/>
  </w:style>
  <w:style w:type="numbering" w:styleId="29" w:customStyle="1">
    <w:name w:val="Стиль2"/>
    <w:uiPriority w:val="99"/>
    <w:qFormat/>
  </w:style>
  <w:style w:type="numbering" w:styleId="12706396451" w:customStyle="1">
    <w:name w:val="12706396451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1d">
    <w:name w:val="Plain Table 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FFFFF" w:fill="FFFFFF" w:themeFill="text1" w:themeFillTint="0"/>
      </w:tcPr>
    </w:tblStylePr>
    <w:tblStylePr w:type="band1Horz">
      <w:tblPr/>
      <w:tcPr>
        <w:shd w:val="clear" w:color="FFFFFF" w:fill="FFFFFF" w:themeFill="text1" w:themeFillTint="0"/>
      </w:tcPr>
    </w:tblStylePr>
  </w:style>
  <w:style w:type="table" w:styleId="2e">
    <w:name w:val="Plain Table 2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a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FFFFF" w:fill="FFFFFF" w:themeFill="text1" w:themeFillTint="0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FFFFF" w:themeFill="text1" w:themeFillTint="0"/>
      </w:tcPr>
    </w:tblStylePr>
    <w:tblStylePr w:type="band1Horz">
      <w:tblPr/>
      <w:tcPr>
        <w:shd w:val="clear" w:color="F2F2F2" w:fill="FFFFFF" w:themeFill="text1" w:themeFillTint="0"/>
      </w:tcPr>
    </w:tblStylePr>
  </w:style>
  <w:style w:type="table" w:customStyle="1" w:styleId="210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2F2F2" w:fill="FFFFFF" w:themeFill="text1" w:themeFillTint="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FFFFF" w:themeFill="text1" w:themeFillTint="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000000" w:themeColor="tex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0" w:space="0"/>
          <w:left w:val="single" w:color="000000" w:themeColor="tex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4472C4" w:themeColor="accent1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0" w:space="0"/>
          <w:left w:val="single" w:color="4472C4" w:themeColor="accent1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ED7D31" w:themeColor="accent2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0" w:space="0"/>
          <w:left w:val="single" w:color="ED7D31" w:themeColor="accent2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A5A5A5" w:themeColor="accent3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0" w:space="0"/>
          <w:left w:val="single" w:color="A5A5A5" w:themeColor="accent3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FFC000" w:themeColor="accent4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0" w:space="0"/>
          <w:left w:val="single" w:color="FFC000" w:themeColor="accent4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5B9BD5" w:themeColor="accent5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0" w:space="0"/>
          <w:left w:val="single" w:color="5B9BD5" w:themeColor="accent5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single" w:color="70AD47" w:themeColor="accent6" w:sz="4" w:space="0"/>
          <w:right w:val="none" w:color="000000" w:sz="0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0" w:space="0"/>
          <w:bottom w:val="none" w:color="000000" w:sz="0" w:space="0"/>
          <w:right w:val="none" w:color="000000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0" w:space="0"/>
          <w:left w:val="single" w:color="70AD47" w:themeColor="accent6" w:sz="4" w:space="0"/>
          <w:bottom w:val="none" w:color="000000" w:sz="0" w:space="0"/>
          <w:right w:val="none" w:color="000000" w:sz="0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FFFFF" w:themeFill="text1" w:themeFillTint="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FFFFF" w:themeFill="text1" w:themeFillTint="0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c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0D569-44A1-4924-87C9-8DC3E9665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Application>AlterOffice/3.4.0.8$Linux_X86_64 LibreOffice_project/8f3f3c847f0b8d6fea24e251d3d8ed4f23cbe23c</Application>
  <AppVersion>15.0000</AppVersion>
  <Pages>9</Pages>
  <Words>1150</Words>
  <Characters>7943</Characters>
  <CharactersWithSpaces>8952</CharactersWithSpaces>
  <Paragraphs>230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2024-10-15T02:43:00Z</dcterms:created>
  <dc:creator>Быстров Олег Геннадьевич</dc:creator>
  <dc:description/>
  <dc:language>ru-RU</dc:language>
  <cp:lastModifiedBy>vinokurovav@sed.local</cp:lastModifiedBy>
  <dcterms:modified xsi:type="dcterms:W3CDTF">2026-09-10T09:28:38Z</dcterms:modified>
  <cp:revision>87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