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spacing w:before="120" w:after="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tabs>
          <w:tab w:val="clear" w:pos="708"/>
          <w:tab w:val="left" w:pos="3728" w:leader="none"/>
        </w:tabs>
        <w:rPr>
          <w:sz w:val="26"/>
          <w:szCs w:val="26"/>
        </w:rPr>
      </w:pPr>
      <w:r>
        <w:rPr/>
        <w:tab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bCs/>
        </w:rPr>
      </w:pPr>
      <w:r>
        <w:rPr>
          <w:rFonts w:eastAsia="Calibri"/>
          <w:b/>
          <w:bCs/>
          <w:sz w:val="26"/>
          <w:szCs w:val="26"/>
        </w:rPr>
        <w:tab/>
        <w:t xml:space="preserve">ОКПД2 </w:t>
      </w:r>
      <w:r>
        <w:rPr>
          <w:rFonts w:eastAsia="Calibri"/>
          <w:b/>
          <w:bCs/>
          <w:sz w:val="26"/>
          <w:szCs w:val="26"/>
        </w:rPr>
        <w:t>25.93.11.140</w:t>
      </w:r>
      <w:r>
        <w:rPr>
          <w:rFonts w:eastAsia="Calibri"/>
          <w:b/>
          <w:bCs/>
          <w:sz w:val="26"/>
          <w:szCs w:val="26"/>
        </w:rPr>
        <w:t xml:space="preserve"> Поставка </w:t>
      </w:r>
      <w:r>
        <w:rPr>
          <w:rFonts w:eastAsia="Calibri"/>
          <w:b/>
          <w:bCs/>
          <w:sz w:val="26"/>
          <w:szCs w:val="26"/>
        </w:rPr>
        <w:t>строп, тали и лебедки для ДЭС с. Алеко-кюель среднеколымского РЭС и ДЭС с Сиктях Булунских ЭС</w:t>
      </w:r>
      <w:r>
        <w:rPr>
          <w:rFonts w:eastAsia="Calibri"/>
          <w:b/>
          <w:bCs/>
          <w:sz w:val="26"/>
          <w:szCs w:val="26"/>
        </w:rPr>
        <w:t>"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-РЕМ ПРОД-2027-СахаЭ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6"/>
              <w:sz w:val="22"/>
              <w:szCs w:val="22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6"/>
              <w:sz w:val="22"/>
              <w:szCs w:val="22"/>
              <w:vanish w:val="false"/>
              <w:rFonts w:eastAsia="Calibri"/>
            </w:rPr>
            <w:fldChar w:fldCharType="separate"/>
          </w:r>
          <w:hyperlink w:anchor="_Toc179884594" w:tgtFrame="#_Toc179884594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1.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5" w:tgtFrame="#_Toc179884595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6" w:tgtFrame="#_Toc179884596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/>
          </w:pPr>
          <w:hyperlink w:anchor="_Toc179884597" w:tgtFrame="#_Toc179884597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1.3.    Цели использования закупаемой продукции.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79884598" w:tgtFrame="#_Toc179884598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9" w:tgtFrame="#_Toc179884599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/>
              <w:vanish w:val="false"/>
              <w:sz w:val="22"/>
              <w:szCs w:val="22"/>
            </w:rPr>
            <w:t xml:space="preserve">      </w:t>
          </w:r>
          <w:hyperlink w:anchor="_Toc179884600" w:tgtFrame="#_Toc179884600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2.1.1.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1" w:tgtFrame="#_Toc179884601">
            <w:r>
              <w:rPr>
                <w:webHidden/>
                <w:rStyle w:val="Style16"/>
                <w:rFonts w:eastAsia="Calibri"/>
                <w:b w:val="false"/>
                <w:bCs w:val="false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b w:val="false"/>
                <w:bCs w:val="false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/>
              <w:vanish w:val="false"/>
              <w:sz w:val="22"/>
              <w:szCs w:val="22"/>
            </w:rPr>
            <w:t xml:space="preserve">      </w:t>
          </w:r>
          <w:hyperlink w:anchor="_Toc179884602" w:tgtFrame="#_Toc179884602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2.1.2.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3" w:tgtFrame="#_Toc179884603">
            <w:r>
              <w:rPr>
                <w:webHidden/>
                <w:rStyle w:val="Style16"/>
                <w:rFonts w:eastAsia="Calibri"/>
                <w:b w:val="false"/>
                <w:bCs w:val="false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rStyle w:val="Style16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b w:val="false"/>
              <w:bCs w:val="false"/>
              <w:sz w:val="22"/>
              <w:szCs w:val="22"/>
            </w:rPr>
            <w:t>6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604" w:tgtFrame="#_Toc179884604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2.2.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качеству продукции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7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rFonts w:eastAsia="Calibri"/>
              <w:iCs/>
              <w:vanish w:val="false"/>
              <w:sz w:val="22"/>
              <w:szCs w:val="22"/>
            </w:rPr>
            <w:t xml:space="preserve">3.      </w:t>
          </w:r>
          <w:r>
            <w:rPr>
              <w:rFonts w:eastAsia="Calibri"/>
              <w:b w:val="false"/>
              <w:bCs w:val="false"/>
              <w:iCs/>
              <w:vanish w:val="false"/>
              <w:sz w:val="22"/>
              <w:szCs w:val="22"/>
            </w:rPr>
            <w:t>Требования к предоставлению документов в составе заявки…………………………………9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>
              <w:rFonts w:eastAsia="Calibri"/>
              <w:iCs/>
              <w:vanish w:val="false"/>
              <w:sz w:val="22"/>
              <w:szCs w:val="22"/>
            </w:rPr>
            <w:t xml:space="preserve">4.      </w:t>
          </w:r>
          <w:hyperlink w:anchor="_Toc179884606" w:tgtFrame="#_Toc179884606">
            <w:r>
              <w:rPr>
                <w:webHidden/>
                <w:rStyle w:val="Style16"/>
                <w:rFonts w:eastAsia="Calibri"/>
                <w:b w:val="false"/>
                <w:bCs w:val="false"/>
                <w:iCs/>
                <w:vanish w:val="false"/>
                <w:sz w:val="22"/>
                <w:szCs w:val="22"/>
              </w:rPr>
              <w:t>Приложения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9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sz w:val="22"/>
              <w:szCs w:val="22"/>
            </w:rPr>
            <w:t>5.      Требования к документации по ценообразованию на этапе закупки…………………….…..9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 w:cs="Arial" w:cstheme="minorBidi"/>
              <w:b w:val="false"/>
              <w:bCs w:val="false"/>
              <w:vanish w:val="false"/>
              <w:sz w:val="22"/>
              <w:szCs w:val="22"/>
            </w:rPr>
            <w:t xml:space="preserve">          </w:t>
          </w:r>
          <w:hyperlink w:anchor="_Toc179884605" w:tgtFrame="#_Toc179884605">
            <w:r>
              <w:rPr>
                <w:webHidden/>
                <w:rStyle w:val="Style16"/>
                <w:rFonts w:eastAsia="Calibri" w:cs="Arial" w:cstheme="minorBidi"/>
                <w:b w:val="false"/>
                <w:bCs w:val="false"/>
                <w:vanish w:val="false"/>
                <w:sz w:val="22"/>
                <w:szCs w:val="22"/>
              </w:rPr>
              <w:t>Таблица 3.1 Требования к продукции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rFonts w:eastAsia="Arial" w:cs="Arial" w:cstheme="minorBidi" w:eastAsiaTheme="minorEastAsia"/>
              <w:b w:val="false"/>
              <w:bCs w:val="false"/>
              <w:sz w:val="22"/>
              <w:szCs w:val="22"/>
            </w:rPr>
            <w:t>10</w:t>
          </w:r>
          <w:r>
            <w:rPr>
              <w:sz w:val="22"/>
              <w:b w:val="false"/>
              <w:szCs w:val="22"/>
              <w:bCs w:val="false"/>
              <w:rFonts w:eastAsia="Arial" w:cs="Arial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Times New Roman" w:hAnsi="Times New Roman" w:eastAsia="Arial" w:cs="Arial" w:cstheme="minorBidi" w:eastAsiaTheme="minorEastAsia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caps/>
        </w:rPr>
      </w:pPr>
      <w:bookmarkStart w:id="0" w:name="_Toc51339692"/>
      <w:bookmarkStart w:id="1" w:name="_Toc179884594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1"/>
        </w:numPr>
        <w:rPr/>
      </w:pPr>
      <w:bookmarkStart w:id="2" w:name="_Toc46743505"/>
      <w:bookmarkStart w:id="3" w:name="_Toc17988459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10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ДГУ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Дизель-генераторная установка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4" w:name="_Toc46743506"/>
      <w:bookmarkStart w:id="5" w:name="_Toc179884596"/>
      <w:r>
        <w:rPr>
          <w:sz w:val="22"/>
          <w:szCs w:val="22"/>
        </w:rPr>
        <w:t>Наименование закупаемой продукции</w:t>
      </w:r>
      <w:bookmarkEnd w:id="4"/>
      <w:bookmarkEnd w:id="5"/>
    </w:p>
    <w:p>
      <w:pPr>
        <w:pStyle w:val="Heading4"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r>
        <w:rPr/>
        <w:t>ОКПД2 25.93.11.140 Поставка строп, тали и лебедки для ДЭС с. Алеко-кюель среднеколымского РЭС и ДЭС с Сиктях Булунских ЭС"</w:t>
      </w:r>
    </w:p>
    <w:p>
      <w:pPr>
        <w:pStyle w:val="Normal"/>
        <w:spacing w:before="240" w:after="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</w:rPr>
        <w:t>1.3. Цели использования закупаемой продукции.</w:t>
      </w:r>
    </w:p>
    <w:p>
      <w:pPr>
        <w:pStyle w:val="Normal"/>
        <w:rPr/>
      </w:pPr>
      <w:r>
        <w:rPr>
          <w:sz w:val="22"/>
          <w:szCs w:val="22"/>
        </w:rPr>
        <w:t>Поставляемая продукция необходима для ремонта дизельных двигателей АО «Сахаэнерго»</w:t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sz w:val="22"/>
          <w:szCs w:val="22"/>
        </w:rPr>
      </w:pPr>
      <w:bookmarkStart w:id="6" w:name="_Toc46743510"/>
      <w:bookmarkStart w:id="7" w:name="_Toc179884598"/>
      <w:bookmarkStart w:id="8" w:name="_Toc51339693"/>
      <w:bookmarkStart w:id="9" w:name="_Toc50125126"/>
      <w:bookmarkEnd w:id="9"/>
      <w:r>
        <w:rPr>
          <w:iCs/>
          <w:sz w:val="22"/>
          <w:szCs w:val="22"/>
        </w:rPr>
        <w:t>Требования к продукции</w:t>
      </w:r>
      <w:bookmarkEnd w:id="7"/>
      <w:bookmarkEnd w:id="8"/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10" w:name="_Toc179884599"/>
      <w:r>
        <w:rPr>
          <w:sz w:val="22"/>
          <w:szCs w:val="22"/>
        </w:rPr>
        <w:t>Требования к объемам и срокам поставки</w:t>
      </w:r>
      <w:bookmarkEnd w:id="10"/>
    </w:p>
    <w:p>
      <w:pPr>
        <w:pStyle w:val="Heading3"/>
        <w:numPr>
          <w:ilvl w:val="2"/>
          <w:numId w:val="1"/>
        </w:numPr>
        <w:rPr>
          <w:sz w:val="22"/>
          <w:szCs w:val="22"/>
        </w:rPr>
      </w:pPr>
      <w:bookmarkStart w:id="11" w:name="_Toc179884600"/>
      <w:r>
        <w:rPr>
          <w:sz w:val="22"/>
          <w:szCs w:val="22"/>
        </w:rPr>
        <w:t>Перечень и объем закупаемой продукции</w:t>
      </w:r>
      <w:bookmarkEnd w:id="1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bookmarkStart w:id="12" w:name="_Toc179884601"/>
      <w:bookmarkStart w:id="13" w:name="_Toc51339695"/>
      <w:r>
        <w:rPr>
          <w:sz w:val="22"/>
          <w:szCs w:val="22"/>
        </w:rPr>
        <w:t xml:space="preserve">Таблица 1.1 Перечень </w:t>
      </w:r>
      <w:bookmarkEnd w:id="13"/>
      <w:r>
        <w:rPr>
          <w:sz w:val="22"/>
          <w:szCs w:val="22"/>
        </w:rPr>
        <w:t>и объем закупаемой продукции</w:t>
      </w:r>
      <w:bookmarkEnd w:id="12"/>
    </w:p>
    <w:tbl>
      <w:tblPr>
        <w:tblW w:w="1036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8"/>
        <w:gridCol w:w="7377"/>
        <w:gridCol w:w="900"/>
        <w:gridCol w:w="1527"/>
      </w:tblGrid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Лебедка ручная рычажная тросовая переносная Tor Industries MTM 3200 3.2т 20м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jc w:val="center"/>
              <w:rPr>
                <w:sz w:val="22"/>
                <w:szCs w:val="22"/>
              </w:rPr>
            </w:pPr>
            <w:r>
              <w:rPr/>
              <w:t>8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Строп канатный петлевой СКП 2.5т 4м с заплеткой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Строп канатный универсальный УСК1 2.5т 6м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Строп текстильный петлевой СТП 2т 2м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Строп текстильный петлевой СТП 4т 4м Техника Подъема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Строп текстильный петлевой СТП 5т 6м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Таль ручная рычажная Pro Jack HSH 3т 6м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>
            <w:pPr>
              <w:pStyle w:val="Style37"/>
              <w:widowControl w:val="false"/>
              <w:jc w:val="center"/>
              <w:rPr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Heading3"/>
        <w:tabs>
          <w:tab w:val="clear" w:pos="0"/>
        </w:tabs>
        <w:ind w:left="122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numPr>
          <w:ilvl w:val="2"/>
          <w:numId w:val="1"/>
        </w:numPr>
        <w:rPr>
          <w:sz w:val="22"/>
          <w:szCs w:val="22"/>
        </w:rPr>
      </w:pPr>
      <w:bookmarkStart w:id="14" w:name="_Toc179884602"/>
      <w:r>
        <w:rPr>
          <w:sz w:val="22"/>
          <w:szCs w:val="22"/>
        </w:rPr>
        <w:t>Требования к срокам поставки продукции и оказания сопутствующих услуг</w:t>
      </w:r>
      <w:bookmarkEnd w:id="1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bookmarkStart w:id="15" w:name="_Toc179884603"/>
      <w:bookmarkStart w:id="16" w:name="_Toc51339697"/>
      <w:bookmarkStart w:id="17" w:name="_Toc50125127"/>
      <w:bookmarkStart w:id="18" w:name="_Toc50125126_Копия_1"/>
      <w:bookmarkEnd w:id="18"/>
      <w:r>
        <w:rPr>
          <w:sz w:val="22"/>
          <w:szCs w:val="22"/>
        </w:rPr>
        <w:t xml:space="preserve">Таблица 2.1 </w:t>
      </w:r>
      <w:bookmarkStart w:id="19" w:name="_Hlk50465284"/>
      <w:r>
        <w:rPr>
          <w:sz w:val="22"/>
          <w:szCs w:val="22"/>
        </w:rPr>
        <w:t xml:space="preserve">Требования по срокам </w:t>
      </w:r>
      <w:bookmarkEnd w:id="16"/>
      <w:bookmarkEnd w:id="17"/>
      <w:bookmarkEnd w:id="19"/>
      <w:r>
        <w:rPr>
          <w:sz w:val="22"/>
          <w:szCs w:val="22"/>
        </w:rPr>
        <w:t>поставки продукции</w:t>
      </w:r>
      <w:bookmarkEnd w:id="15"/>
      <w:r>
        <w:rPr>
          <w:sz w:val="22"/>
          <w:szCs w:val="22"/>
        </w:rPr>
        <w:t xml:space="preserve"> </w:t>
      </w:r>
      <w:bookmarkStart w:id="20" w:name="_Toc50125131"/>
      <w:bookmarkStart w:id="21" w:name="_Toc54785622"/>
      <w:bookmarkEnd w:id="6"/>
      <w:bookmarkEnd w:id="21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2720"/>
        <w:gridCol w:w="2983"/>
        <w:gridCol w:w="3112"/>
      </w:tblGrid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 25.93.11.140 Поставка строп, тали и лебедки для ДЭС с. Алеко-кюель среднеколымского РЭС и ДЭС с Сиктях Булунских ЭС"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С момента подписания Договора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В течение 30 календарных дней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22" w:name="_Toc51339698"/>
      <w:bookmarkStart w:id="23" w:name="_Toc179884604"/>
      <w:bookmarkStart w:id="24" w:name="_Toc46743511"/>
      <w:r>
        <w:rPr>
          <w:sz w:val="22"/>
          <w:szCs w:val="22"/>
        </w:rPr>
        <w:t xml:space="preserve">Требования к </w:t>
      </w:r>
      <w:bookmarkEnd w:id="24"/>
      <w:r>
        <w:rPr>
          <w:sz w:val="22"/>
          <w:szCs w:val="22"/>
        </w:rPr>
        <w:t>качеству продукции</w:t>
      </w:r>
      <w:bookmarkEnd w:id="2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5" w:name="_Toc179884605"/>
      <w:r>
        <w:rPr>
          <w:sz w:val="22"/>
          <w:szCs w:val="22"/>
        </w:rPr>
        <w:t>Таблица 3. Требования к продукции</w:t>
      </w:r>
      <w:bookmarkEnd w:id="25"/>
      <w:r>
        <w:rPr>
          <w:sz w:val="22"/>
          <w:szCs w:val="22"/>
        </w:rPr>
        <w:t xml:space="preserve"> </w:t>
      </w:r>
      <w:bookmarkEnd w:id="20"/>
      <w:bookmarkEnd w:id="22"/>
    </w:p>
    <w:p>
      <w:pPr>
        <w:pStyle w:val="Normal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Наименование продукции (позиция № 1 – </w:t>
      </w:r>
      <w:r>
        <w:rPr>
          <w:b/>
          <w:bCs/>
          <w:i/>
          <w:iCs/>
          <w:sz w:val="22"/>
          <w:szCs w:val="22"/>
        </w:rPr>
        <w:t>7</w:t>
      </w:r>
      <w:r>
        <w:rPr>
          <w:b/>
          <w:bCs/>
          <w:i/>
          <w:iCs/>
          <w:sz w:val="22"/>
          <w:szCs w:val="22"/>
        </w:rPr>
        <w:t xml:space="preserve"> Таблицы 1.1):</w:t>
      </w:r>
      <w:r>
        <w:rPr>
          <w:i/>
          <w:iCs/>
          <w:sz w:val="22"/>
          <w:szCs w:val="22"/>
        </w:rPr>
        <w:t xml:space="preserve">  «ОКПД2 25.93.11.140 Поставка строп, тали и лебедки для ДЭС с. Алеко-кюель среднеколымского РЭС и ДЭС с Сиктях Булунских ЭС»</w:t>
      </w:r>
    </w:p>
    <w:tbl>
      <w:tblPr>
        <w:tblStyle w:val="affffc"/>
        <w:tblW w:w="157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81"/>
        <w:gridCol w:w="2692"/>
        <w:gridCol w:w="5530"/>
        <w:gridCol w:w="2268"/>
        <w:gridCol w:w="2518"/>
        <w:gridCol w:w="2016"/>
      </w:tblGrid>
      <w:tr>
        <w:trPr/>
        <w:tc>
          <w:tcPr>
            <w:tcW w:w="68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69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3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7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16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69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5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 требованием/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указание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характеристик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92" w:hRule="atLeast"/>
        </w:trPr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продукции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13" w:hRule="atLeast"/>
        </w:trPr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ahoma" w:cs="Lohit Devanagari"/>
                <w:kern w:val="0"/>
                <w:lang w:val="ru-RU" w:eastAsia="ru-RU" w:bidi="ar-SA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highlight w:val="white"/>
                <w:lang w:val="ru-RU" w:eastAsia="ru-RU" w:bidi="ar-SA"/>
              </w:rPr>
              <w:t xml:space="preserve">Все предлагаемые к поставке позиции перечня продукции должны быть совместимы с двигателями </w:t>
            </w: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Д-243,245, Д-246.1/4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Cs/>
                <w:i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Приемка продукции по количеству и качеству осуществляется по адресу: 677004, РФ, РС (Я), г. Якутск, ул. Беринга, 42 Производственная база АО «Сахаэнерго».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В случае несоответствия поставленной продукции требованиям технического задания, Поставщик за свой счет производит замену несоответствующего товара в течение 10 рабочих дней, в противном случае вся партия товара принята Заказчиком не будет.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ГОСТ 15150-69 (ОЖ4). Обоснование: транспортировка в район Крайнего Севера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Тара, используемая при  транспортировке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- соответствие тары и упаковки для многоразовой перегрузки и транспортировки ТМЦ в условиях Крайнего Севера;</w:t>
            </w:r>
          </w:p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- при отгрузке продукции в упакованных местах – вложение в каждое тарное место предусмотренного стандартами, техническими условиями. Особыми условиями поставки, иными обязательными правилами или Договором документа (упаковочного ярлыка), свидетельствующего о наименовании и количестве продукции, находящейся в данном тарном месте.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 на продукции должен составлять не менее 12 месяцев с даты подписания ТОРГ-12 или УПД.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Документы, передаваемые вместе с продукцией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ahoma" w:cs="Lohit Devanagari"/>
                <w:kern w:val="0"/>
                <w:highlight w:val="none"/>
                <w:shd w:fill="FFFF00" w:val="clear"/>
                <w:lang w:val="ru-RU" w:eastAsia="ru-RU" w:bidi="ar-SA"/>
              </w:rPr>
            </w:pPr>
            <w:r>
              <w:rPr>
                <w:i/>
                <w:iCs/>
                <w:sz w:val="22"/>
                <w:szCs w:val="22"/>
                <w:shd w:fill="FFFF00" w:val="clear"/>
              </w:rPr>
              <w:t>универсальный передаточный документ (УПД) или товарную накладную ТОРГ-12 в 2 экз.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Сведения о новизне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Поставляемая продукция должна быть новой (не бывшей в эксплуатации, не допускается поставка выставочных образцов, а также собранной из восстановленных узлов и материалов), свободной от третьих лиц. Дата выпуска: не ранее 2025 года.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Продукция должна быть сертифицирована, а также иметь все необходимые документы, позволяющие надлежащим образом использовать продукцию.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Условия поставки эквивалентной продукции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Указанные в настоящем ТТ ссылки на марку (тип) продукции носят описательный, а не обязательный характер.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Параметрами эквивалентности являются технические характеристики продукции, указанные в приложении № 1 к настоящим техническим требованиям.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cs="Times                      NewR"/>
                <w:i/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В случае предложения эквивалента предоставить каталог производителя на предлагаемую продукцию. При отсутствии каталога на эквивалентную продукцию заявка Участника подлежит отклонению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Heading1"/>
        <w:keepLines/>
        <w:ind w:left="357" w:hanging="35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Normal"/>
        <w:rPr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Heading1"/>
        <w:keepLines/>
        <w:numPr>
          <w:ilvl w:val="0"/>
          <w:numId w:val="1"/>
        </w:numPr>
        <w:ind w:left="357" w:hanging="357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В составе заявки необходимо предоставить:</w:t>
      </w:r>
    </w:p>
    <w:p>
      <w:pPr>
        <w:pStyle w:val="Normal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</w:r>
    </w:p>
    <w:p>
      <w:pPr>
        <w:pStyle w:val="Normal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    </w:t>
      </w:r>
      <w:r>
        <w:rPr>
          <w:sz w:val="24"/>
          <w:szCs w:val="24"/>
          <w:shd w:fill="FFFFFF" w:val="clear"/>
        </w:rPr>
        <w:t>1) Техническое предложение, подготовленное в соответствии с настоящими ТТ по форме, представленной в документации о закупке.</w:t>
      </w:r>
    </w:p>
    <w:p>
      <w:pPr>
        <w:pStyle w:val="Normal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Heading1"/>
        <w:numPr>
          <w:ilvl w:val="0"/>
          <w:numId w:val="1"/>
        </w:numPr>
        <w:ind w:left="357" w:hanging="357"/>
        <w:rPr>
          <w:highlight w:val="none"/>
          <w:shd w:fill="FFFFFF" w:val="clear"/>
        </w:rPr>
      </w:pPr>
      <w:bookmarkStart w:id="26" w:name="_Toc179884606"/>
      <w:r>
        <w:rPr>
          <w:iCs/>
          <w:sz w:val="24"/>
          <w:szCs w:val="24"/>
          <w:shd w:fill="FFFFFF" w:val="clear"/>
        </w:rPr>
        <w:t>Приложения</w:t>
      </w:r>
      <w:bookmarkEnd w:id="26"/>
      <w:r>
        <w:rPr>
          <w:iCs/>
          <w:sz w:val="24"/>
          <w:szCs w:val="24"/>
          <w:shd w:fill="FFFFFF" w:val="clear"/>
        </w:rPr>
        <w:t>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Приложение №1: </w:t>
      </w:r>
      <w:r>
        <w:rPr>
          <w:rFonts w:eastAsia="Calibri"/>
          <w:b/>
          <w:bCs/>
          <w:sz w:val="24"/>
          <w:szCs w:val="24"/>
          <w:shd w:fill="FFFFFF" w:val="clear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00" w:val="clear"/>
        </w:rPr>
      </w:pPr>
      <w:r>
        <w:rPr>
          <w:sz w:val="24"/>
          <w:szCs w:val="24"/>
          <w:shd w:fill="FFFF00" w:val="clear"/>
        </w:rPr>
        <w:t>Приложение №2:</w:t>
      </w:r>
      <w:r>
        <w:rPr>
          <w:b/>
          <w:bCs/>
          <w:sz w:val="24"/>
          <w:szCs w:val="24"/>
          <w:shd w:fill="FFFF00" w:val="clear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eastAsia="Calibri"/>
          <w:b/>
          <w:bCs/>
          <w:color w:val="FF0000"/>
          <w:sz w:val="22"/>
          <w:szCs w:val="22"/>
          <w:highlight w:val="none"/>
          <w:shd w:fill="FFFFFF" w:val="clear"/>
        </w:rPr>
      </w:pPr>
      <w:r>
        <w:rPr>
          <w:rFonts w:eastAsia="Calibri"/>
          <w:b/>
          <w:bCs/>
          <w:color w:val="FF0000"/>
          <w:sz w:val="22"/>
          <w:szCs w:val="22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highlight w:val="none"/>
          <w:shd w:fill="FFFFFF" w:val="clear"/>
        </w:rPr>
      </w:pPr>
      <w:bookmarkStart w:id="27" w:name="_Toc149029451"/>
      <w:r>
        <w:rPr>
          <w:rFonts w:eastAsia="Calibri"/>
          <w:b/>
          <w:bCs/>
          <w:color w:val="000000"/>
          <w:sz w:val="24"/>
          <w:szCs w:val="24"/>
          <w:shd w:fill="FFFFFF" w:val="clear"/>
        </w:rPr>
        <w:t>5. Требования к документации по ценообразованию на этапе закупки</w:t>
      </w:r>
      <w:bookmarkEnd w:id="27"/>
    </w:p>
    <w:p>
      <w:pPr>
        <w:pStyle w:val="Normal"/>
        <w:jc w:val="both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jc w:val="both"/>
        <w:rPr>
          <w:rFonts w:eastAsia="Calibri"/>
          <w:vanish/>
          <w:sz w:val="24"/>
          <w:szCs w:val="24"/>
          <w:highlight w:val="none"/>
          <w:shd w:fill="FFFFFF" w:val="clear"/>
        </w:rPr>
      </w:pPr>
      <w:r>
        <w:rPr>
          <w:rFonts w:eastAsia="Calibri"/>
          <w:vanish/>
          <w:sz w:val="24"/>
          <w:szCs w:val="24"/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  <w:t xml:space="preserve">5.1.   В обоснование стоимости своей заявки Участник предоставляет Коммерческое предложение по форме </w:t>
      </w:r>
      <w:bookmarkStart w:id="28" w:name="_Hlk88325985"/>
      <w:r>
        <w:rPr>
          <w:rFonts w:eastAsia="Calibri"/>
          <w:sz w:val="24"/>
          <w:szCs w:val="24"/>
          <w:shd w:fill="FFFFFF" w:val="clear"/>
        </w:rPr>
        <w:t>(с учетом прилагаемой к ней инструкции по заполнению)</w:t>
      </w:r>
      <w:bookmarkEnd w:id="28"/>
      <w:r>
        <w:rPr>
          <w:rFonts w:eastAsia="Calibri"/>
          <w:sz w:val="24"/>
          <w:szCs w:val="24"/>
          <w:shd w:fill="FFFFFF" w:val="clear"/>
        </w:rPr>
        <w:t>, приведенной в Документации о закупке.</w:t>
      </w:r>
      <w:bookmarkStart w:id="29" w:name="_Hlk88327292"/>
    </w:p>
    <w:p>
      <w:pPr>
        <w:pStyle w:val="Normal"/>
        <w:jc w:val="both"/>
        <w:rPr>
          <w:rFonts w:eastAsia="Calibri"/>
          <w:sz w:val="24"/>
          <w:szCs w:val="24"/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  <w:t>5.2.   Дополнительные документы по ценообразованию</w:t>
      </w:r>
      <w:bookmarkEnd w:id="29"/>
      <w:r>
        <w:rPr>
          <w:rFonts w:eastAsia="Calibri"/>
          <w:sz w:val="24"/>
          <w:szCs w:val="24"/>
          <w:shd w:fill="FFFFFF" w:val="clear"/>
        </w:rPr>
        <w:t xml:space="preserve"> в состав заявки не включаются.</w:t>
      </w:r>
    </w:p>
    <w:p>
      <w:pPr>
        <w:pStyle w:val="Normal"/>
        <w:jc w:val="both"/>
        <w:rPr>
          <w:rFonts w:eastAsia="Calibri"/>
          <w:sz w:val="24"/>
          <w:szCs w:val="24"/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highlight w:val="none"/>
          <w:shd w:fill="FFFFFF" w:val="clear"/>
        </w:rPr>
      </w:pPr>
      <w:r>
        <w:rPr>
          <w:rFonts w:eastAsia="Calibri"/>
          <w:b w:val="false"/>
          <w:bCs w:val="false"/>
          <w:color w:val="000000"/>
          <w:sz w:val="24"/>
          <w:szCs w:val="24"/>
          <w:shd w:fill="FFFFFF" w:val="clear"/>
        </w:rPr>
        <w:t>5.3.   Стоимость за единицу продукции (товара) должна включать в себя погрузку, транспортировку товара до места поставки,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к Документации о закупке).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  <w:lang w:val="en-US"/>
        </w:rPr>
        <w:t xml:space="preserve">    </w:t>
      </w:r>
    </w:p>
    <w:p>
      <w:pPr>
        <w:pStyle w:val="Normal"/>
        <w:jc w:val="right"/>
        <w:rPr>
          <w:bCs/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№1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Таблица 3.1. 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b/>
          <w:bCs/>
          <w:i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Наименование продукции: </w:t>
      </w:r>
      <w:r>
        <w:rPr>
          <w:i/>
          <w:iCs/>
          <w:sz w:val="22"/>
          <w:szCs w:val="22"/>
        </w:rPr>
        <w:t xml:space="preserve"> ««ОКПД2 25.93.11.140 Поставка строп, тали и лебедки для ДЭС с. Алеко-кюель среднеколымского РЭС и ДЭС с Сиктях Булунских ЭС»</w:t>
      </w:r>
    </w:p>
    <w:tbl>
      <w:tblPr>
        <w:tblStyle w:val="1e"/>
        <w:tblW w:w="1540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73"/>
        <w:gridCol w:w="2610"/>
        <w:gridCol w:w="3214"/>
        <w:gridCol w:w="3286"/>
        <w:gridCol w:w="2716"/>
        <w:gridCol w:w="2504"/>
      </w:tblGrid>
      <w:tr>
        <w:trPr>
          <w:trHeight w:val="311" w:hRule="atLeast"/>
        </w:trPr>
        <w:tc>
          <w:tcPr>
            <w:tcW w:w="107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bCs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Arial" w:ascii="Calibri" w:hAnsi="Calibri"/>
                <w:b/>
                <w:bCs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26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bCs/>
                <w:kern w:val="0"/>
                <w:sz w:val="20"/>
                <w:szCs w:val="20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21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bCs/>
                <w:kern w:val="0"/>
                <w:sz w:val="20"/>
                <w:szCs w:val="20"/>
                <w:lang w:val="ru-RU" w:eastAsia="en-US" w:bidi="ar-SA"/>
              </w:rPr>
              <w:t>Требование заказчика</w:t>
            </w:r>
          </w:p>
        </w:tc>
        <w:tc>
          <w:tcPr>
            <w:tcW w:w="600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bCs/>
                <w:kern w:val="0"/>
                <w:sz w:val="20"/>
                <w:szCs w:val="20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04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726" w:hRule="atLeast"/>
        </w:trPr>
        <w:tc>
          <w:tcPr>
            <w:tcW w:w="107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1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bCs/>
                <w:kern w:val="0"/>
                <w:sz w:val="20"/>
                <w:szCs w:val="20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328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bCs/>
                <w:kern w:val="0"/>
                <w:sz w:val="20"/>
                <w:szCs w:val="20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Calibri" w:hAnsi="Calibri"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0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Arial"/>
                <w:b/>
                <w:bCs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</w:r>
          </w:p>
        </w:tc>
      </w:tr>
      <w:tr>
        <w:trPr>
          <w:trHeight w:val="223" w:hRule="atLeast"/>
        </w:trPr>
        <w:tc>
          <w:tcPr>
            <w:tcW w:w="107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 w:ascii="Calibri" w:hAnsi="Calibri" w:cstheme="minorHAnsi"/>
                <w:b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 w:ascii="Calibri" w:hAnsi="Calibri" w:cstheme="minorHAnsi"/>
                <w:b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21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 w:ascii="Calibri" w:hAnsi="Calibri" w:cstheme="minorHAnsi"/>
                <w:b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28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 w:ascii="Calibri" w:hAnsi="Calibri" w:cstheme="minorHAnsi"/>
                <w:b/>
                <w:bCs/>
                <w:kern w:val="0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 w:ascii="Calibri" w:hAnsi="Calibri" w:cstheme="minorHAnsi"/>
                <w:b/>
                <w:bCs/>
                <w:kern w:val="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 w:ascii="Calibri" w:hAnsi="Calibri" w:cstheme="minorHAnsi"/>
                <w:b/>
                <w:bCs/>
                <w:kern w:val="0"/>
                <w:sz w:val="20"/>
                <w:szCs w:val="20"/>
                <w:lang w:val="en-US" w:eastAsia="en-US" w:bidi="ar-SA"/>
              </w:rPr>
              <w:t>6</w:t>
            </w:r>
          </w:p>
        </w:tc>
      </w:tr>
      <w:tr>
        <w:trPr/>
        <w:tc>
          <w:tcPr>
            <w:tcW w:w="107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340" w:hanging="170"/>
              <w:contextualSpacing/>
              <w:jc w:val="center"/>
              <w:rPr/>
            </w:pPr>
            <w:r>
              <w:rPr>
                <w:rFonts w:eastAsia="Calibri" w:cs="Calibri" w:ascii="Calibri" w:hAnsi="Calibri" w:cstheme="minorHAnsi" w:eastAsiaTheme="minorHAnsi"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Лебедка ручная рычажная тросовая переносная Tor Industries MTM 3200 3.2т 20м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107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720" w:hanging="0"/>
              <w:contextualSpacing/>
              <w:jc w:val="left"/>
              <w:rPr>
                <w:rFonts w:eastAsia="Calibri" w:cs="Calibri" w:cstheme="minorHAnsi" w:eastAsiaTheme="minorHAnsi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 w:eastAsiaTheme="minorHAnsi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Строп канатный петлевой СКП 2.5т 4м с заплеткой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107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720" w:hanging="0"/>
              <w:contextualSpacing/>
              <w:jc w:val="left"/>
              <w:rPr>
                <w:rFonts w:eastAsia="Calibri" w:cs="Calibri" w:cstheme="minorHAnsi" w:eastAsiaTheme="minorHAnsi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 w:eastAsiaTheme="minorHAnsi"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Строп канатный универсальный УСК1 2.5т 6м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107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720" w:hanging="0"/>
              <w:contextualSpacing/>
              <w:jc w:val="left"/>
              <w:rPr>
                <w:rFonts w:eastAsia="Calibri" w:cs="Calibri" w:cstheme="minorHAnsi" w:eastAsiaTheme="minorHAnsi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 w:eastAsiaTheme="minorHAnsi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Строп текстильный петлевой СТП 2т 2м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>
          <w:trHeight w:val="485" w:hRule="atLeast"/>
        </w:trPr>
        <w:tc>
          <w:tcPr>
            <w:tcW w:w="107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720" w:hanging="0"/>
              <w:contextualSpacing/>
              <w:jc w:val="left"/>
              <w:rPr>
                <w:rFonts w:eastAsia="Calibri" w:cs="Calibri" w:cstheme="minorHAnsi" w:eastAsiaTheme="minorHAnsi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 w:eastAsiaTheme="minorHAnsi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Строп текстильный петлевой СТП 4т 4м Техника Подъема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hd w:val="clear" w:color="FFFFFF" w:fill="FFFFFF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>
          <w:trHeight w:val="485" w:hRule="atLeast"/>
        </w:trPr>
        <w:tc>
          <w:tcPr>
            <w:tcW w:w="107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720" w:hanging="0"/>
              <w:contextualSpacing/>
              <w:jc w:val="left"/>
              <w:rPr>
                <w:rFonts w:eastAsia="Calibri" w:cs="Calibri" w:cstheme="minorHAnsi" w:eastAsiaTheme="minorHAnsi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 w:eastAsiaTheme="minorHAnsi"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Строп текстильный петлевой СТП 5т 6м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>
          <w:trHeight w:val="485" w:hRule="atLeast"/>
        </w:trPr>
        <w:tc>
          <w:tcPr>
            <w:tcW w:w="107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720" w:hanging="0"/>
              <w:contextualSpacing/>
              <w:jc w:val="left"/>
              <w:rPr>
                <w:rFonts w:eastAsia="Calibri" w:cs="Calibri" w:cstheme="minorHAnsi" w:eastAsiaTheme="minorHAnsi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 w:eastAsiaTheme="minorHAnsi"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Таль ручная рычажная Pro Jack HSH 3т 6м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/>
            </w:pPr>
            <w:r>
              <w:rPr>
                <w:rFonts w:eastAsia="Calibri" w:cs="Arial" w:ascii="Calibri" w:hAnsi="Calibri"/>
                <w:i/>
                <w:iCs/>
                <w:color w:val="000000"/>
                <w:kern w:val="0"/>
                <w:sz w:val="20"/>
                <w:szCs w:val="20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</w:tbl>
    <w:p>
      <w:pPr>
        <w:pStyle w:val="Normal"/>
        <w:spacing w:before="0" w:after="120"/>
        <w:ind w:right="397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3F1C76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3F1C76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2F5496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Style" w:customStyle="1">
    <w:name w:val="Заголовок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val="2F5496" w:themeColor="accent1" w:themeShade="bf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Style1" w:customStyle="1">
    <w:name w:val="Нижний колонтитул Знак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3" w:customStyle="1">
    <w:name w:val="Название Знак"/>
    <w:link w:val="16"/>
    <w:uiPriority w:val="10"/>
    <w:qFormat/>
    <w:rPr>
      <w:sz w:val="28"/>
    </w:rPr>
  </w:style>
  <w:style w:type="character" w:styleId="Style4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21" w:customStyle="1">
    <w:name w:val="Цитата 2 Знак"/>
    <w:link w:val="Quote"/>
    <w:uiPriority w:val="29"/>
    <w:qFormat/>
    <w:rPr>
      <w:rFonts w:ascii="Calibri" w:hAnsi="Calibri" w:eastAsia="Calibri"/>
      <w:i/>
      <w:iCs/>
      <w:color w:val="000000"/>
    </w:rPr>
  </w:style>
  <w:style w:type="character" w:styleId="Style5" w:customStyle="1">
    <w:name w:val="Выделенная цитата Знак"/>
    <w:link w:val="IntenseQuote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6" w:customStyle="1">
    <w:name w:val="Электронная подпись Знак"/>
    <w:link w:val="E-mailSignature"/>
    <w:uiPriority w:val="99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rPr>
      <w:sz w:val="28"/>
    </w:rPr>
  </w:style>
  <w:style w:type="character" w:styleId="Style7" w:customStyle="1">
    <w:name w:val="Текст сноски Знак"/>
    <w:uiPriority w:val="99"/>
    <w:qFormat/>
    <w:rPr/>
  </w:style>
  <w:style w:type="character" w:styleId="Style8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9" w:customStyle="1">
    <w:name w:val="Абзац списка Знак"/>
    <w:link w:val="ListParagraph"/>
    <w:uiPriority w:val="34"/>
    <w:qFormat/>
    <w:rPr>
      <w:rFonts w:eastAsia="Calibri"/>
      <w:sz w:val="24"/>
      <w:szCs w:val="24"/>
    </w:rPr>
  </w:style>
  <w:style w:type="character" w:styleId="Style10" w:customStyle="1">
    <w:name w:val="комментарий"/>
    <w:qFormat/>
    <w:rPr>
      <w:b/>
      <w:i/>
      <w:shd w:fill="FFFF99" w:val="clear"/>
    </w:rPr>
  </w:style>
  <w:style w:type="character" w:styleId="Style11" w:customStyle="1">
    <w:name w:val="Подподпункт Знак"/>
    <w:link w:val="Style32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2" w:customStyle="1">
    <w:name w:val="Верхний колонтитул Знак"/>
    <w:uiPriority w:val="99"/>
    <w:qFormat/>
    <w:rPr>
      <w:sz w:val="24"/>
      <w:szCs w:val="24"/>
    </w:rPr>
  </w:style>
  <w:style w:type="character" w:styleId="Style13" w:customStyle="1">
    <w:name w:val="Текст примечания Знак"/>
    <w:link w:val="Annotationtext"/>
    <w:semiHidden/>
    <w:qFormat/>
    <w:rPr/>
  </w:style>
  <w:style w:type="character" w:styleId="Style14" w:customStyle="1">
    <w:name w:val="Текст концевой сноски Знак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6" w:customStyle="1">
    <w:name w:val="Ссылка указателя"/>
    <w:qFormat/>
    <w:rPr/>
  </w:style>
  <w:style w:type="character" w:styleId="Style17" w:customStyle="1">
    <w:name w:val="Символ нумерации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8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14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14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4"/>
    <w:qFormat/>
    <w:pPr/>
    <w:rPr/>
  </w:style>
  <w:style w:type="paragraph" w:styleId="Title">
    <w:name w:val="Title"/>
    <w:basedOn w:val="Normal"/>
    <w:next w:val="Normal"/>
    <w:link w:val="Style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Indexheading1111" w:customStyle="1">
    <w:name w:val="index heading1111"/>
    <w:basedOn w:val="14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4"/>
    <w:qFormat/>
    <w:pPr/>
    <w:rPr/>
  </w:style>
  <w:style w:type="paragraph" w:styleId="Style20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21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qFormat/>
    <w:pPr>
      <w:tabs>
        <w:tab w:val="clear" w:pos="708"/>
        <w:tab w:val="left" w:pos="357" w:leader="none"/>
      </w:tabs>
      <w:spacing w:before="80" w:after="80"/>
      <w:jc w:val="both"/>
    </w:pPr>
    <w:rPr/>
  </w:style>
  <w:style w:type="paragraph" w:styleId="FootnoteText">
    <w:name w:val="Footnote Text"/>
    <w:basedOn w:val="Normal"/>
    <w:link w:val="Style7"/>
    <w:uiPriority w:val="99"/>
    <w:pPr/>
    <w:rPr>
      <w:sz w:val="20"/>
      <w:szCs w:val="20"/>
    </w:rPr>
  </w:style>
  <w:style w:type="paragraph" w:styleId="15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3"/>
    <w:uiPriority w:val="10"/>
    <w:qFormat/>
    <w:pPr>
      <w:jc w:val="center"/>
    </w:pPr>
    <w:rPr>
      <w:szCs w:val="20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pPr/>
    <w:rPr/>
  </w:style>
  <w:style w:type="paragraph" w:styleId="Style26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3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4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Style9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5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6"/>
    <w:uiPriority w:val="99"/>
    <w:unhideWhenUsed/>
    <w:qFormat/>
    <w:pPr/>
    <w:rPr>
      <w:rFonts w:eastAsia="Calibri"/>
      <w:sz w:val="24"/>
      <w:szCs w:val="24"/>
    </w:rPr>
  </w:style>
  <w:style w:type="paragraph" w:styleId="Style28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tabs>
        <w:tab w:val="clear" w:pos="708"/>
        <w:tab w:val="left" w:pos="1233" w:leader="none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tabs>
        <w:tab w:val="clear" w:pos="708"/>
        <w:tab w:val="left" w:pos="513" w:leader="none"/>
      </w:tabs>
      <w:spacing w:before="120" w:after="0"/>
      <w:ind w:left="513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1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11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33" w:customStyle="1">
    <w:name w:val="УРОВЕНЬ_(а)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985" w:hanging="567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2268" w:hanging="567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701" w:hanging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tabs>
        <w:tab w:val="clear" w:pos="708"/>
        <w:tab w:val="left" w:pos="0" w:leader="none"/>
      </w:tabs>
      <w:spacing w:lineRule="exact" w:line="360" w:before="120" w:after="0"/>
      <w:ind w:left="0" w:hanging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pPr>
      <w:keepNext w:val="true"/>
      <w:tabs>
        <w:tab w:val="clear" w:pos="708"/>
        <w:tab w:val="left" w:pos="0" w:leader="none"/>
      </w:tabs>
      <w:spacing w:lineRule="exact" w:line="360" w:before="120" w:after="120"/>
      <w:ind w:left="1134" w:hanging="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EndnoteText">
    <w:name w:val="Endnote Text"/>
    <w:basedOn w:val="Normal"/>
    <w:link w:val="Style14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tabs>
        <w:tab w:val="clear" w:pos="708"/>
        <w:tab w:val="left" w:pos="0" w:leader="none"/>
      </w:tabs>
      <w:spacing w:before="120" w:after="120"/>
      <w:ind w:left="1429" w:hanging="360"/>
      <w:jc w:val="both"/>
      <w:outlineLvl w:val="0"/>
    </w:pPr>
    <w:rPr>
      <w:b/>
      <w:sz w:val="24"/>
      <w:szCs w:val="20"/>
    </w:rPr>
  </w:style>
  <w:style w:type="paragraph" w:styleId="Style35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Main14" w:customStyle="1">
    <w:name w:val="Main 14"/>
    <w:basedOn w:val="Caption1"/>
    <w:qFormat/>
    <w:pPr>
      <w:spacing w:lineRule="auto" w:line="312" w:before="60" w:after="0"/>
      <w:ind w:firstLine="709"/>
      <w:jc w:val="both"/>
    </w:pPr>
    <w:rPr>
      <w:rFonts w:eastAsia="Batang" w:cs="Times New Roman"/>
      <w:i w:val="false"/>
      <w:iCs w:val="false"/>
      <w:sz w:val="28"/>
      <w:szCs w:val="28"/>
      <w:lang w:eastAsia="ko-KR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</w:style>
  <w:style w:type="numbering" w:styleId="29" w:customStyle="1">
    <w:name w:val="Стиль2"/>
    <w:uiPriority w:val="99"/>
    <w:qFormat/>
  </w:style>
  <w:style w:type="numbering" w:styleId="12706396451" w:customStyle="1">
    <w:name w:val="1270639645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styleId="2e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a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c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D569-44A1-4924-87C9-8DC3E966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AlterOffice/3.4.0.8$Linux_X86_64 LibreOffice_project/8f3f3c847f0b8d6fea24e251d3d8ed4f23cbe23c</Application>
  <AppVersion>15.0000</AppVersion>
  <Pages>9</Pages>
  <Words>1535</Words>
  <Characters>10408</Characters>
  <CharactersWithSpaces>11785</CharactersWithSpaces>
  <Paragraphs>238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2024-10-15T02:43:00Z</dcterms:created>
  <dc:creator>Быстров Олег Геннадьевич</dc:creator>
  <dc:description/>
  <dc:language>ru-RU</dc:language>
  <cp:lastModifiedBy>vinokurovav@sed.local</cp:lastModifiedBy>
  <dcterms:modified xsi:type="dcterms:W3CDTF">2026-09-09T16:59:36Z</dcterms:modified>
  <cp:revision>84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