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5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4"/>
        <w:spacing w:before="120" w:after="6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tabs>
          <w:tab w:val="clear" w:pos="708"/>
          <w:tab w:val="left" w:pos="3728" w:leader="none"/>
        </w:tabs>
        <w:rPr>
          <w:sz w:val="26"/>
          <w:szCs w:val="26"/>
        </w:rPr>
      </w:pPr>
      <w:r>
        <w:rPr/>
        <w:tab/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/>
          <w:sz w:val="22"/>
          <w:szCs w:val="22"/>
        </w:rPr>
      </w:pPr>
      <w:r>
        <w:rPr>
          <w:rFonts w:eastAsia="Calibri"/>
          <w:b/>
          <w:sz w:val="22"/>
          <w:szCs w:val="22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rFonts w:ascii="Times New Roman" w:hAnsi="Times New Roman"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ab/>
        <w:t xml:space="preserve">ОКПД2 28.11.42.000  Поставка </w:t>
      </w:r>
      <w:r>
        <w:rPr>
          <w:rFonts w:eastAsia="Calibri"/>
          <w:b/>
          <w:bCs/>
          <w:sz w:val="22"/>
          <w:szCs w:val="22"/>
        </w:rPr>
        <w:t>ремкомплектов РТИ дизель-генераторов 6ЧН 26/26 (Д-49) для нужд филиалов АО «Сахаэнерго»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i/>
          <w:i/>
          <w:sz w:val="22"/>
          <w:szCs w:val="22"/>
        </w:rPr>
      </w:pPr>
      <w:r>
        <w:rPr>
          <w:rFonts w:eastAsia="Calibri"/>
          <w:b/>
          <w:i/>
          <w:sz w:val="22"/>
          <w:szCs w:val="22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/>
          <w:sz w:val="22"/>
          <w:szCs w:val="22"/>
        </w:rPr>
      </w:pPr>
      <w:r>
        <w:rPr>
          <w:rFonts w:eastAsia="Calibri"/>
          <w:b/>
          <w:sz w:val="22"/>
          <w:szCs w:val="22"/>
        </w:rPr>
        <w:t>-РЕМ ПРОД-2027-СахаЭ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i/>
          <w:i/>
          <w:sz w:val="22"/>
          <w:szCs w:val="22"/>
        </w:rPr>
      </w:pPr>
      <w:r>
        <w:rPr>
          <w:rFonts w:eastAsia="Calibri"/>
          <w:b/>
          <w:i/>
          <w:sz w:val="22"/>
          <w:szCs w:val="22"/>
        </w:rPr>
      </w:r>
    </w:p>
    <w:p>
      <w:pPr>
        <w:pStyle w:val="Normal"/>
        <w:keepNext w:val="true"/>
        <w:keepLines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  <w:r>
        <w:br w:type="page"/>
      </w:r>
    </w:p>
    <w:p>
      <w:pPr>
        <w:pStyle w:val="Normal"/>
        <w:jc w:val="center"/>
        <w:rPr>
          <w:rFonts w:ascii="Times New Roman" w:hAnsi="Times New Roman"/>
          <w:sz w:val="22"/>
          <w:szCs w:val="22"/>
        </w:rPr>
      </w:pPr>
      <w:r>
        <w:rPr>
          <w:b/>
          <w:sz w:val="22"/>
          <w:szCs w:val="22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fldChar w:fldCharType="begin"/>
          </w:r>
          <w:r>
            <w:rPr>
              <w:webHidden/>
              <w:rStyle w:val="Style16"/>
              <w:sz w:val="22"/>
              <w:szCs w:val="22"/>
              <w:vanish w:val="false"/>
              <w:rFonts w:eastAsia="Calibri"/>
            </w:rPr>
            <w:instrText xml:space="preserve"> TOC \z \o "1-4" \u \h</w:instrText>
          </w:r>
          <w:r>
            <w:rPr>
              <w:webHidden/>
              <w:rStyle w:val="Style16"/>
              <w:sz w:val="22"/>
              <w:szCs w:val="22"/>
              <w:vanish w:val="false"/>
              <w:rFonts w:eastAsia="Calibri"/>
            </w:rPr>
            <w:fldChar w:fldCharType="separate"/>
          </w:r>
          <w:hyperlink w:anchor="_Toc179884594" w:tgtFrame="#_Toc179884594">
            <w:r>
              <w:rPr>
                <w:webHidden/>
                <w:rStyle w:val="Style16"/>
                <w:rFonts w:eastAsia="Calibri"/>
                <w:vanish w:val="false"/>
                <w:sz w:val="22"/>
                <w:szCs w:val="22"/>
              </w:rPr>
              <w:t>1.</w:t>
            </w:r>
            <w:r>
              <w:rPr>
                <w:rStyle w:val="Style16"/>
                <w:rFonts w:eastAsia="Arial" w:cs="Arial" w:cstheme="minorBidi" w:eastAsiaTheme="minorEastAsia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sz w:val="22"/>
                <w:szCs w:val="22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_Toc179884594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2"/>
                <w:szCs w:val="22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179884595" w:tgtFrame="#_Toc179884595">
            <w:r>
              <w:rPr>
                <w:webHidden/>
                <w:rStyle w:val="Style16"/>
                <w:rFonts w:eastAsia="Calibri"/>
                <w:iCs/>
                <w:vanish w:val="false"/>
                <w:sz w:val="22"/>
                <w:szCs w:val="22"/>
              </w:rPr>
              <w:t>1.1.</w:t>
            </w:r>
            <w:r>
              <w:rPr>
                <w:rStyle w:val="Style16"/>
                <w:rFonts w:eastAsia="Arial" w:cs="Arial" w:cstheme="minorBidi" w:eastAsiaTheme="minorEastAsia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sz w:val="22"/>
                <w:szCs w:val="22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_Toc179884595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2"/>
                <w:szCs w:val="22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179884596" w:tgtFrame="#_Toc179884596">
            <w:r>
              <w:rPr>
                <w:webHidden/>
                <w:rStyle w:val="Style16"/>
                <w:rFonts w:eastAsia="Calibri"/>
                <w:iCs/>
                <w:vanish w:val="false"/>
                <w:sz w:val="22"/>
                <w:szCs w:val="22"/>
              </w:rPr>
              <w:t>1.2.</w:t>
            </w:r>
            <w:r>
              <w:rPr>
                <w:rStyle w:val="Style16"/>
                <w:rFonts w:eastAsia="Arial" w:cs="Arial" w:cstheme="minorBidi" w:eastAsiaTheme="minorEastAsia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sz w:val="22"/>
                <w:szCs w:val="22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_Toc179884596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2"/>
                <w:szCs w:val="22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9911" w:leader="dot"/>
            </w:tabs>
            <w:rPr/>
          </w:pPr>
          <w:hyperlink w:anchor="_Toc179884597" w:tgtFrame="#_Toc179884597">
            <w:r>
              <w:rPr>
                <w:webHidden/>
                <w:rStyle w:val="Style16"/>
                <w:rFonts w:eastAsia="Calibri"/>
                <w:vanish w:val="false"/>
                <w:sz w:val="22"/>
                <w:szCs w:val="22"/>
              </w:rPr>
              <w:t>1.3.    Цели использования закупаемой продукции.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_Toc179884597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2"/>
                <w:szCs w:val="22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179884598" w:tgtFrame="#_Toc179884598">
            <w:r>
              <w:rPr>
                <w:webHidden/>
                <w:rStyle w:val="Style16"/>
                <w:rFonts w:eastAsia="Calibri"/>
                <w:vanish w:val="false"/>
                <w:sz w:val="22"/>
                <w:szCs w:val="22"/>
              </w:rPr>
              <w:t>2.</w:t>
            </w:r>
            <w:r>
              <w:rPr>
                <w:rStyle w:val="Style16"/>
                <w:rFonts w:eastAsia="Arial" w:cs="Arial" w:cstheme="minorBidi" w:eastAsiaTheme="minorEastAsia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iCs/>
                <w:sz w:val="22"/>
                <w:szCs w:val="22"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_Toc179884598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2"/>
                <w:szCs w:val="22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179884599" w:tgtFrame="#_Toc179884599">
            <w:r>
              <w:rPr>
                <w:webHidden/>
                <w:rStyle w:val="Style16"/>
                <w:rFonts w:eastAsia="Calibri"/>
                <w:iCs/>
                <w:vanish w:val="false"/>
                <w:sz w:val="22"/>
                <w:szCs w:val="22"/>
              </w:rPr>
              <w:t>2.1.</w:t>
            </w:r>
            <w:r>
              <w:rPr>
                <w:rStyle w:val="Style16"/>
                <w:rFonts w:eastAsia="Arial" w:cs="Arial" w:cstheme="minorBidi" w:eastAsiaTheme="minorEastAsia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sz w:val="22"/>
                <w:szCs w:val="22"/>
              </w:rPr>
              <w:t>Требования к объемам и срокам поставки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_Toc179884599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2"/>
                <w:szCs w:val="22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/>
          </w:pPr>
          <w:r>
            <w:rPr>
              <w:rFonts w:eastAsia="Calibri"/>
              <w:vanish w:val="false"/>
              <w:sz w:val="22"/>
              <w:szCs w:val="22"/>
            </w:rPr>
            <w:t xml:space="preserve">      </w:t>
          </w:r>
          <w:hyperlink w:anchor="_Toc179884600" w:tgtFrame="#_Toc179884600">
            <w:r>
              <w:rPr>
                <w:webHidden/>
                <w:rStyle w:val="Style16"/>
                <w:rFonts w:eastAsia="Calibri"/>
                <w:vanish w:val="false"/>
                <w:sz w:val="22"/>
                <w:szCs w:val="22"/>
              </w:rPr>
              <w:t>2.1.1.</w:t>
            </w:r>
            <w:r>
              <w:rPr>
                <w:rStyle w:val="Style16"/>
                <w:rFonts w:eastAsia="Arial" w:cs="Arial" w:cstheme="minorBidi" w:eastAsiaTheme="minorEastAsia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sz w:val="22"/>
                <w:szCs w:val="22"/>
              </w:rPr>
              <w:t>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_Toc179884600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2"/>
                <w:szCs w:val="22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r>
            <w:rPr>
              <w:rFonts w:eastAsia="Calibri"/>
              <w:b w:val="false"/>
              <w:bCs w:val="false"/>
              <w:vanish w:val="false"/>
              <w:sz w:val="22"/>
              <w:szCs w:val="22"/>
            </w:rPr>
            <w:t xml:space="preserve">         </w:t>
          </w:r>
          <w:hyperlink w:anchor="_Toc179884601" w:tgtFrame="#_Toc179884601">
            <w:r>
              <w:rPr>
                <w:webHidden/>
                <w:rStyle w:val="Style16"/>
                <w:rFonts w:eastAsia="Calibri"/>
                <w:b w:val="false"/>
                <w:bCs w:val="false"/>
                <w:vanish w:val="false"/>
                <w:sz w:val="22"/>
                <w:szCs w:val="22"/>
              </w:rPr>
              <w:t>Таблица 1.1 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_Toc179884601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b w:val="false"/>
                <w:bCs w:val="false"/>
                <w:sz w:val="22"/>
                <w:szCs w:val="22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/>
          </w:pPr>
          <w:r>
            <w:rPr>
              <w:rFonts w:eastAsia="Calibri"/>
              <w:vanish w:val="false"/>
              <w:sz w:val="22"/>
              <w:szCs w:val="22"/>
            </w:rPr>
            <w:t xml:space="preserve">      </w:t>
          </w:r>
          <w:hyperlink w:anchor="_Toc179884602" w:tgtFrame="#_Toc179884602">
            <w:r>
              <w:rPr>
                <w:webHidden/>
                <w:rStyle w:val="Style16"/>
                <w:rFonts w:eastAsia="Calibri"/>
                <w:vanish w:val="false"/>
                <w:sz w:val="22"/>
                <w:szCs w:val="22"/>
              </w:rPr>
              <w:t>2.1.2.</w:t>
            </w:r>
            <w:r>
              <w:rPr>
                <w:rStyle w:val="Style16"/>
                <w:rFonts w:eastAsia="Arial" w:cs="Arial" w:cstheme="minorBidi" w:eastAsiaTheme="minorEastAsia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sz w:val="22"/>
                <w:szCs w:val="22"/>
              </w:rPr>
              <w:t>Требования к срокам поставки продукции и оказания сопутствующих услуг</w:t>
            </w:r>
            <w:r>
              <w:rPr>
                <w:rStyle w:val="Style16"/>
                <w:sz w:val="22"/>
                <w:szCs w:val="22"/>
              </w:rPr>
              <w:tab/>
            </w:r>
          </w:hyperlink>
          <w:r>
            <w:rPr>
              <w:sz w:val="22"/>
              <w:szCs w:val="22"/>
            </w:rPr>
            <w:t>6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r>
            <w:rPr>
              <w:rFonts w:eastAsia="Calibri"/>
              <w:b w:val="false"/>
              <w:bCs w:val="false"/>
              <w:vanish w:val="false"/>
              <w:sz w:val="22"/>
              <w:szCs w:val="22"/>
            </w:rPr>
            <w:t xml:space="preserve">         </w:t>
          </w:r>
          <w:hyperlink w:anchor="_Toc179884603" w:tgtFrame="#_Toc179884603">
            <w:r>
              <w:rPr>
                <w:webHidden/>
                <w:rStyle w:val="Style16"/>
                <w:rFonts w:eastAsia="Calibri"/>
                <w:b w:val="false"/>
                <w:bCs w:val="false"/>
                <w:vanish w:val="false"/>
                <w:sz w:val="22"/>
                <w:szCs w:val="22"/>
              </w:rPr>
              <w:t>Таблица 2.1 Требования по срокам поставки продукции</w:t>
            </w:r>
            <w:r>
              <w:rPr>
                <w:rStyle w:val="Style16"/>
                <w:b w:val="false"/>
                <w:bCs w:val="false"/>
                <w:sz w:val="22"/>
                <w:szCs w:val="22"/>
              </w:rPr>
              <w:tab/>
            </w:r>
          </w:hyperlink>
          <w:r>
            <w:rPr>
              <w:b w:val="false"/>
              <w:bCs w:val="false"/>
              <w:sz w:val="22"/>
              <w:szCs w:val="22"/>
            </w:rPr>
            <w:t>6</w:t>
          </w:r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179884604" w:tgtFrame="#_Toc179884604">
            <w:r>
              <w:rPr>
                <w:webHidden/>
                <w:rStyle w:val="Style16"/>
                <w:rFonts w:eastAsia="Calibri"/>
                <w:iCs/>
                <w:vanish w:val="false"/>
                <w:sz w:val="22"/>
                <w:szCs w:val="22"/>
              </w:rPr>
              <w:t>2.2.</w:t>
            </w:r>
            <w:r>
              <w:rPr>
                <w:rStyle w:val="Style16"/>
                <w:rFonts w:eastAsia="Arial" w:cs="Arial" w:cstheme="minorBidi" w:eastAsiaTheme="minorEastAsia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sz w:val="22"/>
                <w:szCs w:val="22"/>
              </w:rPr>
              <w:t>Требования к качеству продукции</w:t>
            </w:r>
            <w:r>
              <w:rPr>
                <w:rStyle w:val="Style16"/>
                <w:sz w:val="22"/>
                <w:szCs w:val="22"/>
              </w:rPr>
              <w:tab/>
            </w:r>
          </w:hyperlink>
          <w:r>
            <w:rPr>
              <w:sz w:val="22"/>
              <w:szCs w:val="22"/>
            </w:rPr>
            <w:t>7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Times New Roman" w:hAnsi="Times New Roman"/>
              <w:sz w:val="22"/>
              <w:szCs w:val="22"/>
            </w:rPr>
          </w:pPr>
          <w:r>
            <w:rPr>
              <w:rFonts w:eastAsia="Calibri"/>
              <w:iCs/>
              <w:vanish w:val="false"/>
              <w:sz w:val="22"/>
              <w:szCs w:val="22"/>
            </w:rPr>
            <w:t xml:space="preserve">3.      </w:t>
          </w:r>
          <w:r>
            <w:rPr>
              <w:rFonts w:eastAsia="Calibri"/>
              <w:b w:val="false"/>
              <w:bCs w:val="false"/>
              <w:iCs/>
              <w:vanish w:val="false"/>
              <w:sz w:val="22"/>
              <w:szCs w:val="22"/>
            </w:rPr>
            <w:t>Требования к предоставлению документов в составе заявки…………………………………9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rPr>
              <w:rFonts w:eastAsia="Calibri"/>
              <w:iCs/>
              <w:vanish w:val="false"/>
              <w:sz w:val="22"/>
              <w:szCs w:val="22"/>
            </w:rPr>
            <w:t xml:space="preserve">4.      </w:t>
          </w:r>
          <w:hyperlink w:anchor="_Toc179884606" w:tgtFrame="#_Toc179884606">
            <w:r>
              <w:rPr>
                <w:webHidden/>
                <w:rStyle w:val="Style16"/>
                <w:rFonts w:eastAsia="Calibri"/>
                <w:b w:val="false"/>
                <w:bCs w:val="false"/>
                <w:iCs/>
                <w:vanish w:val="false"/>
                <w:sz w:val="22"/>
                <w:szCs w:val="22"/>
              </w:rPr>
              <w:t>Приложения</w:t>
            </w:r>
            <w:r>
              <w:rPr>
                <w:rStyle w:val="Style16"/>
                <w:sz w:val="22"/>
                <w:szCs w:val="22"/>
              </w:rPr>
              <w:tab/>
            </w:r>
          </w:hyperlink>
          <w:r>
            <w:rPr>
              <w:sz w:val="22"/>
              <w:szCs w:val="22"/>
            </w:rPr>
            <w:t>9</w:t>
          </w:r>
        </w:p>
        <w:p>
          <w:pPr>
            <w:pStyle w:val="Normal"/>
            <w:tabs>
              <w:tab w:val="clear" w:pos="708"/>
              <w:tab w:val="left" w:pos="560" w:leader="none"/>
              <w:tab w:val="right" w:pos="9911" w:leader="dot"/>
            </w:tabs>
            <w:rPr>
              <w:rFonts w:ascii="Times New Roman" w:hAnsi="Times New Roman"/>
              <w:sz w:val="22"/>
              <w:szCs w:val="22"/>
            </w:rPr>
          </w:pPr>
          <w:r>
            <w:rPr>
              <w:sz w:val="22"/>
              <w:szCs w:val="22"/>
            </w:rPr>
            <w:t>5.      Требования к документации по ценообразованию на этапе закупки…………………….…..9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r>
            <w:rPr>
              <w:rFonts w:eastAsia="Calibri" w:cs="Arial" w:cstheme="minorBidi"/>
              <w:b w:val="false"/>
              <w:bCs w:val="false"/>
              <w:vanish w:val="false"/>
              <w:sz w:val="22"/>
              <w:szCs w:val="22"/>
            </w:rPr>
            <w:t xml:space="preserve">          </w:t>
          </w:r>
          <w:hyperlink w:anchor="_Toc179884605" w:tgtFrame="#_Toc179884605">
            <w:r>
              <w:rPr>
                <w:webHidden/>
                <w:rStyle w:val="Style16"/>
                <w:rFonts w:eastAsia="Calibri" w:cs="Arial" w:cstheme="minorBidi"/>
                <w:b w:val="false"/>
                <w:bCs w:val="false"/>
                <w:vanish w:val="false"/>
                <w:sz w:val="22"/>
                <w:szCs w:val="22"/>
              </w:rPr>
              <w:t>Таблица 3.1 Требования к продукции</w:t>
            </w:r>
            <w:r>
              <w:rPr>
                <w:rStyle w:val="Style16"/>
                <w:rFonts w:eastAsia="Arial" w:cs="Arial" w:cstheme="minorBidi" w:eastAsiaTheme="minorEastAsia"/>
                <w:b w:val="false"/>
                <w:bCs w:val="false"/>
                <w:sz w:val="22"/>
                <w:szCs w:val="22"/>
              </w:rPr>
              <w:tab/>
            </w:r>
          </w:hyperlink>
          <w:r>
            <w:rPr>
              <w:rFonts w:eastAsia="Arial" w:cs="Arial" w:cstheme="minorBidi" w:eastAsiaTheme="minorEastAsia"/>
              <w:b w:val="false"/>
              <w:bCs w:val="false"/>
              <w:sz w:val="22"/>
              <w:szCs w:val="22"/>
            </w:rPr>
            <w:t>10</w:t>
          </w:r>
          <w:r>
            <w:rPr>
              <w:sz w:val="22"/>
              <w:b w:val="false"/>
              <w:szCs w:val="22"/>
              <w:bCs w:val="false"/>
              <w:rFonts w:eastAsia="Arial" w:cs="Arial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left" w:pos="560" w:leader="none"/>
          <w:tab w:val="right" w:pos="9911" w:leader="dot"/>
        </w:tabs>
        <w:rPr>
          <w:rFonts w:ascii="Times New Roman" w:hAnsi="Times New Roman" w:eastAsia="Arial" w:cs="Arial" w:cstheme="minorBidi" w:eastAsiaTheme="minorEastAsia"/>
          <w:b w:val="false"/>
          <w:bCs w:val="false"/>
          <w:sz w:val="22"/>
          <w:szCs w:val="22"/>
        </w:rPr>
      </w:pPr>
      <w:r>
        <w:rPr>
          <w:rFonts w:eastAsia="Arial" w:cs="Arial" w:cstheme="minorBidi" w:eastAsiaTheme="minorEastAsia"/>
          <w:b w:val="false"/>
          <w:bCs w:val="false"/>
          <w:sz w:val="22"/>
          <w:szCs w:val="22"/>
        </w:rPr>
      </w:r>
    </w:p>
    <w:p>
      <w:pPr>
        <w:pStyle w:val="TOC1"/>
        <w:tabs>
          <w:tab w:val="clear" w:pos="708"/>
          <w:tab w:val="left" w:pos="560" w:leader="none"/>
          <w:tab w:val="right" w:pos="9911" w:leader="dot"/>
        </w:tabs>
        <w:rPr>
          <w:rFonts w:ascii="Times New Roman" w:hAnsi="Times New Roman" w:eastAsia="Arial" w:cs="Arial" w:cstheme="minorBidi" w:eastAsiaTheme="minorEastAsia"/>
          <w:b w:val="false"/>
          <w:bCs w:val="false"/>
          <w:sz w:val="22"/>
          <w:szCs w:val="22"/>
        </w:rPr>
      </w:pPr>
      <w:r>
        <w:rPr>
          <w:rFonts w:eastAsia="Arial" w:cs="Arial" w:cstheme="minorBidi" w:eastAsiaTheme="minorEastAsia"/>
          <w:b w:val="false"/>
          <w:bCs w:val="false"/>
          <w:sz w:val="22"/>
          <w:szCs w:val="22"/>
        </w:rPr>
      </w:r>
    </w:p>
    <w:p>
      <w:pPr>
        <w:pStyle w:val="Heading2"/>
        <w:tabs>
          <w:tab w:val="clear" w:pos="0"/>
        </w:tabs>
        <w:ind w:left="0" w:hanging="0"/>
        <w:rPr>
          <w:rFonts w:ascii="Times New Roman" w:hAnsi="Times New Roman"/>
          <w:b w:val="false"/>
          <w:i/>
          <w:i/>
          <w:sz w:val="22"/>
          <w:szCs w:val="22"/>
        </w:rPr>
      </w:pPr>
      <w:r>
        <w:rPr>
          <w:b w:val="false"/>
          <w:i/>
          <w:sz w:val="22"/>
          <w:szCs w:val="22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i/>
          <w:i/>
          <w:sz w:val="22"/>
          <w:szCs w:val="22"/>
        </w:rPr>
      </w:pPr>
      <w:r>
        <w:rPr>
          <w:rFonts w:eastAsia="Calibri"/>
          <w:b/>
          <w:i/>
          <w:sz w:val="22"/>
          <w:szCs w:val="22"/>
        </w:rPr>
      </w:r>
      <w:r>
        <w:br w:type="page"/>
      </w:r>
    </w:p>
    <w:p>
      <w:pPr>
        <w:pStyle w:val="Heading1"/>
        <w:keepLines/>
        <w:numPr>
          <w:ilvl w:val="0"/>
          <w:numId w:val="1"/>
        </w:numPr>
        <w:ind w:left="357" w:hanging="357"/>
        <w:jc w:val="center"/>
        <w:rPr>
          <w:rFonts w:ascii="Times New Roman" w:hAnsi="Times New Roman"/>
          <w:sz w:val="22"/>
          <w:szCs w:val="22"/>
        </w:rPr>
      </w:pPr>
      <w:bookmarkStart w:id="0" w:name="_Toc179884594"/>
      <w:bookmarkStart w:id="1" w:name="_Toc51339692"/>
      <w:r>
        <w:rPr>
          <w:sz w:val="22"/>
          <w:szCs w:val="22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1"/>
        </w:numPr>
        <w:rPr>
          <w:rFonts w:ascii="Times New Roman" w:hAnsi="Times New Roman"/>
          <w:sz w:val="22"/>
          <w:szCs w:val="22"/>
        </w:rPr>
      </w:pPr>
      <w:bookmarkStart w:id="2" w:name="_Toc179884595"/>
      <w:bookmarkStart w:id="3" w:name="_Toc46743505"/>
      <w:r>
        <w:rPr>
          <w:sz w:val="22"/>
          <w:szCs w:val="22"/>
        </w:rPr>
        <w:t>Обозначения и сокращения</w:t>
      </w:r>
      <w:bookmarkEnd w:id="2"/>
      <w:bookmarkEnd w:id="3"/>
    </w:p>
    <w:p>
      <w:pPr>
        <w:pStyle w:val="Normal"/>
        <w:rPr>
          <w:rFonts w:ascii="Times New Roman" w:hAnsi="Times New Roman"/>
          <w:b w:val="false"/>
          <w:bCs/>
          <w:iCs/>
          <w:sz w:val="22"/>
          <w:szCs w:val="22"/>
        </w:rPr>
      </w:pPr>
      <w:r>
        <w:rPr>
          <w:b w:val="false"/>
          <w:bCs/>
          <w:iCs/>
          <w:sz w:val="22"/>
          <w:szCs w:val="22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ДГУ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Дизель-генераторная установка</w:t>
            </w:r>
          </w:p>
        </w:tc>
      </w:tr>
    </w:tbl>
    <w:p>
      <w:pPr>
        <w:pStyle w:val="Normal"/>
        <w:keepNext w:val="true"/>
        <w:keepLines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  <w:r>
        <w:br w:type="page"/>
      </w:r>
    </w:p>
    <w:p>
      <w:pPr>
        <w:pStyle w:val="Heading4"/>
        <w:numPr>
          <w:ilvl w:val="1"/>
          <w:numId w:val="1"/>
        </w:numPr>
        <w:rPr>
          <w:rFonts w:ascii="Times New Roman" w:hAnsi="Times New Roman"/>
          <w:sz w:val="22"/>
          <w:szCs w:val="22"/>
        </w:rPr>
      </w:pPr>
      <w:bookmarkStart w:id="4" w:name="_Toc179884596"/>
      <w:bookmarkStart w:id="5" w:name="_Toc46743506"/>
      <w:r>
        <w:rPr>
          <w:sz w:val="22"/>
          <w:szCs w:val="22"/>
        </w:rPr>
        <w:t>Наименование закупаемой продукции</w:t>
      </w:r>
      <w:bookmarkEnd w:id="4"/>
      <w:bookmarkEnd w:id="5"/>
    </w:p>
    <w:p>
      <w:pPr>
        <w:pStyle w:val="Heading4"/>
        <w:tabs>
          <w:tab w:val="clear" w:pos="0"/>
        </w:tabs>
        <w:spacing w:before="240" w:after="60"/>
        <w:ind w:left="0" w:hanging="0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ОКПД2 28.11.42.000  Поставка ремкомплектов РТИ дизель-генераторов 6ЧН 26/26 (Д-49) для нужд филиалов АО «Сахаэнерго»</w:t>
      </w:r>
    </w:p>
    <w:p>
      <w:pPr>
        <w:pStyle w:val="Normal"/>
        <w:spacing w:before="240" w:after="60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b/>
          <w:bCs/>
          <w:sz w:val="22"/>
          <w:szCs w:val="22"/>
        </w:rPr>
        <w:t>1.3. Цели использования закупаемой продукции.</w:t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Поставляемая продукция необходима для ремонта дизельных двигателей АО «Сахаэнерго»</w:t>
      </w:r>
    </w:p>
    <w:p>
      <w:pPr>
        <w:pStyle w:val="Heading1"/>
        <w:keepLines/>
        <w:numPr>
          <w:ilvl w:val="0"/>
          <w:numId w:val="1"/>
        </w:numPr>
        <w:ind w:left="357" w:hanging="357"/>
        <w:jc w:val="center"/>
        <w:rPr>
          <w:rFonts w:ascii="Times New Roman" w:hAnsi="Times New Roman"/>
          <w:sz w:val="22"/>
          <w:szCs w:val="22"/>
        </w:rPr>
      </w:pPr>
      <w:bookmarkStart w:id="6" w:name="_Toc46743510"/>
      <w:bookmarkStart w:id="7" w:name="_Toc51339693"/>
      <w:bookmarkStart w:id="8" w:name="_Toc179884598"/>
      <w:bookmarkStart w:id="9" w:name="_Toc50125126"/>
      <w:bookmarkEnd w:id="9"/>
      <w:r>
        <w:rPr>
          <w:iCs/>
          <w:sz w:val="22"/>
          <w:szCs w:val="22"/>
        </w:rPr>
        <w:t>Требования к продукции</w:t>
      </w:r>
      <w:bookmarkEnd w:id="7"/>
      <w:bookmarkEnd w:id="8"/>
    </w:p>
    <w:p>
      <w:pPr>
        <w:pStyle w:val="Heading4"/>
        <w:numPr>
          <w:ilvl w:val="1"/>
          <w:numId w:val="1"/>
        </w:numPr>
        <w:rPr>
          <w:rFonts w:ascii="Times New Roman" w:hAnsi="Times New Roman"/>
          <w:sz w:val="22"/>
          <w:szCs w:val="22"/>
        </w:rPr>
      </w:pPr>
      <w:bookmarkStart w:id="10" w:name="_Toc179884599"/>
      <w:r>
        <w:rPr>
          <w:sz w:val="22"/>
          <w:szCs w:val="22"/>
        </w:rPr>
        <w:t>Требования к объемам и срокам поставки</w:t>
      </w:r>
      <w:bookmarkEnd w:id="10"/>
    </w:p>
    <w:p>
      <w:pPr>
        <w:pStyle w:val="Heading3"/>
        <w:numPr>
          <w:ilvl w:val="2"/>
          <w:numId w:val="1"/>
        </w:numPr>
        <w:rPr>
          <w:rFonts w:ascii="Times New Roman" w:hAnsi="Times New Roman"/>
          <w:sz w:val="22"/>
          <w:szCs w:val="22"/>
        </w:rPr>
      </w:pPr>
      <w:bookmarkStart w:id="11" w:name="_Toc179884600"/>
      <w:r>
        <w:rPr>
          <w:sz w:val="22"/>
          <w:szCs w:val="22"/>
        </w:rPr>
        <w:t>Перечень и объем закупаемой продукции</w:t>
      </w:r>
      <w:bookmarkEnd w:id="11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rFonts w:ascii="Times New Roman" w:hAnsi="Times New Roman"/>
          <w:sz w:val="22"/>
          <w:szCs w:val="22"/>
        </w:rPr>
      </w:pPr>
      <w:bookmarkStart w:id="12" w:name="_Toc179884601"/>
      <w:bookmarkStart w:id="13" w:name="_Toc51339695"/>
      <w:r>
        <w:rPr>
          <w:sz w:val="22"/>
          <w:szCs w:val="22"/>
        </w:rPr>
        <w:t xml:space="preserve">Таблица 1.1 Перечень </w:t>
      </w:r>
      <w:bookmarkEnd w:id="13"/>
      <w:r>
        <w:rPr>
          <w:sz w:val="22"/>
          <w:szCs w:val="22"/>
        </w:rPr>
        <w:t>и объем закупаемой продукции</w:t>
      </w:r>
      <w:bookmarkEnd w:id="12"/>
    </w:p>
    <w:tbl>
      <w:tblPr>
        <w:tblW w:w="10363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58"/>
        <w:gridCol w:w="7095"/>
        <w:gridCol w:w="1072"/>
        <w:gridCol w:w="1637"/>
      </w:tblGrid>
      <w:tr>
        <w:trPr/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</w:tr>
      <w:tr>
        <w:trPr/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Колпак Д49.107.26 для дизель-генераторной установки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65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переходника 1ТК.2.13-ИРП-1225-ТУ38 105 1959-90 резиновое для дизель-генераторной установки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5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03Д49.85.10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65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1Д43.128.119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30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2Д42.128.12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10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30Д.36.08.8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125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30Д.92.24-5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10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33Д.165.23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25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37Д.38.06С резиновое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145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37Д.85.37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160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37Д67.24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10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3-9ДГ196.36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200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3А-6Д49.140.21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5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3Д42.102.22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5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40Д.66.182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10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4ШМ.4.44А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60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4ШМ.4.45А резиновое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5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5Д49.17.12-1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35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5Д49.78.05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240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5Д49.92.08 резиновое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25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5Д49.92.09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10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5Д49.92.10 резиновое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5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5ХМ.00.59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15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6Д49.128.57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65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6Д49.169.85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60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6Д49.173.12 резиновое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30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6Д49.35.49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125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6Д49.36.11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250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7-2Д42.128.43 резиновое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65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7РС1.02.055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5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7РС1.02.056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25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Д42.98.09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65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Д49.107.23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65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Д49.123.06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10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Д49.78.44 резиновое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125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Д49.78.50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65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Д49.78.50-1 для дизельного двигателя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65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круглого сечения 065-075-58-2-2 2 65х75мм 58мм 2 ГОСТ 18829-2017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5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крышки цилиндра Д49.78.47-1 для дизельного двигателя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125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Н6-005 для дизельного двигателя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200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на переливные патрубки 1Д40.35.74 для дизельного двигателя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750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резина ПП Дизельмаш 1-М7РС1.00.007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10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резина ПП Дизельмаш 1-М7РС1.00.008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5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резиновое 14Д40.108.50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10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резиновое 185-195-46-2-2 ГОСТ 18829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140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резиновое 1Д40.35.95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5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резиновое 1Д43.9.126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10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резиновое 37Д193.27-1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40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резиновое 3А-6Д49.69.04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40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резиновое 3РС.03.039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50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резиновое 7РС1.02.054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10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резиновое Д42.87.08-3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65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Кольцо уплотнительное резиновое круглого сечения 30Д85.13-9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125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Манжета армированная 1.1-20х40-1 ГОСТ 8752-79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10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Манжета уплотнительная 1.1-15х30-1 резиновая ГОСТ 8752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5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Мембрана 76830 ОРН-6793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5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Прокладка 37Д173.30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5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Прокладка 6Д49.173.03-1 для дизельного двигателя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65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Прокладка уплотнительная силиконовая 6Д49.173.11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35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Уплотнение топливопровода Д49.82.12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65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jc w:val="left"/>
              <w:rPr/>
            </w:pPr>
            <w:r>
              <w:rPr/>
              <w:t>Уплотнение топливопровода Д49.82.13.01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шт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35</w:t>
            </w:r>
          </w:p>
        </w:tc>
      </w:tr>
    </w:tbl>
    <w:p>
      <w:pPr>
        <w:pStyle w:val="Heading3"/>
        <w:tabs>
          <w:tab w:val="clear" w:pos="0"/>
        </w:tabs>
        <w:ind w:left="1224" w:hanging="0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Heading3"/>
        <w:numPr>
          <w:ilvl w:val="2"/>
          <w:numId w:val="1"/>
        </w:numPr>
        <w:rPr>
          <w:rFonts w:ascii="Times New Roman" w:hAnsi="Times New Roman"/>
          <w:sz w:val="22"/>
          <w:szCs w:val="22"/>
        </w:rPr>
      </w:pPr>
      <w:bookmarkStart w:id="14" w:name="_Toc179884602"/>
      <w:r>
        <w:rPr>
          <w:sz w:val="22"/>
          <w:szCs w:val="22"/>
        </w:rPr>
        <w:t>Требования к срокам поставки продукции и оказания сопутствующих услуг</w:t>
      </w:r>
      <w:bookmarkEnd w:id="14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rFonts w:ascii="Times New Roman" w:hAnsi="Times New Roman"/>
          <w:sz w:val="22"/>
          <w:szCs w:val="22"/>
        </w:rPr>
      </w:pPr>
      <w:bookmarkStart w:id="15" w:name="_Toc179884603"/>
      <w:bookmarkStart w:id="16" w:name="_Toc50125127"/>
      <w:bookmarkStart w:id="17" w:name="_Toc51339697"/>
      <w:bookmarkStart w:id="18" w:name="_Toc50125126_Копия_1"/>
      <w:bookmarkEnd w:id="18"/>
      <w:r>
        <w:rPr>
          <w:sz w:val="22"/>
          <w:szCs w:val="22"/>
        </w:rPr>
        <w:t xml:space="preserve">Таблица 2.1 </w:t>
      </w:r>
      <w:bookmarkStart w:id="19" w:name="_Hlk50465284"/>
      <w:r>
        <w:rPr>
          <w:sz w:val="22"/>
          <w:szCs w:val="22"/>
        </w:rPr>
        <w:t xml:space="preserve">Требования по срокам </w:t>
      </w:r>
      <w:bookmarkEnd w:id="16"/>
      <w:bookmarkEnd w:id="17"/>
      <w:bookmarkEnd w:id="19"/>
      <w:r>
        <w:rPr>
          <w:sz w:val="22"/>
          <w:szCs w:val="22"/>
        </w:rPr>
        <w:t>поставки продукции</w:t>
      </w:r>
      <w:bookmarkEnd w:id="15"/>
      <w:r>
        <w:rPr>
          <w:sz w:val="22"/>
          <w:szCs w:val="22"/>
        </w:rPr>
        <w:t xml:space="preserve"> </w:t>
      </w:r>
      <w:bookmarkStart w:id="20" w:name="_Toc50125131"/>
      <w:bookmarkStart w:id="21" w:name="_Toc54785622"/>
      <w:bookmarkEnd w:id="6"/>
      <w:bookmarkEnd w:id="21"/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60"/>
        <w:gridCol w:w="2720"/>
        <w:gridCol w:w="2983"/>
        <w:gridCol w:w="3112"/>
      </w:tblGrid>
      <w:tr>
        <w:trPr/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>
        <w:trPr/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ОКПД2 28.11.42.000  Поставка ремкомплектов РТИ дизель-генераторов 6ЧН 26/26 (Д-49) для нужд филиалов АО «Сахаэнерго»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12.01.2027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01.03.2027 г.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737" w:footer="0" w:bottom="992"/>
          <w:pgNumType w:fmt="decimal"/>
          <w:formProt w:val="false"/>
          <w:titlePg/>
          <w:textDirection w:val="lrTb"/>
          <w:docGrid w:type="default" w:linePitch="100" w:charSpace="0"/>
        </w:sectPr>
      </w:pPr>
    </w:p>
    <w:p>
      <w:pPr>
        <w:pStyle w:val="Heading4"/>
        <w:numPr>
          <w:ilvl w:val="1"/>
          <w:numId w:val="1"/>
        </w:numPr>
        <w:rPr>
          <w:rFonts w:ascii="Times New Roman" w:hAnsi="Times New Roman"/>
          <w:sz w:val="22"/>
          <w:szCs w:val="22"/>
        </w:rPr>
      </w:pPr>
      <w:bookmarkStart w:id="22" w:name="_Toc51339698"/>
      <w:bookmarkStart w:id="23" w:name="_Toc179884604"/>
      <w:bookmarkStart w:id="24" w:name="_Toc46743511"/>
      <w:r>
        <w:rPr>
          <w:sz w:val="22"/>
          <w:szCs w:val="22"/>
        </w:rPr>
        <w:t xml:space="preserve">Требования к </w:t>
      </w:r>
      <w:bookmarkEnd w:id="24"/>
      <w:r>
        <w:rPr>
          <w:sz w:val="22"/>
          <w:szCs w:val="22"/>
        </w:rPr>
        <w:t>качеству продукции</w:t>
      </w:r>
      <w:bookmarkEnd w:id="23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 xml:space="preserve"> </w:t>
      </w:r>
      <w:bookmarkStart w:id="25" w:name="_Toc179884605"/>
      <w:r>
        <w:rPr>
          <w:sz w:val="22"/>
          <w:szCs w:val="22"/>
        </w:rPr>
        <w:t>Таблица 3. Требования к продукции</w:t>
      </w:r>
      <w:bookmarkEnd w:id="25"/>
      <w:r>
        <w:rPr>
          <w:sz w:val="22"/>
          <w:szCs w:val="22"/>
        </w:rPr>
        <w:t xml:space="preserve"> </w:t>
      </w:r>
      <w:bookmarkEnd w:id="20"/>
      <w:bookmarkEnd w:id="22"/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Наименование продукции (позиция № 1 – 1 Таблицы 1.1):</w:t>
      </w:r>
      <w:r>
        <w:rPr>
          <w:i/>
          <w:iCs/>
          <w:sz w:val="22"/>
          <w:szCs w:val="22"/>
        </w:rPr>
        <w:t xml:space="preserve">  «ОКПД2 28.11.42.000  Поставка ремкомплектов РТИ дизель-генераторов 6ЧН 26/26 (Д-49) для нужд филиалов АО «Сахаэнерго»»</w:t>
      </w:r>
    </w:p>
    <w:tbl>
      <w:tblPr>
        <w:tblStyle w:val="affffc"/>
        <w:tblW w:w="157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81"/>
        <w:gridCol w:w="2692"/>
        <w:gridCol w:w="5530"/>
        <w:gridCol w:w="2268"/>
        <w:gridCol w:w="2518"/>
        <w:gridCol w:w="2016"/>
      </w:tblGrid>
      <w:tr>
        <w:trPr/>
        <w:tc>
          <w:tcPr>
            <w:tcW w:w="68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269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53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478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016" w:type="dxa"/>
            <w:vMerge w:val="restart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68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69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553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с требованием/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указание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характеристик</w:t>
            </w:r>
          </w:p>
        </w:tc>
        <w:tc>
          <w:tcPr>
            <w:tcW w:w="251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01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53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251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в отношении каждой позиции продукции представлены в Приложении № 1 к настоящим Техническим требованиям</w:t>
            </w:r>
          </w:p>
        </w:tc>
        <w:tc>
          <w:tcPr>
            <w:tcW w:w="22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392" w:hRule="atLeast"/>
        </w:trPr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Требования к продукции</w:t>
            </w:r>
          </w:p>
        </w:tc>
        <w:tc>
          <w:tcPr>
            <w:tcW w:w="2268" w:type="dxa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18" w:type="dxa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313" w:hRule="atLeast"/>
        </w:trPr>
        <w:tc>
          <w:tcPr>
            <w:tcW w:w="681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kern w:val="0"/>
                <w:sz w:val="22"/>
                <w:szCs w:val="22"/>
                <w:lang w:val="ru-RU" w:eastAsia="ru-RU" w:bidi="ar-SA"/>
              </w:rPr>
              <w:t>2.1.</w:t>
            </w:r>
          </w:p>
        </w:tc>
        <w:tc>
          <w:tcPr>
            <w:tcW w:w="8222" w:type="dxa"/>
            <w:gridSpan w:val="2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highlight w:val="white"/>
                <w:lang w:val="ru-RU" w:eastAsia="ru-RU" w:bidi="ar-SA"/>
              </w:rPr>
              <w:t>Все предлагаемые к поставке позиции перечня продукции должны быть совместимы с двигателями марки cummins</w:t>
            </w:r>
          </w:p>
        </w:tc>
        <w:tc>
          <w:tcPr>
            <w:tcW w:w="2268" w:type="dxa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016" w:type="dxa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bCs/>
                <w:i/>
                <w:kern w:val="0"/>
                <w:sz w:val="22"/>
                <w:szCs w:val="22"/>
                <w:lang w:val="ru-RU" w:eastAsia="ru-RU" w:bidi="ar-SA"/>
              </w:rPr>
              <w:t>Место поставки</w:t>
            </w:r>
          </w:p>
        </w:tc>
        <w:tc>
          <w:tcPr>
            <w:tcW w:w="553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1. Приемка продукции по количеству и качеству осуществляется по адресу: 677004, РФ, РС (Я), г. Якутск, ул. Беринга, 42 Производственная база АО «Сахаэнерго».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2. В случае несоответствия поставленной продукции требованиям технического задания, Поставщик за свой счет производит замену несоответствующего товара в течение 10 рабочих дней, в противном случае вся партия товара принята Заказчиком не будет.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i/>
                <w:kern w:val="0"/>
                <w:sz w:val="22"/>
                <w:szCs w:val="22"/>
                <w:lang w:val="ru-RU" w:eastAsia="ru-RU" w:bidi="ar-SA"/>
              </w:rPr>
              <w:t>Условия транспортирования</w:t>
            </w:r>
          </w:p>
        </w:tc>
        <w:tc>
          <w:tcPr>
            <w:tcW w:w="553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spacing w:before="0" w:after="0"/>
              <w:ind w:left="72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i/>
                <w:kern w:val="0"/>
                <w:sz w:val="22"/>
                <w:szCs w:val="22"/>
                <w:lang w:val="ru-RU" w:eastAsia="ru-RU" w:bidi="ar-SA"/>
              </w:rPr>
              <w:t>ГОСТ 15150-69 (ОЖ4). Обоснование: транспортировка в район Крайнего Севера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i/>
                <w:kern w:val="0"/>
                <w:sz w:val="22"/>
                <w:szCs w:val="22"/>
                <w:lang w:val="ru-RU" w:eastAsia="ru-RU" w:bidi="ar-SA"/>
              </w:rPr>
              <w:t>Тара, используемая при  транспортировке</w:t>
            </w:r>
          </w:p>
        </w:tc>
        <w:tc>
          <w:tcPr>
            <w:tcW w:w="5530" w:type="dxa"/>
            <w:tcBorders/>
          </w:tcPr>
          <w:p>
            <w:pPr>
              <w:pStyle w:val="Normal"/>
              <w:widowControl w:val="false"/>
              <w:spacing w:before="0" w:after="0"/>
              <w:ind w:left="72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i/>
                <w:kern w:val="0"/>
                <w:sz w:val="22"/>
                <w:szCs w:val="22"/>
                <w:lang w:val="ru-RU" w:eastAsia="ru-RU" w:bidi="ar-SA"/>
              </w:rPr>
              <w:t>- соответствие тары и упаковки для многоразовой перегрузки и транспортировки ТМЦ в условиях Крайнего Севера;</w:t>
            </w:r>
          </w:p>
          <w:p>
            <w:pPr>
              <w:pStyle w:val="Normal"/>
              <w:widowControl w:val="false"/>
              <w:spacing w:before="0" w:after="0"/>
              <w:ind w:left="72" w:hanging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i/>
                <w:kern w:val="0"/>
                <w:sz w:val="22"/>
                <w:szCs w:val="22"/>
                <w:lang w:val="ru-RU" w:eastAsia="ru-RU" w:bidi="ar-SA"/>
              </w:rPr>
              <w:t>- при отгрузке продукции в упакованных местах – вложение в каждое тарное место предусмотренного стандартами, техническими условиями. Особыми условиями поставки, иными обязательными правилами или Договором документа (упаковочного ярлыка), свидетельствующего о наименовании и количестве продукции, находящейся в данном тарном месте.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6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pacing w:before="20" w:after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2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2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2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Срок гарантии</w:t>
            </w:r>
          </w:p>
        </w:tc>
        <w:tc>
          <w:tcPr>
            <w:tcW w:w="553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Срок гарантии на продукции должен составлять не менее 12 месяцев с даты подписания ТОРГ-12 или УПД.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2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20"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Документы, передаваемые вместе с продукцией</w:t>
            </w:r>
          </w:p>
        </w:tc>
        <w:tc>
          <w:tcPr>
            <w:tcW w:w="553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сертификаты качества;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товарно-транспортную накладную формы №1-Т;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shd w:fill="FFFF00" w:val="clear"/>
              </w:rPr>
              <w:t>универсальный передаточный документ (УПД) или товарную накладную ТОРГ-12 в 2 экз.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Сведения о новизне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53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1. Поставляемая продукция должна быть новой (не бывшей в эксплуатации, не допускается поставка выставочных образцов, а также собранной из восстановленных узлов и материалов), свободной от третьих лиц. Дата выпуска: не ранее 2025 года.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2. Продукция должна быть сертифицирована, а также иметь все необходимые документы, позволяющие надлежащим образом использовать продукцию.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Условия поставки эквивалентной продукции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53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Times                      NewR"/>
                <w:i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ahoma" w:cs="Times                      NewR"/>
                <w:i/>
                <w:iCs/>
                <w:kern w:val="0"/>
                <w:sz w:val="22"/>
                <w:szCs w:val="22"/>
                <w:lang w:val="ru-RU" w:eastAsia="ru-RU" w:bidi="ar-SA"/>
              </w:rPr>
              <w:t>Указанные в настоящем ТТ ссылки на марку (тип) продукции носят описательный, а не обязательный характер.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Times                      NewR"/>
                <w:i/>
                <w:iCs/>
                <w:kern w:val="0"/>
                <w:sz w:val="22"/>
                <w:szCs w:val="22"/>
                <w:lang w:val="ru-RU" w:eastAsia="ru-RU" w:bidi="ar-SA"/>
              </w:rPr>
              <w:t>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требований, обозначенных как «параметры эквивалентности».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Times                      NewR"/>
                <w:i/>
                <w:iCs/>
                <w:kern w:val="0"/>
                <w:sz w:val="22"/>
                <w:szCs w:val="22"/>
                <w:lang w:val="ru-RU" w:eastAsia="ru-RU" w:bidi="ar-SA"/>
              </w:rPr>
              <w:t>Параметрами эквивалентности являются технические характеристики продукции, указанные в приложении № 1 к настоящим техническим требованиям.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                     NewR"/>
                <w:i/>
                <w:i/>
                <w:iCs/>
                <w:sz w:val="22"/>
                <w:szCs w:val="22"/>
              </w:rPr>
            </w:pPr>
            <w:r>
              <w:rPr>
                <w:rFonts w:cs="Times                      NewR"/>
                <w:i/>
                <w:iCs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Times                      NewR"/>
                <w:i/>
                <w:iCs/>
                <w:kern w:val="0"/>
                <w:sz w:val="22"/>
                <w:szCs w:val="22"/>
                <w:lang w:val="ru-RU" w:eastAsia="ru-RU" w:bidi="ar-SA"/>
              </w:rPr>
      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ahoma" w:cs="Lohit Devanagari"/>
                <w:i/>
                <w:kern w:val="0"/>
                <w:sz w:val="22"/>
                <w:szCs w:val="22"/>
                <w:lang w:val="ru-RU" w:eastAsia="ru-RU" w:bidi="ar-SA"/>
              </w:rPr>
              <w:t>В случае предложения эквивалента предоставить каталог производителя на предлагаемую продукцию. При отсутствии каталога на эквивалентную продукцию заявка Участника подлежит отклонению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Heading1"/>
        <w:keepLines/>
        <w:ind w:left="357" w:hanging="357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sz w:val="22"/>
          <w:szCs w:val="22"/>
          <w:shd w:fill="FFFFFF" w:val="clear"/>
        </w:rPr>
      </w:r>
    </w:p>
    <w:p>
      <w:pPr>
        <w:pStyle w:val="Normal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sz w:val="22"/>
          <w:szCs w:val="22"/>
          <w:shd w:fill="FFFFFF" w:val="clear"/>
        </w:rPr>
      </w:r>
    </w:p>
    <w:p>
      <w:pPr>
        <w:pStyle w:val="Heading1"/>
        <w:keepLines/>
        <w:numPr>
          <w:ilvl w:val="0"/>
          <w:numId w:val="1"/>
        </w:numPr>
        <w:ind w:left="357" w:hanging="357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  <w:shd w:fill="FFFFFF" w:val="clear"/>
        </w:rPr>
        <w:t>В составе заявки необходимо предоставить:</w:t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  <w:shd w:fill="FFFFFF" w:val="clear"/>
        </w:rPr>
        <w:t xml:space="preserve"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продукции, требованиям настоящих ТТ, предоставляет следующие документы: </w:t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  <w:shd w:fill="FFFFFF" w:val="clear"/>
        </w:rPr>
        <w:t xml:space="preserve">    </w:t>
      </w:r>
      <w:r>
        <w:rPr>
          <w:sz w:val="22"/>
          <w:szCs w:val="22"/>
          <w:shd w:fill="FFFFFF" w:val="clear"/>
        </w:rPr>
        <w:t>1) Техническое предложение, подготовленное в соответствии с настоящими ТТ по форме, представленной в документации о закупке.</w:t>
      </w:r>
    </w:p>
    <w:p>
      <w:pPr>
        <w:pStyle w:val="Normal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sz w:val="22"/>
          <w:szCs w:val="22"/>
          <w:shd w:fill="FFFFFF" w:val="clear"/>
        </w:rPr>
      </w:r>
    </w:p>
    <w:p>
      <w:pPr>
        <w:pStyle w:val="Heading1"/>
        <w:numPr>
          <w:ilvl w:val="0"/>
          <w:numId w:val="1"/>
        </w:numPr>
        <w:ind w:left="357" w:hanging="357"/>
        <w:rPr>
          <w:rFonts w:ascii="Times New Roman" w:hAnsi="Times New Roman"/>
          <w:sz w:val="22"/>
          <w:szCs w:val="22"/>
        </w:rPr>
      </w:pPr>
      <w:bookmarkStart w:id="26" w:name="_Toc179884606"/>
      <w:r>
        <w:rPr>
          <w:iCs/>
          <w:sz w:val="22"/>
          <w:szCs w:val="22"/>
          <w:shd w:fill="FFFFFF" w:val="clear"/>
        </w:rPr>
        <w:t>Приложения</w:t>
      </w:r>
      <w:bookmarkEnd w:id="26"/>
      <w:r>
        <w:rPr>
          <w:iCs/>
          <w:sz w:val="22"/>
          <w:szCs w:val="22"/>
          <w:shd w:fill="FFFFFF" w:val="clear"/>
        </w:rPr>
        <w:t>: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  <w:shd w:fill="FFFFFF" w:val="clear"/>
        </w:rPr>
        <w:t xml:space="preserve">Приложение №1: </w:t>
      </w:r>
      <w:r>
        <w:rPr>
          <w:rFonts w:eastAsia="Calibri"/>
          <w:b/>
          <w:bCs/>
          <w:sz w:val="22"/>
          <w:szCs w:val="22"/>
          <w:shd w:fill="FFFFFF" w:val="clear"/>
        </w:rPr>
        <w:t>Требования к продукции (индивидуальные требования по каждой позиции перечня продукции)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sz w:val="22"/>
          <w:szCs w:val="22"/>
          <w:shd w:fill="FFFFFF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sz w:val="22"/>
          <w:szCs w:val="22"/>
          <w:shd w:fill="FFFFFF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Fonts w:ascii="Times New Roman" w:hAnsi="Times New Roman"/>
          <w:sz w:val="22"/>
          <w:szCs w:val="22"/>
        </w:rPr>
      </w:pPr>
      <w:bookmarkStart w:id="27" w:name="_Toc149029451"/>
      <w:r>
        <w:rPr>
          <w:rFonts w:eastAsia="Calibri"/>
          <w:b/>
          <w:bCs/>
          <w:color w:val="000000"/>
          <w:sz w:val="22"/>
          <w:szCs w:val="22"/>
          <w:shd w:fill="FFFFFF" w:val="clear"/>
        </w:rPr>
        <w:t>5. Требования к документации по ценообразованию на этапе закупки</w:t>
      </w:r>
      <w:bookmarkEnd w:id="27"/>
    </w:p>
    <w:p>
      <w:pPr>
        <w:pStyle w:val="Normal"/>
        <w:jc w:val="both"/>
        <w:rPr>
          <w:rFonts w:ascii="Times New Roman" w:hAnsi="Times New Roman"/>
          <w:sz w:val="22"/>
          <w:szCs w:val="22"/>
          <w:highlight w:val="none"/>
          <w:shd w:fill="FFFFFF" w:val="clear"/>
        </w:rPr>
      </w:pPr>
      <w:r>
        <w:rPr>
          <w:sz w:val="22"/>
          <w:szCs w:val="22"/>
          <w:shd w:fill="FFFFFF" w:val="clear"/>
        </w:rPr>
      </w:r>
    </w:p>
    <w:p>
      <w:pPr>
        <w:pStyle w:val="Normal"/>
        <w:jc w:val="both"/>
        <w:rPr>
          <w:rFonts w:ascii="Times New Roman" w:hAnsi="Times New Roman" w:eastAsia="Calibri"/>
          <w:vanish/>
          <w:sz w:val="22"/>
          <w:szCs w:val="22"/>
          <w:highlight w:val="none"/>
          <w:shd w:fill="FFFFFF" w:val="clear"/>
        </w:rPr>
      </w:pPr>
      <w:r>
        <w:rPr>
          <w:rFonts w:eastAsia="Calibri"/>
          <w:vanish/>
          <w:sz w:val="22"/>
          <w:szCs w:val="22"/>
          <w:shd w:fill="FFFFFF" w:val="clear"/>
        </w:rPr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eastAsia="Calibri"/>
          <w:sz w:val="22"/>
          <w:szCs w:val="22"/>
          <w:shd w:fill="FFFFFF" w:val="clear"/>
        </w:rPr>
        <w:t xml:space="preserve">5.1.   В обоснование стоимости своей заявки Участник предоставляет Коммерческое предложение по форме </w:t>
      </w:r>
      <w:bookmarkStart w:id="28" w:name="_Hlk88325985"/>
      <w:r>
        <w:rPr>
          <w:rFonts w:eastAsia="Calibri"/>
          <w:sz w:val="22"/>
          <w:szCs w:val="22"/>
          <w:shd w:fill="FFFFFF" w:val="clear"/>
        </w:rPr>
        <w:t>(с учетом прилагаемой к ней инструкции по заполнению)</w:t>
      </w:r>
      <w:bookmarkEnd w:id="28"/>
      <w:r>
        <w:rPr>
          <w:rFonts w:eastAsia="Calibri"/>
          <w:sz w:val="22"/>
          <w:szCs w:val="22"/>
          <w:shd w:fill="FFFFFF" w:val="clear"/>
        </w:rPr>
        <w:t>, приведенной в Документации о закупке.</w:t>
      </w:r>
      <w:bookmarkStart w:id="29" w:name="_Hlk88327292"/>
    </w:p>
    <w:p>
      <w:pPr>
        <w:pStyle w:val="Normal"/>
        <w:jc w:val="both"/>
        <w:rPr>
          <w:rFonts w:ascii="Times New Roman" w:hAnsi="Times New Roman" w:eastAsia="Calibri"/>
          <w:sz w:val="22"/>
          <w:szCs w:val="22"/>
          <w:highlight w:val="none"/>
          <w:shd w:fill="FFFFFF" w:val="clear"/>
        </w:rPr>
      </w:pPr>
      <w:r>
        <w:rPr>
          <w:rFonts w:eastAsia="Calibri"/>
          <w:sz w:val="22"/>
          <w:szCs w:val="22"/>
          <w:shd w:fill="FFFFFF" w:val="clear"/>
        </w:rPr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eastAsia="Calibri"/>
          <w:sz w:val="22"/>
          <w:szCs w:val="22"/>
          <w:shd w:fill="FFFFFF" w:val="clear"/>
        </w:rPr>
        <w:t>5.2.   Дополнительные документы по ценообразованию</w:t>
      </w:r>
      <w:bookmarkEnd w:id="29"/>
      <w:r>
        <w:rPr>
          <w:rFonts w:eastAsia="Calibri"/>
          <w:sz w:val="22"/>
          <w:szCs w:val="22"/>
          <w:shd w:fill="FFFFFF" w:val="clear"/>
        </w:rPr>
        <w:t xml:space="preserve"> в состав заявки не включаются.</w:t>
      </w:r>
    </w:p>
    <w:p>
      <w:pPr>
        <w:pStyle w:val="Normal"/>
        <w:jc w:val="both"/>
        <w:rPr>
          <w:rFonts w:ascii="Times New Roman" w:hAnsi="Times New Roman" w:eastAsia="Calibri"/>
          <w:sz w:val="22"/>
          <w:szCs w:val="22"/>
          <w:highlight w:val="none"/>
          <w:shd w:fill="FFFFFF" w:val="clear"/>
        </w:rPr>
      </w:pPr>
      <w:r>
        <w:rPr>
          <w:rFonts w:eastAsia="Calibri"/>
          <w:sz w:val="22"/>
          <w:szCs w:val="22"/>
          <w:shd w:fill="FFFFFF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Fonts w:ascii="Times New Roman" w:hAnsi="Times New Roman"/>
          <w:sz w:val="22"/>
          <w:szCs w:val="22"/>
        </w:rPr>
      </w:pPr>
      <w:r>
        <w:rPr>
          <w:rFonts w:eastAsia="Calibri"/>
          <w:b w:val="false"/>
          <w:bCs w:val="false"/>
          <w:color w:val="000000"/>
          <w:sz w:val="22"/>
          <w:szCs w:val="22"/>
          <w:shd w:fill="FFFFFF" w:val="clear"/>
        </w:rPr>
        <w:t>5.3.   Стоимость за единицу продукции (товара) должна включать в себя погрузку, транспортировку товара до места поставки, подлежащие уплате налоги, сборы и пошлины и прочие затраты, и расходы поставщика, связанные с поставкой товара, предусмотренные Проектом договора (Приложение к Документации о закупке).</w:t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  <w:shd w:fill="auto" w:val="clear"/>
          <w:lang w:val="en-US"/>
        </w:rPr>
        <w:t xml:space="preserve">    </w:t>
      </w:r>
    </w:p>
    <w:p>
      <w:pPr>
        <w:pStyle w:val="Normal"/>
        <w:jc w:val="right"/>
        <w:rPr>
          <w:rFonts w:ascii="Times New Roman" w:hAnsi="Times New Roman"/>
          <w:sz w:val="22"/>
          <w:szCs w:val="22"/>
        </w:rPr>
      </w:pPr>
      <w:r>
        <w:rPr>
          <w:i/>
          <w:sz w:val="22"/>
          <w:szCs w:val="22"/>
        </w:rPr>
        <w:t>Приложение №1</w:t>
      </w:r>
    </w:p>
    <w:p>
      <w:pPr>
        <w:pStyle w:val="Normal"/>
        <w:jc w:val="right"/>
        <w:rPr>
          <w:rFonts w:ascii="Times New Roman" w:hAnsi="Times New Roman"/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Times New Roman" w:hAnsi="Times New Roman"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Таблица 3.1. Требования к продукции (индивидуальные требования по каждой позиции перечня продукции)</w:t>
      </w:r>
    </w:p>
    <w:p>
      <w:pPr>
        <w:pStyle w:val="Normal"/>
        <w:spacing w:before="0" w:after="120"/>
        <w:ind w:right="397" w:hanging="0"/>
        <w:jc w:val="both"/>
        <w:rPr>
          <w:rFonts w:ascii="Times New Roman" w:hAnsi="Times New Roman"/>
          <w:sz w:val="22"/>
          <w:szCs w:val="22"/>
        </w:rPr>
      </w:pPr>
      <w:r>
        <w:rPr>
          <w:b/>
          <w:bCs/>
          <w:sz w:val="22"/>
          <w:szCs w:val="22"/>
        </w:rPr>
        <w:t xml:space="preserve">Наименование продукции: </w:t>
      </w:r>
      <w:r>
        <w:rPr>
          <w:i/>
          <w:iCs/>
          <w:sz w:val="22"/>
          <w:szCs w:val="22"/>
        </w:rPr>
        <w:t xml:space="preserve"> «ОКПД2 28.11.42.000  Поставка ремкомплектов РТИ дизель-генераторов 6ЧН 26/26 (Д-49) для нужд филиалов АО «Сахаэнерго»»</w:t>
      </w:r>
    </w:p>
    <w:tbl>
      <w:tblPr>
        <w:tblStyle w:val="1e"/>
        <w:tblW w:w="1540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44"/>
        <w:gridCol w:w="2946"/>
        <w:gridCol w:w="3627"/>
        <w:gridCol w:w="2764"/>
        <w:gridCol w:w="2718"/>
        <w:gridCol w:w="2508"/>
      </w:tblGrid>
      <w:tr>
        <w:trPr>
          <w:trHeight w:val="311" w:hRule="atLeast"/>
        </w:trPr>
        <w:tc>
          <w:tcPr>
            <w:tcW w:w="84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Arial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294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Наименование параметра</w:t>
            </w:r>
          </w:p>
        </w:tc>
        <w:tc>
          <w:tcPr>
            <w:tcW w:w="3627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Требование заказчика</w:t>
            </w:r>
          </w:p>
        </w:tc>
        <w:tc>
          <w:tcPr>
            <w:tcW w:w="5482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508" w:type="dxa"/>
            <w:vMerge w:val="restart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Предложение участника по характеристикам и параметрам</w:t>
            </w:r>
          </w:p>
        </w:tc>
      </w:tr>
      <w:tr>
        <w:trPr>
          <w:trHeight w:val="726" w:hRule="atLeast"/>
        </w:trPr>
        <w:tc>
          <w:tcPr>
            <w:tcW w:w="84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27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Технические и функциональные характеристики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(параметры эквивалентности)</w:t>
            </w:r>
          </w:p>
        </w:tc>
        <w:tc>
          <w:tcPr>
            <w:tcW w:w="276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271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508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Arial"/>
                <w:b/>
                <w:bCs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23" w:hRule="atLeast"/>
        </w:trPr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Calibri" w:ascii="Times New Roman" w:hAnsi="Times New Roman" w:cstheme="minorHAnsi"/>
                <w:b/>
                <w:kern w:val="0"/>
                <w:sz w:val="24"/>
                <w:szCs w:val="24"/>
                <w:lang w:val="en-US" w:eastAsia="en-US" w:bidi="ar-SA"/>
              </w:rPr>
              <w:t>1</w:t>
            </w:r>
          </w:p>
        </w:tc>
        <w:tc>
          <w:tcPr>
            <w:tcW w:w="294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Calibri" w:ascii="Times New Roman" w:hAnsi="Times New Roman" w:cstheme="minorHAnsi"/>
                <w:b/>
                <w:kern w:val="0"/>
                <w:sz w:val="24"/>
                <w:szCs w:val="24"/>
                <w:lang w:val="en-US" w:eastAsia="en-US" w:bidi="ar-SA"/>
              </w:rPr>
              <w:t>2</w:t>
            </w:r>
          </w:p>
        </w:tc>
        <w:tc>
          <w:tcPr>
            <w:tcW w:w="362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Calibri" w:ascii="Times New Roman" w:hAnsi="Times New Roman" w:cstheme="minorHAnsi"/>
                <w:b/>
                <w:kern w:val="0"/>
                <w:sz w:val="24"/>
                <w:szCs w:val="24"/>
                <w:lang w:val="en-US" w:eastAsia="en-US" w:bidi="ar-SA"/>
              </w:rPr>
              <w:t>3</w:t>
            </w:r>
          </w:p>
        </w:tc>
        <w:tc>
          <w:tcPr>
            <w:tcW w:w="276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Calibri" w:ascii="Times New Roman" w:hAnsi="Times New Roman" w:cstheme="minorHAnsi"/>
                <w:b/>
                <w:bCs/>
                <w:kern w:val="0"/>
                <w:sz w:val="24"/>
                <w:szCs w:val="24"/>
                <w:lang w:val="en-US" w:eastAsia="en-US" w:bidi="ar-SA"/>
              </w:rPr>
              <w:t>4</w:t>
            </w:r>
          </w:p>
        </w:tc>
        <w:tc>
          <w:tcPr>
            <w:tcW w:w="271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Calibri" w:ascii="Times New Roman" w:hAnsi="Times New Roman" w:cstheme="minorHAnsi"/>
                <w:b/>
                <w:bCs/>
                <w:kern w:val="0"/>
                <w:sz w:val="24"/>
                <w:szCs w:val="24"/>
                <w:lang w:val="en-US" w:eastAsia="en-US" w:bidi="ar-SA"/>
              </w:rPr>
              <w:t>5</w:t>
            </w:r>
          </w:p>
        </w:tc>
        <w:tc>
          <w:tcPr>
            <w:tcW w:w="250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Calibri" w:ascii="Times New Roman" w:hAnsi="Times New Roman" w:cstheme="minorHAnsi"/>
                <w:b/>
                <w:bCs/>
                <w:kern w:val="0"/>
                <w:sz w:val="24"/>
                <w:szCs w:val="24"/>
                <w:lang w:val="en-US" w:eastAsia="en-US" w:bidi="ar-SA"/>
              </w:rPr>
              <w:t>6</w:t>
            </w:r>
          </w:p>
        </w:tc>
      </w:tr>
      <w:tr>
        <w:trPr/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Колпак Д49.107.26 для дизель-генераторной установки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Д49.107.26 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переходника 1ТК.2.13-ИРП-1225-ТУ38 105 1959-90 резиновое для дизель-генераторной установки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1ТК.2.13-ИРП-1225-ТУ38 105 1959-90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03Д49.85.10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03Д49.85.10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1Д43.128.119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1Д43.128.119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2Д42.128.12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2Д42.128.12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30Д.36.08.8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30Д.36.08.8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30Д.92.24-5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30Д.92.24-5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33Д.165.23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33Д.165.23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37Д.38.06С резиновое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37Д.38.06С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37Д.85.37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37Д.85.37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37Д67.24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37Д67.24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3-9ДГ196.36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3-9ДГ196.36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3А-6Д49.140.21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3А-6Д49.140.21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3Д42.102.22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3Д42.102.22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40Д.66.182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40Д.66.182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4ШМ.4.44А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4ШМ.4.44А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4ШМ.4.45А резиновое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4ШМ.4.45А резиновое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5Д49.17.12-1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5Д49.17.12-1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5Д49.78.05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5Д49.78.05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5Д49.92.08 резиновое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5Д49.92.08 резиновое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5Д49.92.09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5Д49.92.09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5Д49.92.10 резиновое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5Д49.92.10 резиновое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5ХМ.00.59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5ХМ.00.59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6Д49.128.57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6Д49.128.57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6Д49.169.85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6Д49.169.85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6Д49.173.12 резиновое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6Д49.173.12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6Д49.35.49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6Д49.35.49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6Д49.36.11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6Д49.36.11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7-2Д42.128.43 резиновое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7-2Д42.128.43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7РС1.02.055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7РС1.02.055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7РС1.02.056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7РС1.02.056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Д42.98.09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Д42.98.09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Д49.107.23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Д49.107.23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Д49.123.06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Д49.123.06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Д49.78.44 резиновое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Д49.78.44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Д49.78.50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Д49.78.50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Д49.78.50-1 для дизельного двигателя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Д49.78.50-1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круглого сечения 065-075-58-2-2 2 65х75мм 58мм 2 ГОСТ 18829-2017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065-075-58-2-2 2 65х75мм 58мм 2 ГОСТ 18829-2017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крышки цилиндра Д49.78.47-1 для дизельного двигателя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Д49.78.47-1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Н6-005 для дизельного двигателя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Н6-005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на переливные патрубки 1Д40.35.74 для дизельного двигателя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1Д40.35.74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резина ПП Дизельмаш 1-М7РС1.00.007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1-М7РС1.00.007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резина ПП Дизельмаш 1-М7РС1.00.008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1-М7РС1.00.008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резиновое 14Д40.108.50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14Д40.108.50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резиновое 185-195-46-2-2 ГОСТ 18829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185-195-46-2-2 ГОСТ 18829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резиновое 1Д40.35.95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1Д40.35.95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резиновое 1Д43.9.126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1Д43.9.126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резиновое 37Д193.27-1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37Д193.27-1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резиновое 3А-6Д49.69.04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3А-6Д49.69.04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резиновое 3РС.03.039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3РС.03.039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резиновое 7РС1.02.054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7РС1.02.054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резиновое Д42.87.08-3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Д42.87.08-3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Кольцо уплотнительное резиновое круглого сечения 30Д85.13-9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30Д85.13-9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Манжета армированная 1.1-20х40-1 ГОСТ 8752-79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1.1-20х40-1 ГОСТ 8752-79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Манжета уплотнительная 1.1-15х30-1 резиновая ГОСТ 8752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1.1-15х30-1 ГОСТ 8752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Мембрана 76830 ОРН-6793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76830 ОРН-6793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Прокладка 37Д173.30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37Д173.30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Прокладка 6Д49.173.03-1 для дизельного двигателя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6Д49.173.03-1 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Прокладка уплотнительная силиконовая 6Д49.173.11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6Д49.173.11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Уплотнение топливопровода Д49.82.12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Д49.82.12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  <w:tr>
        <w:trPr/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bidi w:val="0"/>
              <w:spacing w:before="0" w:after="0"/>
              <w:ind w:left="907" w:right="0" w:hanging="90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6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Уплотнение топливопровода Д49.82.13.01</w:t>
            </w:r>
          </w:p>
        </w:tc>
        <w:tc>
          <w:tcPr>
            <w:tcW w:w="3627" w:type="dxa"/>
            <w:tcBorders>
              <w:top w:val="nil"/>
              <w:left w:val="single" w:sz="6" w:space="0" w:color="000000"/>
              <w:right w:val="nil"/>
            </w:tcBorders>
          </w:tcPr>
          <w:p>
            <w:pPr>
              <w:pStyle w:val="Style37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Д49.82.13.01</w:t>
            </w:r>
          </w:p>
        </w:tc>
        <w:tc>
          <w:tcPr>
            <w:tcW w:w="2764" w:type="dxa"/>
            <w:tcBorders>
              <w:top w:val="nil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8" w:type="dxa"/>
            <w:tcBorders>
              <w:top w:val="nil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</w:tbl>
    <w:p>
      <w:pPr>
        <w:pStyle w:val="Normal"/>
        <w:spacing w:before="0" w:after="120"/>
        <w:ind w:right="397" w:hanging="0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rFonts w:ascii="Times New Roman" w:hAnsi="Times New Roman"/>
          <w:sz w:val="22"/>
          <w:szCs w:val="22"/>
        </w:rPr>
      </w:pPr>
      <w:r>
        <w:rPr/>
      </w:r>
    </w:p>
    <w:sectPr>
      <w:headerReference w:type="default" r:id="rId5"/>
      <w:headerReference w:type="first" r:id="rId6"/>
      <w:type w:val="nextPage"/>
      <w:pgSz w:orient="landscape" w:w="16838" w:h="11906"/>
      <w:pgMar w:left="992" w:right="1134" w:gutter="0" w:header="680" w:top="1134" w:footer="0" w:bottom="851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23F1C76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23F1C766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890"/>
        </w:tabs>
        <w:ind w:left="890" w:hanging="360"/>
      </w:pPr>
      <w:rPr/>
    </w:lvl>
    <w:lvl w:ilvl="1">
      <w:start w:val="1"/>
      <w:numFmt w:val="decimal"/>
      <w:lvlText w:val="%2."/>
      <w:lvlJc w:val="left"/>
      <w:pPr>
        <w:tabs>
          <w:tab w:val="num" w:pos="1250"/>
        </w:tabs>
        <w:ind w:left="1250" w:hanging="360"/>
      </w:pPr>
      <w:rPr/>
    </w:lvl>
    <w:lvl w:ilvl="2">
      <w:start w:val="1"/>
      <w:numFmt w:val="decimal"/>
      <w:lvlText w:val="%3."/>
      <w:lvlJc w:val="left"/>
      <w:pPr>
        <w:tabs>
          <w:tab w:val="num" w:pos="1610"/>
        </w:tabs>
        <w:ind w:left="1610" w:hanging="360"/>
      </w:pPr>
      <w:rPr/>
    </w:lvl>
    <w:lvl w:ilvl="3">
      <w:start w:val="1"/>
      <w:numFmt w:val="decimal"/>
      <w:lvlText w:val="%4."/>
      <w:lvlJc w:val="left"/>
      <w:pPr>
        <w:tabs>
          <w:tab w:val="num" w:pos="1970"/>
        </w:tabs>
        <w:ind w:left="1970" w:hanging="360"/>
      </w:pPr>
      <w:rPr/>
    </w:lvl>
    <w:lvl w:ilvl="4">
      <w:start w:val="1"/>
      <w:numFmt w:val="decimal"/>
      <w:lvlText w:val="%5."/>
      <w:lvlJc w:val="left"/>
      <w:pPr>
        <w:tabs>
          <w:tab w:val="num" w:pos="2330"/>
        </w:tabs>
        <w:ind w:left="2330" w:hanging="360"/>
      </w:pPr>
      <w:rPr/>
    </w:lvl>
    <w:lvl w:ilvl="5">
      <w:start w:val="1"/>
      <w:numFmt w:val="decimal"/>
      <w:lvlText w:val="%6."/>
      <w:lvlJc w:val="left"/>
      <w:pPr>
        <w:tabs>
          <w:tab w:val="num" w:pos="2690"/>
        </w:tabs>
        <w:ind w:left="2690" w:hanging="360"/>
      </w:pPr>
      <w:rPr/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/>
    </w:lvl>
    <w:lvl w:ilvl="7">
      <w:start w:val="1"/>
      <w:numFmt w:val="decimal"/>
      <w:lvlText w:val="%8."/>
      <w:lvlJc w:val="left"/>
      <w:pPr>
        <w:tabs>
          <w:tab w:val="num" w:pos="3410"/>
        </w:tabs>
        <w:ind w:left="3410" w:hanging="360"/>
      </w:pPr>
      <w:rPr/>
    </w:lvl>
    <w:lvl w:ilvl="8">
      <w:start w:val="1"/>
      <w:numFmt w:val="decimal"/>
      <w:lvlText w:val="%9."/>
      <w:lvlJc w:val="left"/>
      <w:pPr>
        <w:tabs>
          <w:tab w:val="num" w:pos="3770"/>
        </w:tabs>
        <w:ind w:left="3770" w:hanging="36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Lohit Devanagar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ahoma" w:cs="Lohit Devanagari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outlineLvl w:val="1"/>
    </w:pPr>
    <w:rPr/>
  </w:style>
  <w:style w:type="paragraph" w:styleId="Heading3">
    <w:name w:val="Heading 3"/>
    <w:basedOn w:val="Normal"/>
    <w:next w:val="Normal"/>
    <w:link w:val="3"/>
    <w:qFormat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</w:rPr>
  </w:style>
  <w:style w:type="paragraph" w:styleId="Heading4">
    <w:name w:val="Heading 4"/>
    <w:basedOn w:val="Heading3"/>
    <w:next w:val="Normal"/>
    <w:link w:val="4"/>
    <w:qFormat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6"/>
    <w:uiPriority w:val="9"/>
    <w:qFormat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Heading7">
    <w:name w:val="Heading 7"/>
    <w:basedOn w:val="Normal"/>
    <w:next w:val="Normal"/>
    <w:link w:val="7"/>
    <w:uiPriority w:val="9"/>
    <w:qFormat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Heading8">
    <w:name w:val="Heading 8"/>
    <w:basedOn w:val="Normal"/>
    <w:next w:val="Normal"/>
    <w:link w:val="8"/>
    <w:uiPriority w:val="9"/>
    <w:qFormat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9"/>
    <w:uiPriority w:val="9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leChar" w:customStyle="1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color w:val="2F5496" w:themeColor="accent1" w:themeShade="bf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Style" w:customStyle="1">
    <w:name w:val="Заголовок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 w:customStyle="1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 w:customStyle="1">
    <w:name w:val="Quote Char"/>
    <w:basedOn w:val="DefaultParagraphFont"/>
    <w:uiPriority w:val="29"/>
    <w:qFormat/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uiPriority w:val="30"/>
    <w:qFormat/>
    <w:rPr>
      <w:i/>
      <w:iCs/>
      <w:color w:val="2F5496" w:themeColor="accent1" w:themeShade="bf"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Style1" w:customStyle="1">
    <w:name w:val="Нижний колонтитул Знак"/>
    <w:basedOn w:val="DefaultParagraphFont"/>
    <w:uiPriority w:val="99"/>
    <w:qFormat/>
    <w:rPr/>
  </w:style>
  <w:style w:type="character" w:styleId="FootnoteTextChar" w:customStyle="1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EndnoteTextChar" w:customStyle="1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Style2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uiPriority w:val="99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6" w:customStyle="1">
    <w:name w:val="Заголовок 6 Знак"/>
    <w:uiPriority w:val="9"/>
    <w:qFormat/>
    <w:rPr>
      <w:rFonts w:ascii="Cambria" w:hAnsi="Cambria"/>
      <w:i/>
      <w:iCs/>
      <w:color w:val="243F60"/>
    </w:rPr>
  </w:style>
  <w:style w:type="character" w:styleId="7" w:customStyle="1">
    <w:name w:val="Заголовок 7 Знак"/>
    <w:uiPriority w:val="9"/>
    <w:qFormat/>
    <w:rPr>
      <w:rFonts w:ascii="Cambria" w:hAnsi="Cambria"/>
      <w:i/>
      <w:iCs/>
      <w:color w:val="404040"/>
    </w:rPr>
  </w:style>
  <w:style w:type="character" w:styleId="8" w:customStyle="1">
    <w:name w:val="Заголовок 8 Знак"/>
    <w:uiPriority w:val="9"/>
    <w:qFormat/>
    <w:rPr>
      <w:rFonts w:ascii="Cambria" w:hAnsi="Cambria"/>
      <w:color w:val="4F81BD"/>
    </w:rPr>
  </w:style>
  <w:style w:type="character" w:styleId="1" w:customStyle="1">
    <w:name w:val="Заголовок 1 Знак"/>
    <w:qFormat/>
    <w:rPr>
      <w:rFonts w:eastAsia="Calibri"/>
      <w:b/>
      <w:sz w:val="28"/>
      <w:szCs w:val="28"/>
    </w:rPr>
  </w:style>
  <w:style w:type="character" w:styleId="2" w:customStyle="1">
    <w:name w:val="Заголовок 2 Знак"/>
    <w:qFormat/>
    <w:rPr>
      <w:rFonts w:eastAsia="Calibri"/>
      <w:b/>
      <w:bCs/>
      <w:sz w:val="24"/>
      <w:szCs w:val="24"/>
    </w:rPr>
  </w:style>
  <w:style w:type="character" w:styleId="3" w:customStyle="1">
    <w:name w:val="Заголовок 3 Знак"/>
    <w:qFormat/>
    <w:rPr>
      <w:rFonts w:eastAsia="Calibri"/>
      <w:b/>
      <w:sz w:val="24"/>
      <w:szCs w:val="24"/>
    </w:rPr>
  </w:style>
  <w:style w:type="character" w:styleId="4" w:customStyle="1">
    <w:name w:val="Заголовок 4 Знак"/>
    <w:qFormat/>
    <w:rPr>
      <w:rFonts w:eastAsia="Calibri"/>
      <w:b/>
      <w:bCs/>
      <w:sz w:val="24"/>
      <w:szCs w:val="24"/>
    </w:rPr>
  </w:style>
  <w:style w:type="character" w:styleId="5" w:customStyle="1">
    <w:name w:val="Заголовок 5 Знак"/>
    <w:uiPriority w:val="9"/>
    <w:qFormat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Pr>
      <w:rFonts w:ascii="Arial" w:hAnsi="Arial" w:cs="Arial"/>
      <w:sz w:val="22"/>
      <w:szCs w:val="22"/>
    </w:rPr>
  </w:style>
  <w:style w:type="character" w:styleId="Style3" w:customStyle="1">
    <w:name w:val="Название Знак"/>
    <w:link w:val="16"/>
    <w:uiPriority w:val="10"/>
    <w:qFormat/>
    <w:rPr>
      <w:sz w:val="28"/>
    </w:rPr>
  </w:style>
  <w:style w:type="character" w:styleId="Style4" w:customStyle="1">
    <w:name w:val="Подзаголовок Знак"/>
    <w:uiPriority w:val="11"/>
    <w:qFormat/>
    <w:rPr>
      <w:rFonts w:ascii="Cambria" w:hAnsi="Cambria"/>
      <w:i/>
      <w:iCs/>
      <w:color w:val="4F81BD"/>
      <w:spacing w:val="15"/>
      <w:sz w:val="24"/>
      <w:szCs w:val="24"/>
    </w:rPr>
  </w:style>
  <w:style w:type="character" w:styleId="Emphasis">
    <w:name w:val="Emphasis"/>
    <w:uiPriority w:val="20"/>
    <w:qFormat/>
    <w:rPr>
      <w:i/>
      <w:iCs/>
    </w:rPr>
  </w:style>
  <w:style w:type="character" w:styleId="21" w:customStyle="1">
    <w:name w:val="Цитата 2 Знак"/>
    <w:link w:val="Quote"/>
    <w:uiPriority w:val="29"/>
    <w:qFormat/>
    <w:rPr>
      <w:rFonts w:ascii="Calibri" w:hAnsi="Calibri" w:eastAsia="Calibri"/>
      <w:i/>
      <w:iCs/>
      <w:color w:val="000000"/>
    </w:rPr>
  </w:style>
  <w:style w:type="character" w:styleId="Style5" w:customStyle="1">
    <w:name w:val="Выделенная цитата Знак"/>
    <w:link w:val="IntenseQuote"/>
    <w:uiPriority w:val="30"/>
    <w:qFormat/>
    <w:rPr>
      <w:rFonts w:ascii="Calibri" w:hAnsi="Calibri" w:eastAsia="Calibri"/>
      <w:b/>
      <w:bCs/>
      <w:i/>
      <w:iCs/>
      <w:color w:val="4F81BD"/>
    </w:rPr>
  </w:style>
  <w:style w:type="character" w:styleId="SubtleEmphasis">
    <w:name w:val="Subtle Emphasis"/>
    <w:uiPriority w:val="19"/>
    <w:qFormat/>
    <w:rPr>
      <w:i/>
      <w:iCs/>
      <w:color w:val="808080"/>
    </w:rPr>
  </w:style>
  <w:style w:type="character" w:styleId="IntenseEmphasis">
    <w:name w:val="Intense Emphasis"/>
    <w:uiPriority w:val="21"/>
    <w:qFormat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Pr>
      <w:smallCaps/>
      <w:color w:val="C0504D"/>
      <w:u w:val="single"/>
    </w:rPr>
  </w:style>
  <w:style w:type="character" w:styleId="IntenseReference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Pr>
      <w:b/>
      <w:bCs/>
      <w:smallCaps/>
      <w:spacing w:val="5"/>
    </w:rPr>
  </w:style>
  <w:style w:type="character" w:styleId="Style6" w:customStyle="1">
    <w:name w:val="Электронная подпись Знак"/>
    <w:link w:val="E-mailSignature"/>
    <w:uiPriority w:val="99"/>
    <w:qFormat/>
    <w:rPr>
      <w:rFonts w:eastAsia="Calibri"/>
      <w:sz w:val="24"/>
      <w:szCs w:val="24"/>
    </w:rPr>
  </w:style>
  <w:style w:type="character" w:styleId="11" w:customStyle="1">
    <w:name w:val="Подпункт Знак1"/>
    <w:link w:val="Style24"/>
    <w:qFormat/>
    <w:rPr>
      <w:sz w:val="28"/>
    </w:rPr>
  </w:style>
  <w:style w:type="character" w:styleId="Style7" w:customStyle="1">
    <w:name w:val="Текст сноски Знак"/>
    <w:uiPriority w:val="99"/>
    <w:qFormat/>
    <w:rPr/>
  </w:style>
  <w:style w:type="character" w:styleId="Style8" w:customStyle="1">
    <w:name w:val="Основной текст Знак"/>
    <w:qFormat/>
    <w:rPr>
      <w:sz w:val="28"/>
      <w:szCs w:val="28"/>
    </w:rPr>
  </w:style>
  <w:style w:type="character" w:styleId="Blk" w:customStyle="1">
    <w:name w:val="blk"/>
    <w:qFormat/>
    <w:rPr/>
  </w:style>
  <w:style w:type="character" w:styleId="Style9" w:customStyle="1">
    <w:name w:val="Абзац списка Знак"/>
    <w:link w:val="ListParagraph"/>
    <w:uiPriority w:val="34"/>
    <w:qFormat/>
    <w:rPr>
      <w:rFonts w:eastAsia="Calibri"/>
      <w:sz w:val="24"/>
      <w:szCs w:val="24"/>
    </w:rPr>
  </w:style>
  <w:style w:type="character" w:styleId="Style10" w:customStyle="1">
    <w:name w:val="комментарий"/>
    <w:qFormat/>
    <w:rPr>
      <w:b/>
      <w:i/>
      <w:shd w:fill="FFFF99" w:val="clear"/>
    </w:rPr>
  </w:style>
  <w:style w:type="character" w:styleId="Style11" w:customStyle="1">
    <w:name w:val="Подподпункт Знак"/>
    <w:link w:val="Style32"/>
    <w:qFormat/>
    <w:rPr>
      <w:sz w:val="26"/>
      <w:szCs w:val="26"/>
    </w:rPr>
  </w:style>
  <w:style w:type="character" w:styleId="31" w:customStyle="1">
    <w:name w:val="УРОВЕНЬ_Абзац_тип3 Знак"/>
    <w:link w:val="36"/>
    <w:qFormat/>
    <w:rPr>
      <w:rFonts w:eastAsia="Calibri"/>
      <w:sz w:val="26"/>
      <w:szCs w:val="28"/>
      <w:lang w:eastAsia="en-US"/>
    </w:rPr>
  </w:style>
  <w:style w:type="character" w:styleId="Style12" w:customStyle="1">
    <w:name w:val="Верхний колонтитул Знак"/>
    <w:uiPriority w:val="99"/>
    <w:qFormat/>
    <w:rPr>
      <w:sz w:val="24"/>
      <w:szCs w:val="24"/>
    </w:rPr>
  </w:style>
  <w:style w:type="character" w:styleId="Style13" w:customStyle="1">
    <w:name w:val="Текст примечания Знак"/>
    <w:link w:val="Annotationtext"/>
    <w:semiHidden/>
    <w:qFormat/>
    <w:rPr/>
  </w:style>
  <w:style w:type="character" w:styleId="Style14" w:customStyle="1">
    <w:name w:val="Текст концевой сноски Знак"/>
    <w:basedOn w:val="DefaultParagraphFont"/>
    <w:qFormat/>
    <w:rPr/>
  </w:style>
  <w:style w:type="character" w:styleId="Style15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Pr>
      <w:b/>
      <w:sz w:val="28"/>
    </w:rPr>
  </w:style>
  <w:style w:type="character" w:styleId="12" w:customStyle="1">
    <w:name w:val="УРОВЕНЬ_1. Знак"/>
    <w:qFormat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Pr>
      <w:sz w:val="16"/>
      <w:szCs w:val="16"/>
    </w:rPr>
  </w:style>
  <w:style w:type="character" w:styleId="Style16" w:customStyle="1">
    <w:name w:val="Ссылка указателя"/>
    <w:qFormat/>
    <w:rPr/>
  </w:style>
  <w:style w:type="character" w:styleId="Style17" w:customStyle="1">
    <w:name w:val="Символ нумерации"/>
    <w:qFormat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link w:val="Style8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14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14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14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14"/>
    <w:qFormat/>
    <w:pPr/>
    <w:rPr/>
  </w:style>
  <w:style w:type="paragraph" w:styleId="Title">
    <w:name w:val="Title"/>
    <w:basedOn w:val="Normal"/>
    <w:next w:val="Normal"/>
    <w:link w:val="Style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Tableoffigures">
    <w:name w:val="table of figures"/>
    <w:basedOn w:val="Normal"/>
    <w:next w:val="Normal"/>
    <w:uiPriority w:val="99"/>
    <w:unhideWhenUsed/>
    <w:qFormat/>
    <w:pPr/>
    <w:rPr/>
  </w:style>
  <w:style w:type="paragraph" w:styleId="Indexheading1111" w:customStyle="1">
    <w:name w:val="index heading1111"/>
    <w:basedOn w:val="14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 w:customStyle="1">
    <w:name w:val="index heading11111"/>
    <w:basedOn w:val="14"/>
    <w:qFormat/>
    <w:pPr/>
    <w:rPr/>
  </w:style>
  <w:style w:type="paragraph" w:styleId="Style20" w:customStyle="1">
    <w:name w:val="Название раздела инструкции"/>
    <w:basedOn w:val="Normal"/>
    <w:qFormat/>
    <w:pPr>
      <w:jc w:val="center"/>
    </w:pPr>
    <w:rPr>
      <w:b/>
    </w:rPr>
  </w:style>
  <w:style w:type="paragraph" w:styleId="Style21" w:customStyle="1">
    <w:name w:val="Раздел положения"/>
    <w:basedOn w:val="Normal"/>
    <w:qFormat/>
    <w:pPr>
      <w:tabs>
        <w:tab w:val="clear" w:pos="708"/>
        <w:tab w:val="left" w:pos="360" w:leader="none"/>
      </w:tabs>
      <w:spacing w:before="80" w:after="80"/>
      <w:ind w:left="360" w:hanging="360"/>
      <w:jc w:val="center"/>
    </w:pPr>
    <w:rPr>
      <w:b/>
      <w:sz w:val="32"/>
      <w:szCs w:val="32"/>
    </w:rPr>
  </w:style>
  <w:style w:type="paragraph" w:styleId="Style22" w:customStyle="1">
    <w:name w:val="Подраздел раздела положения"/>
    <w:basedOn w:val="Normal"/>
    <w:qFormat/>
    <w:pPr>
      <w:tabs>
        <w:tab w:val="clear" w:pos="708"/>
        <w:tab w:val="left" w:pos="357" w:leader="none"/>
      </w:tabs>
      <w:spacing w:before="80" w:after="80"/>
      <w:jc w:val="both"/>
    </w:pPr>
    <w:rPr/>
  </w:style>
  <w:style w:type="paragraph" w:styleId="FootnoteText">
    <w:name w:val="Footnote Text"/>
    <w:basedOn w:val="Normal"/>
    <w:link w:val="Style7"/>
    <w:uiPriority w:val="99"/>
    <w:pPr/>
    <w:rPr>
      <w:sz w:val="20"/>
      <w:szCs w:val="20"/>
    </w:rPr>
  </w:style>
  <w:style w:type="paragraph" w:styleId="15" w:customStyle="1">
    <w:name w:val="Шапка 1"/>
    <w:basedOn w:val="Normal"/>
    <w:qFormat/>
    <w:pPr>
      <w:pBdr>
        <w:bottom w:val="single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pPr>
      <w:pBdr>
        <w:bottom w:val="single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pPr>
      <w:pBdr>
        <w:bottom w:val="single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link w:val="Style3"/>
    <w:uiPriority w:val="10"/>
    <w:qFormat/>
    <w:pPr>
      <w:jc w:val="center"/>
    </w:pPr>
    <w:rPr>
      <w:szCs w:val="20"/>
    </w:rPr>
  </w:style>
  <w:style w:type="paragraph" w:styleId="Style2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4" w:customStyle="1">
    <w:name w:val="Подпункт"/>
    <w:basedOn w:val="Normal"/>
    <w:link w:val="11"/>
    <w:qFormat/>
    <w:pPr>
      <w:tabs>
        <w:tab w:val="clear" w:pos="708"/>
        <w:tab w:val="left" w:pos="1134" w:leader="none"/>
      </w:tabs>
      <w:spacing w:lineRule="auto" w:line="360"/>
      <w:ind w:left="1134" w:hanging="1134"/>
      <w:jc w:val="both"/>
    </w:pPr>
    <w:rPr>
      <w:szCs w:val="20"/>
    </w:rPr>
  </w:style>
  <w:style w:type="paragraph" w:styleId="24" w:customStyle="1">
    <w:name w:val="Пункт2"/>
    <w:basedOn w:val="Normal"/>
    <w:link w:val="22"/>
    <w:qFormat/>
    <w:pPr>
      <w:keepNext w:val="true"/>
      <w:tabs>
        <w:tab w:val="clear" w:pos="708"/>
        <w:tab w:val="left" w:pos="1134" w:leader="none"/>
      </w:tabs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uiPriority w:val="39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uiPriority w:val="39"/>
    <w:pPr>
      <w:ind w:left="280" w:hanging="0"/>
    </w:pPr>
    <w:rPr>
      <w:rFonts w:cs="Calibri" w:cstheme="minorHAnsi"/>
      <w:sz w:val="20"/>
      <w:szCs w:val="20"/>
    </w:rPr>
  </w:style>
  <w:style w:type="paragraph" w:styleId="Style25" w:customStyle="1">
    <w:name w:val="Раздел регламента"/>
    <w:basedOn w:val="Normal"/>
    <w:qFormat/>
    <w:pPr/>
    <w:rPr/>
  </w:style>
  <w:style w:type="paragraph" w:styleId="Style26" w:customStyle="1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uiPriority w:val="39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3"/>
    <w:semiHidden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semiHidden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semiHidden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uiPriority w:val="39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pPr>
      <w:pageBreakBefore/>
      <w:jc w:val="both"/>
      <w:outlineLvl w:val="0"/>
    </w:pPr>
    <w:rPr>
      <w:b/>
    </w:rPr>
  </w:style>
  <w:style w:type="paragraph" w:styleId="Style27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pPr>
      <w:spacing w:lineRule="auto" w:line="360"/>
    </w:pPr>
    <w:rPr>
      <w:rFonts w:eastAsia="Calibri"/>
      <w:sz w:val="24"/>
      <w:szCs w:val="24"/>
    </w:rPr>
  </w:style>
  <w:style w:type="paragraph" w:styleId="Caption11111" w:customStyle="1">
    <w:name w:val="caption11111"/>
    <w:basedOn w:val="Normal"/>
    <w:next w:val="Normal"/>
    <w:uiPriority w:val="35"/>
    <w:qFormat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4"/>
    <w:uiPriority w:val="11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link w:val="Style9"/>
    <w:uiPriority w:val="34"/>
    <w:qFormat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/>
    <w:rPr>
      <w:rFonts w:ascii="Calibri" w:hAnsi="Calibri" w:eastAsia="Calibri"/>
      <w:i/>
      <w:iCs/>
      <w:color w:val="000000"/>
      <w:sz w:val="20"/>
      <w:szCs w:val="20"/>
    </w:rPr>
  </w:style>
  <w:style w:type="paragraph" w:styleId="IntenseQuote">
    <w:name w:val="Intense Quote"/>
    <w:basedOn w:val="Normal"/>
    <w:next w:val="Normal"/>
    <w:link w:val="Style5"/>
    <w:uiPriority w:val="30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IndexHeading">
    <w:name w:val="Index Heading"/>
    <w:basedOn w:val="Style18"/>
    <w:pPr/>
    <w:rPr/>
  </w:style>
  <w:style w:type="paragraph" w:styleId="TOCHeading">
    <w:name w:val="TOC Heading"/>
    <w:basedOn w:val="Heading1"/>
    <w:next w:val="Normal"/>
    <w:uiPriority w:val="39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6"/>
    <w:uiPriority w:val="99"/>
    <w:unhideWhenUsed/>
    <w:qFormat/>
    <w:pPr/>
    <w:rPr>
      <w:rFonts w:eastAsia="Calibri"/>
      <w:sz w:val="24"/>
      <w:szCs w:val="24"/>
    </w:rPr>
  </w:style>
  <w:style w:type="paragraph" w:styleId="Style28" w:customStyle="1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pPr>
      <w:tabs>
        <w:tab w:val="clear" w:pos="708"/>
        <w:tab w:val="left" w:pos="1233" w:leader="none"/>
      </w:tabs>
      <w:ind w:left="1233" w:hanging="360"/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pPr>
      <w:tabs>
        <w:tab w:val="clear" w:pos="708"/>
        <w:tab w:val="left" w:pos="0" w:leader="none"/>
      </w:tabs>
      <w:spacing w:before="120" w:after="0"/>
      <w:ind w:left="-207" w:hanging="36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pPr>
      <w:tabs>
        <w:tab w:val="clear" w:pos="708"/>
        <w:tab w:val="left" w:pos="513" w:leader="none"/>
      </w:tabs>
      <w:spacing w:before="120" w:after="0"/>
      <w:ind w:left="513" w:hanging="36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Lohit Devanagari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ahoma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9" w:customStyle="1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0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</w:rPr>
  </w:style>
  <w:style w:type="paragraph" w:styleId="Style31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2" w:customStyle="1">
    <w:name w:val="Подподпункт"/>
    <w:basedOn w:val="Style24"/>
    <w:link w:val="Style11"/>
    <w:qFormat/>
    <w:pPr>
      <w:tabs>
        <w:tab w:val="clear" w:pos="1134"/>
        <w:tab w:val="left" w:pos="5104" w:leader="none"/>
      </w:tabs>
      <w:spacing w:lineRule="auto" w:line="240" w:before="120" w:after="0"/>
      <w:ind w:left="5104" w:hanging="567"/>
    </w:pPr>
    <w:rPr>
      <w:sz w:val="26"/>
      <w:szCs w:val="26"/>
    </w:rPr>
  </w:style>
  <w:style w:type="paragraph" w:styleId="Style33" w:customStyle="1">
    <w:name w:val="УРОВЕНЬ_(а)"/>
    <w:basedOn w:val="ListParagraph"/>
    <w:qFormat/>
    <w:pPr>
      <w:tabs>
        <w:tab w:val="clear" w:pos="708"/>
        <w:tab w:val="left" w:pos="0" w:leader="none"/>
      </w:tabs>
      <w:spacing w:lineRule="exact" w:line="360" w:before="120" w:after="0"/>
      <w:ind w:left="1985" w:hanging="567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pPr>
      <w:tabs>
        <w:tab w:val="clear" w:pos="708"/>
        <w:tab w:val="left" w:pos="0" w:leader="none"/>
      </w:tabs>
      <w:spacing w:lineRule="exact" w:line="360" w:before="120" w:after="0"/>
      <w:ind w:left="2268" w:hanging="567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pPr>
      <w:tabs>
        <w:tab w:val="clear" w:pos="708"/>
        <w:tab w:val="left" w:pos="0" w:leader="none"/>
      </w:tabs>
      <w:spacing w:lineRule="exact" w:line="360" w:before="120" w:after="0"/>
      <w:ind w:left="1701" w:hanging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pPr>
      <w:tabs>
        <w:tab w:val="clear" w:pos="708"/>
        <w:tab w:val="left" w:pos="0" w:leader="none"/>
      </w:tabs>
      <w:spacing w:lineRule="exact" w:line="360" w:before="120" w:after="0"/>
      <w:ind w:left="0" w:hanging="0"/>
      <w:contextualSpacing w:val="false"/>
      <w:jc w:val="both"/>
    </w:pPr>
    <w:rPr>
      <w:sz w:val="26"/>
      <w:szCs w:val="28"/>
      <w:lang w:eastAsia="en-US"/>
    </w:rPr>
  </w:style>
  <w:style w:type="paragraph" w:styleId="Style34" w:customStyle="1">
    <w:name w:val="УРОВЕНЬ_Подпись"/>
    <w:basedOn w:val="ListParagraph"/>
    <w:qFormat/>
    <w:pPr>
      <w:keepNext w:val="true"/>
      <w:tabs>
        <w:tab w:val="clear" w:pos="708"/>
        <w:tab w:val="left" w:pos="0" w:leader="none"/>
      </w:tabs>
      <w:spacing w:lineRule="exact" w:line="360" w:before="120" w:after="120"/>
      <w:ind w:left="1134" w:hanging="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EndnoteText">
    <w:name w:val="Endnote Text"/>
    <w:basedOn w:val="Normal"/>
    <w:link w:val="Style14"/>
    <w:pPr/>
    <w:rPr>
      <w:sz w:val="20"/>
      <w:szCs w:val="20"/>
    </w:rPr>
  </w:style>
  <w:style w:type="paragraph" w:styleId="28" w:customStyle="1">
    <w:name w:val="Заголовок 2 КВВ"/>
    <w:basedOn w:val="Normal"/>
    <w:qFormat/>
    <w:pPr>
      <w:keepNext w:val="true"/>
      <w:tabs>
        <w:tab w:val="clear" w:pos="708"/>
        <w:tab w:val="left" w:pos="0" w:leader="none"/>
      </w:tabs>
      <w:spacing w:before="120" w:after="120"/>
      <w:ind w:left="1429" w:hanging="360"/>
      <w:jc w:val="both"/>
      <w:outlineLvl w:val="0"/>
    </w:pPr>
    <w:rPr>
      <w:b/>
      <w:sz w:val="24"/>
      <w:szCs w:val="20"/>
    </w:rPr>
  </w:style>
  <w:style w:type="paragraph" w:styleId="Style35" w:customStyle="1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qFormat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unhideWhenUsed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unhideWhenUsed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unhideWhenUsed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6" w:customStyle="1">
    <w:name w:val="Содержимое врезки"/>
    <w:basedOn w:val="Normal"/>
    <w:qFormat/>
    <w:pPr/>
    <w:rPr/>
  </w:style>
  <w:style w:type="paragraph" w:styleId="Style3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8" w:customStyle="1">
    <w:name w:val="Заголовок таблицы"/>
    <w:basedOn w:val="Style37"/>
    <w:qFormat/>
    <w:pPr>
      <w:jc w:val="center"/>
    </w:pPr>
    <w:rPr>
      <w:b/>
      <w:bCs/>
    </w:rPr>
  </w:style>
  <w:style w:type="paragraph" w:styleId="Main14" w:customStyle="1">
    <w:name w:val="Main 14"/>
    <w:basedOn w:val="Caption1"/>
    <w:qFormat/>
    <w:pPr>
      <w:spacing w:lineRule="auto" w:line="312" w:before="60" w:after="0"/>
      <w:ind w:firstLine="709"/>
      <w:jc w:val="both"/>
    </w:pPr>
    <w:rPr>
      <w:rFonts w:eastAsia="Batang" w:cs="Times New Roman"/>
      <w:i w:val="false"/>
      <w:iCs w:val="false"/>
      <w:sz w:val="28"/>
      <w:szCs w:val="28"/>
      <w:lang w:eastAsia="ko-KR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</w:style>
  <w:style w:type="numbering" w:styleId="29" w:customStyle="1">
    <w:name w:val="Стиль2"/>
    <w:uiPriority w:val="99"/>
    <w:qFormat/>
  </w:style>
  <w:style w:type="numbering" w:styleId="12706396451" w:customStyle="1">
    <w:name w:val="12706396451"/>
    <w:qFormat/>
  </w:style>
  <w:style w:type="numbering" w:styleId="23834229921">
    <w:name w:val="2383422992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d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FFFFF" w:fill="FFFFFF" w:themeFill="text1" w:themeFillTint="0"/>
      </w:tcPr>
    </w:tblStylePr>
    <w:tblStylePr w:type="band1Horz">
      <w:tblPr/>
      <w:tcPr>
        <w:shd w:val="clear" w:color="FFFFFF" w:fill="FFFFFF" w:themeFill="text1" w:themeFillTint="0"/>
      </w:tcPr>
    </w:tblStylePr>
  </w:style>
  <w:style w:type="table" w:styleId="2e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a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FFFFF" w:themeFill="text1" w:themeFillTint="0"/>
      </w:tcPr>
    </w:tblStylePr>
    <w:tblStylePr w:type="band1Horz">
      <w:tblPr/>
      <w:tcPr>
        <w:shd w:val="clear" w:color="F2F2F2" w:fill="FFFFFF" w:themeFill="text1" w:themeFillTint="0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41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color w:val="A0B7E1" w:themeColor="accent1" w:themeTint="80" w:themeShade="95"/>
      </w:rPr>
      <w:tblPr/>
    </w:tblStylePr>
    <w:tblStylePr w:type="firstCol">
      <w:rPr>
        <w:b/>
        <w:color w:val="A0B7E1" w:themeColor="accent1" w:themeTint="80" w:themeShade="95"/>
      </w:rPr>
      <w:tblPr/>
    </w:tblStylePr>
    <w:tblStylePr w:type="lastCol">
      <w:rPr>
        <w:b/>
        <w:color w:val="A0B7E1" w:themeColor="accent1" w:themeTint="80" w:themeShade="95"/>
      </w:rPr>
      <w:tblPr/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F4B184" w:themeColor="accent2" w:themeTint="97" w:themeShade="95"/>
      </w:rPr>
      <w:tblPr/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A5A5A5" w:themeColor="accent3" w:themeTint="fe" w:themeShade="95"/>
      </w:rPr>
      <w:tblPr/>
    </w:tblStylePr>
    <w:tblStylePr w:type="firstCol">
      <w:rPr>
        <w:b/>
        <w:color w:val="A5A5A5" w:themeColor="accent3" w:themeTint="fe" w:themeShade="95"/>
      </w:rPr>
      <w:tblPr/>
    </w:tblStylePr>
    <w:tblStylePr w:type="lastCol">
      <w:rPr>
        <w:b/>
        <w:color w:val="A5A5A5"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FFD865" w:themeColor="accent4" w:themeTint="9a" w:themeShade="95"/>
      </w:rPr>
      <w:tblPr/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000000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single" w:color="000000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2F2F2" w:fill="FFFFFF" w:themeFill="text1" w:themeFillTint="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FFFFF" w:themeFill="text1" w:themeFillTint="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ED7D31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single" w:color="ED7D31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5A5A5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color="000000" w:sz="0" w:space="0"/>
          <w:left w:val="single" w:color="A5A5A5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FC000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single" w:color="FFC000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5B9BD5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color="5B9BD5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5" w:sz="4" w:space="0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color="000000" w:sz="0" w:space="0"/>
          <w:left w:val="single" w:color="5B9BD5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0AD47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color="70AD47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color="000000" w:sz="0" w:space="0"/>
          <w:left w:val="single" w:color="70AD47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5B9BD5" w:themeColor="accent5" w:sz="4" w:space="0"/>
          <w:right w:val="single" w:color="5B9BD5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bottom w:val="single" w:color="5B9BD5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ED7D31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A5A5A5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FC000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5B9BD5" w:themeColor="accent5" w:sz="32" w:space="0"/>
          <w:bottom w:val="single" w:color="FFFFFF" w:themeColor="light1" w:sz="12" w:space="0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5B9BD5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70AD47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5" w:themeColor="accent1" w:themeShade="95"/>
      </w:rPr>
      <w:tblPr/>
    </w:tblStylePr>
    <w:tblStylePr w:type="lastCol">
      <w:rPr>
        <w:b/>
        <w:color w:val="254175" w:themeColor="accent1" w:themeShade="95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ED7D31" w:themeColor="accent2" w:sz="4" w:space="0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color="A5A5A5" w:themeColor="accent3" w:sz="4" w:space="0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C9C9C9" w:themeColor="accent3" w:themeTint="98" w:themeShade="95"/>
      </w:rPr>
      <w:tblPr/>
    </w:tblStylePr>
    <w:tblStylePr w:type="lastCol">
      <w:rPr>
        <w:b/>
        <w:color w:val="C9C9C9"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C000" w:themeColor="accent4" w:sz="4" w:space="0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color="5B9BD5" w:themeColor="accent5" w:sz="4" w:space="0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9BC2E5" w:themeColor="accent5" w:themeTint="9a" w:themeShade="95"/>
      </w:rPr>
      <w:tblPr/>
    </w:tblStylePr>
    <w:tblStylePr w:type="lastCol">
      <w:rPr>
        <w:b/>
        <w:color w:val="9BC2E5" w:themeColor="accent5" w:themeTint="9a" w:themeShade="95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color="70AD47" w:themeColor="accent6" w:sz="4" w:space="0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A9D08E" w:themeColor="accent6" w:themeTint="98" w:themeShade="95"/>
      </w:rPr>
      <w:tblPr/>
    </w:tblStylePr>
    <w:tblStylePr w:type="lastCol">
      <w:rPr>
        <w:b/>
        <w:color w:val="A9D08E"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000000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single" w:color="000000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472C4" w:themeColor="accent1" w:sz="4" w:space="0"/>
      </w:tblBorders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ED7D31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single" w:color="ED7D31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5A5A5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color="A5A5A5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color="000000" w:sz="0" w:space="0"/>
          <w:left w:val="single" w:color="A5A5A5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FC000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single" w:color="FFC000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5B9BD5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color="5B9BD5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5" w:sz="4" w:space="0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color="000000" w:sz="0" w:space="0"/>
          <w:left w:val="single" w:color="5B9BD5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0AD47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color="70AD47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color="000000" w:sz="0" w:space="0"/>
          <w:left w:val="single" w:color="70AD47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  <w:insideH w:val="single" w:color="4472C4" w:themeColor="accent1" w:sz="4" w:space="0"/>
        <w:insideV w:val="single" w:color="4472C4" w:themeColor="accent1" w:sz="4" w:space="0"/>
      </w:tblBorders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ED7D31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ED7D31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A5A5A5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A5A5A5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FC000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FC000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5B9BD5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5B9BD5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0AD47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0AD47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styleId="affffc">
    <w:name w:val="Table Grid"/>
    <w:basedOn w:val="a1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e">
    <w:name w:val="Сетка таблицы1"/>
    <w:basedOn w:val="a1"/>
    <w:uiPriority w:val="39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0D569-44A1-4924-87C9-8DC3E9665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Application>AlterOffice/3.4.0.8$Linux_X86_64 LibreOffice_project/8f3f3c847f0b8d6fea24e251d3d8ed4f23cbe23c</Application>
  <AppVersion>15.0000</AppVersion>
  <Pages>29</Pages>
  <Words>4844</Words>
  <Characters>36464</Characters>
  <CharactersWithSpaces>40657</CharactersWithSpaces>
  <Paragraphs>791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2024-10-15T02:43:00Z</dcterms:created>
  <dc:creator>Быстров Олег Геннадьевич</dc:creator>
  <dc:description/>
  <dc:language>ru-RU</dc:language>
  <cp:lastModifiedBy>vinokurovav@sed.local</cp:lastModifiedBy>
  <dcterms:modified xsi:type="dcterms:W3CDTF">2026-09-10T10:51:35Z</dcterms:modified>
  <cp:revision>94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