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header2.xml" ContentType="application/vnd.openxmlformats-officedocument.wordprocessingml.header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3.xml" ContentType="application/vnd.openxmlformats-officedocument.wordprocessingml.header+xml"/>
  <Override PartName="/word/header5.xml" ContentType="application/vnd.openxmlformats-officedocument.wordprocessingml.header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4"/>
        <w:spacing w:before="120" w:after="6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tabs>
          <w:tab w:val="clear" w:pos="708"/>
          <w:tab w:val="left" w:pos="3728" w:leader="none"/>
        </w:tabs>
        <w:rPr>
          <w:sz w:val="26"/>
          <w:szCs w:val="26"/>
        </w:rPr>
      </w:pPr>
      <w:r>
        <w:rPr/>
        <w:tab/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Технические требования на поставку МТР</w:t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center"/>
        <w:rPr>
          <w:b/>
          <w:bCs/>
        </w:rPr>
      </w:pPr>
      <w:r>
        <w:rPr>
          <w:rFonts w:eastAsia="Calibri"/>
          <w:b/>
          <w:bCs/>
          <w:sz w:val="26"/>
          <w:szCs w:val="26"/>
        </w:rPr>
        <w:tab/>
      </w:r>
      <w:r>
        <w:rPr>
          <w:rFonts w:eastAsia="Calibri"/>
          <w:b/>
          <w:bCs/>
          <w:sz w:val="26"/>
          <w:szCs w:val="26"/>
        </w:rPr>
        <w:t>«ОКПД2 28.11.42.000  Поставка запасных частей Cummins, Mitsubishi, Deutz Volvo для нужд страхового запаса филиалов АО «Сахаэнерго»»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sz w:val="26"/>
          <w:szCs w:val="26"/>
        </w:rPr>
      </w:pPr>
      <w:r>
        <w:rPr>
          <w:rFonts w:eastAsia="Calibri"/>
          <w:b/>
          <w:sz w:val="26"/>
          <w:szCs w:val="26"/>
        </w:rPr>
        <w:t>-РЕМ ПРОД-2027-СахаЭ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fldChar w:fldCharType="begin"/>
          </w:r>
          <w:r>
            <w:rPr>
              <w:webHidden/>
              <w:rStyle w:val="Style16"/>
              <w:sz w:val="22"/>
              <w:szCs w:val="22"/>
              <w:vanish w:val="false"/>
              <w:rFonts w:eastAsia="Calibri"/>
            </w:rPr>
            <w:instrText xml:space="preserve"> TOC \z \o "1-4" \u \h</w:instrText>
          </w:r>
          <w:r>
            <w:rPr>
              <w:webHidden/>
              <w:rStyle w:val="Style16"/>
              <w:sz w:val="22"/>
              <w:szCs w:val="22"/>
              <w:vanish w:val="false"/>
              <w:rFonts w:eastAsia="Calibri"/>
            </w:rPr>
            <w:fldChar w:fldCharType="separate"/>
          </w:r>
          <w:hyperlink w:anchor="_Toc179884594" w:tgtFrame="#_Toc179884594">
            <w:r>
              <w:rPr>
                <w:webHidden/>
                <w:rStyle w:val="Style16"/>
                <w:rFonts w:eastAsia="Calibri"/>
                <w:vanish w:val="false"/>
                <w:sz w:val="22"/>
                <w:szCs w:val="22"/>
              </w:rPr>
              <w:t>1.</w:t>
            </w:r>
            <w:r>
              <w:rPr>
                <w:rStyle w:val="Style16"/>
                <w:rFonts w:eastAsia="Arial" w:cs="Arial" w:cstheme="minorBidi" w:eastAsiaTheme="minorEastAsia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Общие сведения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179884595" w:tgtFrame="#_Toc179884595">
            <w:r>
              <w:rPr>
                <w:webHidden/>
                <w:rStyle w:val="Style16"/>
                <w:rFonts w:eastAsia="Calibri"/>
                <w:iCs/>
                <w:vanish w:val="false"/>
                <w:sz w:val="22"/>
                <w:szCs w:val="22"/>
              </w:rPr>
              <w:t>1.1.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Обозначения и сокращения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179884596" w:tgtFrame="#_Toc179884596">
            <w:r>
              <w:rPr>
                <w:webHidden/>
                <w:rStyle w:val="Style16"/>
                <w:rFonts w:eastAsia="Calibri"/>
                <w:iCs/>
                <w:vanish w:val="false"/>
                <w:sz w:val="22"/>
                <w:szCs w:val="22"/>
              </w:rPr>
              <w:t>1.2.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Наименование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right" w:pos="9911" w:leader="dot"/>
            </w:tabs>
            <w:rPr/>
          </w:pPr>
          <w:hyperlink w:anchor="_Toc179884597" w:tgtFrame="#_Toc179884597">
            <w:r>
              <w:rPr>
                <w:webHidden/>
                <w:rStyle w:val="Style16"/>
                <w:rFonts w:eastAsia="Calibri"/>
                <w:vanish w:val="false"/>
                <w:sz w:val="22"/>
                <w:szCs w:val="22"/>
              </w:rPr>
              <w:t>1.3.    Цели использования закупаемой продукции.</w:t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hyperlink w:anchor="_Toc179884598" w:tgtFrame="#_Toc179884598">
            <w:r>
              <w:rPr>
                <w:webHidden/>
                <w:rStyle w:val="Style16"/>
                <w:rFonts w:eastAsia="Calibri"/>
                <w:vanish w:val="false"/>
                <w:sz w:val="22"/>
                <w:szCs w:val="22"/>
              </w:rPr>
              <w:t>2.</w:t>
            </w:r>
            <w:r>
              <w:rPr>
                <w:rStyle w:val="Style16"/>
                <w:rFonts w:eastAsia="Arial" w:cs="Arial" w:cstheme="minorBidi" w:eastAsiaTheme="minorEastAsia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iCs/>
                <w:sz w:val="22"/>
                <w:szCs w:val="22"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179884599" w:tgtFrame="#_Toc179884599">
            <w:r>
              <w:rPr>
                <w:webHidden/>
                <w:rStyle w:val="Style16"/>
                <w:rFonts w:eastAsia="Calibri"/>
                <w:iCs/>
                <w:vanish w:val="false"/>
                <w:sz w:val="22"/>
                <w:szCs w:val="22"/>
              </w:rPr>
              <w:t>2.1.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Требования к объемам и срокам поставки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_Toc179884599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/>
          </w:pPr>
          <w:r>
            <w:rPr>
              <w:rFonts w:eastAsia="Calibri"/>
              <w:vanish w:val="false"/>
              <w:sz w:val="22"/>
              <w:szCs w:val="22"/>
            </w:rPr>
            <w:t xml:space="preserve">      </w:t>
          </w:r>
          <w:hyperlink w:anchor="_Toc179884600" w:tgtFrame="#_Toc179884600">
            <w:r>
              <w:rPr>
                <w:webHidden/>
                <w:rStyle w:val="Style16"/>
                <w:rFonts w:eastAsia="Calibri"/>
                <w:vanish w:val="false"/>
                <w:sz w:val="22"/>
                <w:szCs w:val="22"/>
              </w:rPr>
              <w:t>2.1.1.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Перечень и объем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_Toc179884600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sz w:val="22"/>
                <w:szCs w:val="22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r>
            <w:rPr>
              <w:rFonts w:eastAsia="Calibri"/>
              <w:b w:val="false"/>
              <w:bCs w:val="false"/>
              <w:vanish w:val="false"/>
              <w:sz w:val="22"/>
              <w:szCs w:val="22"/>
            </w:rPr>
            <w:t xml:space="preserve">         </w:t>
          </w:r>
          <w:hyperlink w:anchor="_Toc179884601" w:tgtFrame="#_Toc179884601">
            <w:r>
              <w:rPr>
                <w:webHidden/>
                <w:rStyle w:val="Style16"/>
                <w:rFonts w:eastAsia="Calibri"/>
                <w:b w:val="false"/>
                <w:bCs w:val="false"/>
                <w:vanish w:val="false"/>
                <w:sz w:val="22"/>
                <w:szCs w:val="22"/>
              </w:rPr>
              <w:t>Таблица 1.1 Перечень и объем закупаемой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_Toc179884601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6"/>
                <w:b w:val="false"/>
                <w:bCs w:val="false"/>
                <w:sz w:val="22"/>
                <w:szCs w:val="22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3"/>
            <w:tabs>
              <w:tab w:val="clear" w:pos="708"/>
              <w:tab w:val="left" w:pos="1120" w:leader="none"/>
              <w:tab w:val="right" w:pos="9911" w:leader="dot"/>
            </w:tabs>
            <w:rPr/>
          </w:pPr>
          <w:r>
            <w:rPr>
              <w:rFonts w:eastAsia="Calibri"/>
              <w:vanish w:val="false"/>
              <w:sz w:val="22"/>
              <w:szCs w:val="22"/>
            </w:rPr>
            <w:t xml:space="preserve">      </w:t>
          </w:r>
          <w:hyperlink w:anchor="_Toc179884602" w:tgtFrame="#_Toc179884602">
            <w:r>
              <w:rPr>
                <w:webHidden/>
                <w:rStyle w:val="Style16"/>
                <w:rFonts w:eastAsia="Calibri"/>
                <w:vanish w:val="false"/>
                <w:sz w:val="22"/>
                <w:szCs w:val="22"/>
              </w:rPr>
              <w:t>2.1.2.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Требования к срокам поставки продукции и оказания сопутствующих услуг</w:t>
            </w:r>
            <w:r>
              <w:rPr>
                <w:rStyle w:val="Style16"/>
                <w:sz w:val="22"/>
                <w:szCs w:val="22"/>
              </w:rPr>
              <w:tab/>
            </w:r>
          </w:hyperlink>
          <w:r>
            <w:rPr>
              <w:sz w:val="22"/>
              <w:szCs w:val="22"/>
            </w:rPr>
            <w:t>6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r>
            <w:rPr>
              <w:rFonts w:eastAsia="Calibri"/>
              <w:b w:val="false"/>
              <w:bCs w:val="false"/>
              <w:vanish w:val="false"/>
              <w:sz w:val="22"/>
              <w:szCs w:val="22"/>
            </w:rPr>
            <w:t xml:space="preserve">         </w:t>
          </w:r>
          <w:hyperlink w:anchor="_Toc179884603" w:tgtFrame="#_Toc179884603">
            <w:r>
              <w:rPr>
                <w:webHidden/>
                <w:rStyle w:val="Style16"/>
                <w:rFonts w:eastAsia="Calibri"/>
                <w:b w:val="false"/>
                <w:bCs w:val="false"/>
                <w:vanish w:val="false"/>
                <w:sz w:val="22"/>
                <w:szCs w:val="22"/>
              </w:rPr>
              <w:t>Таблица 2.1 Требования по срокам поставки продукции</w:t>
            </w:r>
            <w:r>
              <w:rPr>
                <w:rStyle w:val="Style16"/>
                <w:b w:val="false"/>
                <w:bCs w:val="false"/>
                <w:sz w:val="22"/>
                <w:szCs w:val="22"/>
              </w:rPr>
              <w:tab/>
            </w:r>
          </w:hyperlink>
          <w:r>
            <w:rPr>
              <w:b w:val="false"/>
              <w:bCs w:val="false"/>
              <w:sz w:val="22"/>
              <w:szCs w:val="22"/>
            </w:rPr>
            <w:t>6</w:t>
          </w:r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/>
          </w:pPr>
          <w:hyperlink w:anchor="_Toc179884604" w:tgtFrame="#_Toc179884604">
            <w:r>
              <w:rPr>
                <w:webHidden/>
                <w:rStyle w:val="Style16"/>
                <w:rFonts w:eastAsia="Calibri"/>
                <w:iCs/>
                <w:vanish w:val="false"/>
                <w:sz w:val="22"/>
                <w:szCs w:val="22"/>
              </w:rPr>
              <w:t>2.2.</w:t>
            </w:r>
            <w:r>
              <w:rPr>
                <w:rStyle w:val="Style16"/>
                <w:rFonts w:eastAsia="Arial" w:cs="Arial" w:cstheme="minorBidi" w:eastAsiaTheme="minorEastAsia"/>
                <w:sz w:val="22"/>
                <w:szCs w:val="22"/>
              </w:rPr>
              <w:tab/>
            </w:r>
            <w:r>
              <w:rPr>
                <w:rStyle w:val="Style16"/>
                <w:rFonts w:eastAsia="Calibri"/>
                <w:sz w:val="22"/>
                <w:szCs w:val="22"/>
              </w:rPr>
              <w:t>Требования к качеству продукции</w:t>
            </w:r>
            <w:r>
              <w:rPr>
                <w:rStyle w:val="Style16"/>
                <w:sz w:val="22"/>
                <w:szCs w:val="22"/>
              </w:rPr>
              <w:tab/>
            </w:r>
          </w:hyperlink>
          <w:r>
            <w:rPr>
              <w:sz w:val="22"/>
              <w:szCs w:val="22"/>
            </w:rPr>
            <w:t>7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Times New Roman" w:hAnsi="Times New Roman"/>
              <w:sz w:val="22"/>
              <w:szCs w:val="22"/>
            </w:rPr>
          </w:pPr>
          <w:r>
            <w:rPr>
              <w:rFonts w:eastAsia="Calibri"/>
              <w:iCs/>
              <w:vanish w:val="false"/>
              <w:sz w:val="22"/>
              <w:szCs w:val="22"/>
            </w:rPr>
            <w:t xml:space="preserve">3.      </w:t>
          </w:r>
          <w:r>
            <w:rPr>
              <w:rFonts w:eastAsia="Calibri"/>
              <w:b w:val="false"/>
              <w:bCs w:val="false"/>
              <w:iCs/>
              <w:vanish w:val="false"/>
              <w:sz w:val="22"/>
              <w:szCs w:val="22"/>
            </w:rPr>
            <w:t>Требования к предоставлению документов в составе заявки…………………………………9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/>
          </w:pPr>
          <w:r>
            <w:rPr>
              <w:rFonts w:eastAsia="Calibri"/>
              <w:iCs/>
              <w:vanish w:val="false"/>
              <w:sz w:val="22"/>
              <w:szCs w:val="22"/>
            </w:rPr>
            <w:t xml:space="preserve">4.      </w:t>
          </w:r>
          <w:hyperlink w:anchor="_Toc179884606" w:tgtFrame="#_Toc179884606">
            <w:r>
              <w:rPr>
                <w:webHidden/>
                <w:rStyle w:val="Style16"/>
                <w:rFonts w:eastAsia="Calibri"/>
                <w:b w:val="false"/>
                <w:bCs w:val="false"/>
                <w:iCs/>
                <w:vanish w:val="false"/>
                <w:sz w:val="22"/>
                <w:szCs w:val="22"/>
              </w:rPr>
              <w:t>Приложения</w:t>
            </w:r>
            <w:r>
              <w:rPr>
                <w:rStyle w:val="Style16"/>
                <w:sz w:val="22"/>
                <w:szCs w:val="22"/>
              </w:rPr>
              <w:tab/>
            </w:r>
          </w:hyperlink>
          <w:r>
            <w:rPr>
              <w:sz w:val="22"/>
              <w:szCs w:val="22"/>
            </w:rPr>
            <w:t>9</w:t>
          </w:r>
        </w:p>
        <w:p>
          <w:pPr>
            <w:pStyle w:val="Normal"/>
            <w:tabs>
              <w:tab w:val="clear" w:pos="708"/>
              <w:tab w:val="left" w:pos="560" w:leader="none"/>
              <w:tab w:val="right" w:pos="9911" w:leader="dot"/>
            </w:tabs>
            <w:rPr>
              <w:rFonts w:ascii="Times New Roman" w:hAnsi="Times New Roman"/>
              <w:sz w:val="22"/>
              <w:szCs w:val="22"/>
            </w:rPr>
          </w:pPr>
          <w:r>
            <w:rPr>
              <w:sz w:val="22"/>
              <w:szCs w:val="22"/>
            </w:rPr>
            <w:t>5.      Требования к документации по ценообразованию на этапе закупки…………………….…..9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/>
          </w:pPr>
          <w:r>
            <w:rPr>
              <w:rFonts w:eastAsia="Calibri" w:cs="Arial" w:cstheme="minorBidi"/>
              <w:b w:val="false"/>
              <w:bCs w:val="false"/>
              <w:vanish w:val="false"/>
              <w:sz w:val="22"/>
              <w:szCs w:val="22"/>
            </w:rPr>
            <w:t xml:space="preserve">          </w:t>
          </w:r>
          <w:hyperlink w:anchor="_Toc179884605" w:tgtFrame="#_Toc179884605">
            <w:r>
              <w:rPr>
                <w:webHidden/>
                <w:rStyle w:val="Style16"/>
                <w:rFonts w:eastAsia="Calibri" w:cs="Arial" w:cstheme="minorBidi"/>
                <w:b w:val="false"/>
                <w:bCs w:val="false"/>
                <w:vanish w:val="false"/>
                <w:sz w:val="22"/>
                <w:szCs w:val="22"/>
              </w:rPr>
              <w:t>Таблица 3.1 Требования к продукции</w:t>
            </w:r>
            <w:r>
              <w:rPr>
                <w:rStyle w:val="Style16"/>
                <w:rFonts w:eastAsia="Arial" w:cs="Arial" w:cstheme="minorBidi" w:eastAsiaTheme="minorEastAsia"/>
                <w:b w:val="false"/>
                <w:bCs w:val="false"/>
                <w:sz w:val="22"/>
                <w:szCs w:val="22"/>
              </w:rPr>
              <w:tab/>
            </w:r>
          </w:hyperlink>
          <w:r>
            <w:rPr>
              <w:rFonts w:eastAsia="Arial" w:cs="Arial" w:cstheme="minorBidi" w:eastAsiaTheme="minorEastAsia"/>
              <w:b w:val="false"/>
              <w:bCs w:val="false"/>
              <w:sz w:val="22"/>
              <w:szCs w:val="22"/>
            </w:rPr>
            <w:t>10</w:t>
          </w:r>
          <w:r>
            <w:rPr>
              <w:sz w:val="22"/>
              <w:b w:val="false"/>
              <w:szCs w:val="22"/>
              <w:bCs w:val="false"/>
              <w:rFonts w:eastAsia="Arial" w:cs="Arial"/>
            </w:rPr>
            <w:fldChar w:fldCharType="end"/>
          </w:r>
        </w:p>
      </w:sdtContent>
    </w:sdt>
    <w:p>
      <w:pPr>
        <w:pStyle w:val="TOC1"/>
        <w:tabs>
          <w:tab w:val="clear" w:pos="708"/>
          <w:tab w:val="left" w:pos="560" w:leader="none"/>
          <w:tab w:val="right" w:pos="9911" w:leader="dot"/>
        </w:tabs>
        <w:rPr>
          <w:rFonts w:ascii="Times New Roman" w:hAnsi="Times New Roman" w:eastAsia="Arial" w:cs="Arial" w:cstheme="minorBidi" w:eastAsiaTheme="minorEastAsia"/>
          <w:b w:val="false"/>
          <w:bCs w:val="false"/>
          <w:sz w:val="22"/>
          <w:szCs w:val="22"/>
        </w:rPr>
      </w:pPr>
      <w:r>
        <w:rPr>
          <w:rFonts w:eastAsia="Arial" w:cs="Arial" w:cstheme="minorBidi" w:eastAsiaTheme="minorEastAsia"/>
          <w:b w:val="false"/>
          <w:bCs w:val="false"/>
          <w:sz w:val="22"/>
          <w:szCs w:val="22"/>
        </w:rPr>
      </w:r>
    </w:p>
    <w:p>
      <w:pPr>
        <w:pStyle w:val="TOC1"/>
        <w:tabs>
          <w:tab w:val="clear" w:pos="708"/>
          <w:tab w:val="left" w:pos="560" w:leader="none"/>
          <w:tab w:val="right" w:pos="9911" w:leader="dot"/>
        </w:tabs>
        <w:rPr>
          <w:rFonts w:ascii="Calibri" w:hAnsi="Calibri" w:eastAsia="Arial" w:cs="Arial" w:asciiTheme="minorHAnsi" w:cstheme="minorBidi" w:eastAsiaTheme="minorEastAsia" w:hAnsiTheme="minorHAnsi"/>
          <w:b w:val="false"/>
          <w:bCs w:val="false"/>
          <w:sz w:val="22"/>
          <w:szCs w:val="22"/>
        </w:rPr>
      </w:pPr>
      <w:r>
        <w:rPr>
          <w:rFonts w:eastAsia="Arial" w:cs="Arial" w:cstheme="minorBidi" w:eastAsiaTheme="minorEastAsia" w:ascii="Calibri" w:hAnsi="Calibri"/>
          <w:b w:val="false"/>
          <w:bCs w:val="false"/>
          <w:sz w:val="22"/>
          <w:szCs w:val="22"/>
        </w:rPr>
      </w:r>
    </w:p>
    <w:p>
      <w:pPr>
        <w:pStyle w:val="Heading2"/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1"/>
        </w:numPr>
        <w:ind w:left="357" w:hanging="357"/>
        <w:jc w:val="center"/>
        <w:rPr>
          <w:caps/>
        </w:rPr>
      </w:pPr>
      <w:bookmarkStart w:id="0" w:name="_Toc51339692"/>
      <w:bookmarkStart w:id="1" w:name="_Toc179884594"/>
      <w:r>
        <w:rPr/>
        <w:t>Общие сведения</w:t>
      </w:r>
      <w:bookmarkEnd w:id="0"/>
      <w:bookmarkEnd w:id="1"/>
    </w:p>
    <w:p>
      <w:pPr>
        <w:pStyle w:val="Heading4"/>
        <w:numPr>
          <w:ilvl w:val="1"/>
          <w:numId w:val="1"/>
        </w:numPr>
        <w:rPr/>
      </w:pPr>
      <w:bookmarkStart w:id="2" w:name="_Toc46743505"/>
      <w:bookmarkStart w:id="3" w:name="_Toc179884595"/>
      <w:r>
        <w:rPr/>
        <w:t>Обозначения и сокращения</w:t>
      </w:r>
      <w:bookmarkEnd w:id="2"/>
      <w:bookmarkEnd w:id="3"/>
    </w:p>
    <w:p>
      <w:pPr>
        <w:pStyle w:val="Normal"/>
        <w:rPr>
          <w:rStyle w:val="Style10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i/>
                <w:i/>
              </w:rPr>
            </w:pPr>
            <w:r>
              <w:rPr>
                <w:i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i/>
                <w:i/>
              </w:rPr>
            </w:pPr>
            <w:r>
              <w:rPr>
                <w:i/>
              </w:rPr>
              <w:t>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i/>
                <w:i/>
              </w:rPr>
            </w:pPr>
            <w:r>
              <w:rPr>
                <w:i/>
              </w:rPr>
              <w:t>ДГУ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360"/>
              <w:rPr>
                <w:i/>
                <w:i/>
              </w:rPr>
            </w:pPr>
            <w:r>
              <w:rPr>
                <w:i/>
              </w:rPr>
              <w:t>Дизель-генераторная установка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1"/>
        </w:numPr>
        <w:rPr>
          <w:sz w:val="22"/>
          <w:szCs w:val="22"/>
        </w:rPr>
      </w:pPr>
      <w:bookmarkStart w:id="4" w:name="_Toc46743506"/>
      <w:bookmarkStart w:id="5" w:name="_Toc179884596"/>
      <w:r>
        <w:rPr>
          <w:sz w:val="22"/>
          <w:szCs w:val="22"/>
        </w:rPr>
        <w:t>Наименование закупаемой продукции</w:t>
      </w:r>
      <w:bookmarkEnd w:id="4"/>
      <w:bookmarkEnd w:id="5"/>
    </w:p>
    <w:p>
      <w:pPr>
        <w:pStyle w:val="Heading4"/>
        <w:tabs>
          <w:tab w:val="clear" w:pos="0"/>
        </w:tabs>
        <w:spacing w:before="240" w:after="60"/>
        <w:ind w:left="0" w:hanging="0"/>
        <w:rPr>
          <w:sz w:val="22"/>
          <w:szCs w:val="22"/>
        </w:rPr>
      </w:pPr>
      <w:r>
        <w:rPr/>
        <w:t xml:space="preserve"> </w:t>
      </w:r>
      <w:r>
        <w:rPr/>
        <w:t xml:space="preserve">ОКПД2 28.11.42.000  Поставка запасных частей Cummins, </w:t>
      </w:r>
      <w:r>
        <w:rPr/>
        <w:t>Mitsubishi, Deutz</w:t>
      </w:r>
      <w:r>
        <w:rPr/>
        <w:t xml:space="preserve"> </w:t>
      </w:r>
      <w:r>
        <w:rPr/>
        <w:t xml:space="preserve">Volvo </w:t>
      </w:r>
      <w:r>
        <w:rPr/>
        <w:t>для нужд страхового запаса филиалов АО «Сахаэнерго»</w:t>
      </w:r>
    </w:p>
    <w:p>
      <w:pPr>
        <w:pStyle w:val="Normal"/>
        <w:spacing w:before="240" w:after="6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rPr>
          <w:sz w:val="22"/>
          <w:szCs w:val="22"/>
        </w:rPr>
      </w:pPr>
      <w:r>
        <w:rPr>
          <w:b/>
          <w:bCs/>
          <w:sz w:val="22"/>
          <w:szCs w:val="22"/>
        </w:rPr>
        <w:t>1.3. Цели использования закупаемой продукции.</w:t>
      </w:r>
    </w:p>
    <w:p>
      <w:pPr>
        <w:pStyle w:val="Normal"/>
        <w:rPr/>
      </w:pPr>
      <w:r>
        <w:rPr>
          <w:sz w:val="22"/>
          <w:szCs w:val="22"/>
        </w:rPr>
        <w:t>Поставляемая продукция необходима для ремонта дизельных двигателей АО «Сахаэнерго»</w:t>
      </w:r>
    </w:p>
    <w:p>
      <w:pPr>
        <w:pStyle w:val="Heading1"/>
        <w:keepLines/>
        <w:numPr>
          <w:ilvl w:val="0"/>
          <w:numId w:val="1"/>
        </w:numPr>
        <w:ind w:left="357" w:hanging="357"/>
        <w:jc w:val="center"/>
        <w:rPr>
          <w:sz w:val="22"/>
          <w:szCs w:val="22"/>
        </w:rPr>
      </w:pPr>
      <w:bookmarkStart w:id="6" w:name="_Toc46743510"/>
      <w:bookmarkStart w:id="7" w:name="_Toc179884598"/>
      <w:bookmarkStart w:id="8" w:name="_Toc51339693"/>
      <w:bookmarkStart w:id="9" w:name="_Toc50125126"/>
      <w:bookmarkEnd w:id="9"/>
      <w:r>
        <w:rPr>
          <w:iCs/>
          <w:sz w:val="22"/>
          <w:szCs w:val="22"/>
        </w:rPr>
        <w:t>Требования к продукции</w:t>
      </w:r>
      <w:bookmarkEnd w:id="7"/>
      <w:bookmarkEnd w:id="8"/>
    </w:p>
    <w:p>
      <w:pPr>
        <w:pStyle w:val="Heading4"/>
        <w:numPr>
          <w:ilvl w:val="1"/>
          <w:numId w:val="1"/>
        </w:numPr>
        <w:rPr>
          <w:sz w:val="22"/>
          <w:szCs w:val="22"/>
        </w:rPr>
      </w:pPr>
      <w:bookmarkStart w:id="10" w:name="_Toc179884599"/>
      <w:r>
        <w:rPr>
          <w:sz w:val="22"/>
          <w:szCs w:val="22"/>
        </w:rPr>
        <w:t>Требования к объемам и срокам поставки</w:t>
      </w:r>
      <w:bookmarkEnd w:id="10"/>
    </w:p>
    <w:p>
      <w:pPr>
        <w:pStyle w:val="Heading3"/>
        <w:numPr>
          <w:ilvl w:val="2"/>
          <w:numId w:val="1"/>
        </w:numPr>
        <w:rPr>
          <w:sz w:val="22"/>
          <w:szCs w:val="22"/>
        </w:rPr>
      </w:pPr>
      <w:bookmarkStart w:id="11" w:name="_Toc179884600"/>
      <w:r>
        <w:rPr>
          <w:sz w:val="22"/>
          <w:szCs w:val="22"/>
        </w:rPr>
        <w:t>Перечень и объем закупаемой продукции</w:t>
      </w:r>
      <w:bookmarkEnd w:id="11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2"/>
          <w:szCs w:val="22"/>
        </w:rPr>
      </w:pPr>
      <w:bookmarkStart w:id="12" w:name="_Toc179884601"/>
      <w:bookmarkStart w:id="13" w:name="_Toc51339695"/>
      <w:r>
        <w:rPr>
          <w:sz w:val="22"/>
          <w:szCs w:val="22"/>
        </w:rPr>
        <w:t xml:space="preserve">Таблица 1.1 Перечень </w:t>
      </w:r>
      <w:bookmarkEnd w:id="13"/>
      <w:r>
        <w:rPr>
          <w:sz w:val="22"/>
          <w:szCs w:val="22"/>
        </w:rPr>
        <w:t>и объем закупаемой продукции</w:t>
      </w:r>
      <w:bookmarkEnd w:id="12"/>
    </w:p>
    <w:tbl>
      <w:tblPr>
        <w:tblW w:w="10363" w:type="dxa"/>
        <w:jc w:val="left"/>
        <w:tblInd w:w="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 w:noVBand="0" w:noHBand="0" w:lastColumn="0" w:firstColumn="0" w:lastRow="0" w:firstRow="0"/>
      </w:tblPr>
      <w:tblGrid>
        <w:gridCol w:w="558"/>
        <w:gridCol w:w="7094"/>
        <w:gridCol w:w="1065"/>
        <w:gridCol w:w="1645"/>
      </w:tblGrid>
      <w:tr>
        <w:trPr/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</w:p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п/п</w:t>
            </w:r>
          </w:p>
        </w:tc>
        <w:tc>
          <w:tcPr>
            <w:tcW w:w="7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Единица измерения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keepNext w:val="true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Количество</w:t>
            </w:r>
          </w:p>
        </w:tc>
      </w:tr>
      <w:tr>
        <w:trPr/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7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Вкладыш шатунный 3901430 Cummins</w:t>
            </w:r>
          </w:p>
        </w:tc>
        <w:tc>
          <w:tcPr>
            <w:tcW w:w="1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компл</w:t>
            </w:r>
          </w:p>
        </w:tc>
        <w:tc>
          <w:tcPr>
            <w:tcW w:w="1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22117421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3701010-D445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3972529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C3415691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5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S3701010-D592 24В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Гильза цилиндра двигателя C3948095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18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поршневое 3902286/3902401/3903384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уплотнительное 3907177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уплотнительное форсунки 276948 Volvo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Компенсатор глушителя Z3900042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коренных 3944153/3944158/3944163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компл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коренных коленчатого вала 3901590/3916840/3926798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компл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шатунных 3966244/3950661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компл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поршневых двигателя 3922686/3919918/3921919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поршня 3948412/3964073/3921919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компл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9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уплотнительных гильзы для двигателя Cummins 4024779 (4 кольца)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56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ремонтный 4089758 Cummins верхний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5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ремонтный 4089759 Cummins нижний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Крыльчатка вентилятора 04209191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Крыльчатка генератора дизельного 3819799 Volvo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Маслоотражатель двигателя 37425-08201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Маслоотражатель задний 37411-04200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355-0763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головки блока цилиндров 4352579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верхний 3804896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верхний 4025271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3802375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3804300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3804301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4089889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02937605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22902431 для дизель-генераторной установки Volvo Penta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двигателя 37745-60011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высокого давления топливный 5262669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высокого давления топливный двигателя 5262671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перекачки масла 3827475 для дизель-генераторной установки Volvo Penta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системы охлаждения двигателя 02931946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топливный низкого давления 7018955153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02113812 для дизельного двигателя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22763401 для дизель-генераторной установки Volvo Penta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двигателя 04503573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Натяжитель приводного ремня 3976831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Охладитель температуры масла 3966365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Охладитель температуры масла С3957544/А3921558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Помпа водяная 22331121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Поршень двигателя А3907163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2253099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2253101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6I3066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6I4024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головки блока цилиндра двигателя 37501-12200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37530-00200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37730-11501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37832-14300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клапанной крышки двигателя 37504-31200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клапанной крышки двигателя 37504-66200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крышки клапанной 20736230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форсунки 37561-16800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0117-9988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AVX11x975La для спецтехники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зубчатый AVX13x1100La для спецтехники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поликлиновый 8РК-1490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приводной 0118-0150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приводной поликлиновой 10PK1695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задний коленчатого вала 436-1479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коленчатого вала 37711-04300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коленчатого вала задний 3970548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17233221 Volvo Penta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3708010CD129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двигателя С3415537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С4935789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Ступица вентилятора 21924453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Термостат 3076489 82t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Термостат 4930315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23077425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49182-06550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49182-06560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49182-06570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49182-06580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C4050236 для двигателя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генератора дизельного 04259204KZ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двигателя Z3900430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С4047354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2720758 для дизель-генераторной установки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2720759 для дизель-генераторной установки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5697728 для дизель-генераторной установки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5697729 для дизель-генераторной установки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1425867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3362212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5P5678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м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7L4774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коленчатого вала 1425868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масляное 37511-04300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Фильтр масляный LF670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100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1112010-D393 Deutz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24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1301804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3095773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3883426 Volvo Penta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двигателя 37560-22011 Mitsubishi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двигателя 37860-08002 Mitsubishi в сборе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С3975929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0R2921 для дизель-генераторной установки Caterpillar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12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Caterpillar 0R8789 для дизель-генераторной установки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36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двигателя дизельного 3053124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48</w:t>
            </w:r>
          </w:p>
        </w:tc>
      </w:tr>
      <w:tr>
        <w:trPr>
          <w:trHeight w:val="340" w:hRule="atLeast"/>
        </w:trPr>
        <w:tc>
          <w:tcPr>
            <w:tcW w:w="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 w:val="false"/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094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Шкив вентилятора охлаждения 3914458 для двигателя Cummins</w:t>
            </w:r>
          </w:p>
        </w:tc>
        <w:tc>
          <w:tcPr>
            <w:tcW w:w="1065" w:type="dxa"/>
            <w:tcBorders>
              <w:left w:val="single" w:sz="4" w:space="0" w:color="000000"/>
              <w:bottom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шт</w:t>
            </w:r>
          </w:p>
        </w:tc>
        <w:tc>
          <w:tcPr>
            <w:tcW w:w="16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55" w:type="dxa"/>
              <w:bottom w:w="55" w:type="dxa"/>
            </w:tcMar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/>
            </w:pPr>
            <w:r>
              <w:rPr/>
              <w:t>4</w:t>
            </w:r>
          </w:p>
        </w:tc>
      </w:tr>
    </w:tbl>
    <w:p>
      <w:pPr>
        <w:pStyle w:val="Heading3"/>
        <w:tabs>
          <w:tab w:val="clear" w:pos="0"/>
        </w:tabs>
        <w:ind w:left="1224" w:hanging="0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3"/>
        <w:numPr>
          <w:ilvl w:val="2"/>
          <w:numId w:val="1"/>
        </w:numPr>
        <w:rPr>
          <w:sz w:val="22"/>
          <w:szCs w:val="22"/>
        </w:rPr>
      </w:pPr>
      <w:bookmarkStart w:id="14" w:name="_Toc179884602"/>
      <w:r>
        <w:rPr>
          <w:sz w:val="22"/>
          <w:szCs w:val="22"/>
        </w:rPr>
        <w:t>Требования к срокам поставки продукции и оказания сопутствующих услуг</w:t>
      </w:r>
      <w:bookmarkEnd w:id="14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2"/>
          <w:szCs w:val="22"/>
        </w:rPr>
      </w:pPr>
      <w:bookmarkStart w:id="15" w:name="_Toc179884603"/>
      <w:bookmarkStart w:id="16" w:name="_Toc51339697"/>
      <w:bookmarkStart w:id="17" w:name="_Toc50125127"/>
      <w:bookmarkStart w:id="18" w:name="_Toc50125126_Копия_1"/>
      <w:bookmarkEnd w:id="18"/>
      <w:r>
        <w:rPr>
          <w:sz w:val="22"/>
          <w:szCs w:val="22"/>
        </w:rPr>
        <w:t xml:space="preserve">Таблица 2.1 </w:t>
      </w:r>
      <w:bookmarkStart w:id="19" w:name="_Hlk50465284"/>
      <w:r>
        <w:rPr>
          <w:sz w:val="22"/>
          <w:szCs w:val="22"/>
        </w:rPr>
        <w:t xml:space="preserve">Требования по срокам </w:t>
      </w:r>
      <w:bookmarkEnd w:id="16"/>
      <w:bookmarkEnd w:id="17"/>
      <w:bookmarkEnd w:id="19"/>
      <w:r>
        <w:rPr>
          <w:sz w:val="22"/>
          <w:szCs w:val="22"/>
        </w:rPr>
        <w:t>поставки продукции</w:t>
      </w:r>
      <w:bookmarkEnd w:id="15"/>
      <w:r>
        <w:rPr>
          <w:sz w:val="22"/>
          <w:szCs w:val="22"/>
        </w:rPr>
        <w:t xml:space="preserve"> </w:t>
      </w:r>
      <w:bookmarkStart w:id="20" w:name="_Toc50125131"/>
      <w:bookmarkStart w:id="21" w:name="_Toc54785622"/>
      <w:bookmarkEnd w:id="6"/>
      <w:bookmarkEnd w:id="21"/>
    </w:p>
    <w:tbl>
      <w:tblPr>
        <w:tblW w:w="97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960"/>
        <w:gridCol w:w="2720"/>
        <w:gridCol w:w="2983"/>
        <w:gridCol w:w="3112"/>
      </w:tblGrid>
      <w:tr>
        <w:trPr/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r>
              <w:rPr>
                <w:sz w:val="22"/>
                <w:szCs w:val="22"/>
              </w:rPr>
              <w:t>п/п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продукции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началу срока поставки продукции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Требования к окончанию срока поставки продукции</w:t>
            </w:r>
          </w:p>
        </w:tc>
      </w:tr>
      <w:tr>
        <w:trPr/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1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3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31"/>
              <w:keepNext w:val="false"/>
              <w:widowControl w:val="false"/>
              <w:spacing w:before="40" w:after="40"/>
              <w:jc w:val="center"/>
              <w:rPr>
                <w:szCs w:val="22"/>
              </w:rPr>
            </w:pPr>
            <w:r>
              <w:rPr>
                <w:b/>
                <w:szCs w:val="22"/>
              </w:rPr>
              <w:t>4</w:t>
            </w:r>
          </w:p>
        </w:tc>
      </w:tr>
      <w:tr>
        <w:trPr/>
        <w:tc>
          <w:tcPr>
            <w:tcW w:w="9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4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  <w:r>
              <w:rPr>
                <w:sz w:val="22"/>
                <w:szCs w:val="22"/>
              </w:rPr>
              <w:t>ОКПД2 28.11.42.000  Поставка запасных частей Cummins, Mitsubifhi, Deutz Volvo для нужд страхового запаса филиалов АО «Сахаэнерго»</w:t>
            </w:r>
          </w:p>
        </w:tc>
        <w:tc>
          <w:tcPr>
            <w:tcW w:w="2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01</w:t>
            </w:r>
            <w:r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6</w:t>
            </w:r>
            <w:r>
              <w:rPr>
                <w:color w:val="000000"/>
                <w:sz w:val="20"/>
                <w:szCs w:val="20"/>
              </w:rPr>
              <w:t>.2027</w:t>
            </w:r>
          </w:p>
        </w:tc>
        <w:tc>
          <w:tcPr>
            <w:tcW w:w="3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color w:val="000000"/>
                <w:sz w:val="20"/>
                <w:szCs w:val="20"/>
              </w:rPr>
              <w:t>15</w:t>
            </w:r>
            <w:r>
              <w:rPr>
                <w:color w:val="000000"/>
                <w:sz w:val="20"/>
                <w:szCs w:val="20"/>
              </w:rPr>
              <w:t>.0</w:t>
            </w:r>
            <w:r>
              <w:rPr>
                <w:color w:val="000000"/>
                <w:sz w:val="20"/>
                <w:szCs w:val="20"/>
              </w:rPr>
              <w:t>7</w:t>
            </w:r>
            <w:r>
              <w:rPr>
                <w:color w:val="000000"/>
                <w:sz w:val="20"/>
                <w:szCs w:val="20"/>
              </w:rPr>
              <w:t>.2027 г.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737" w:footer="0" w:bottom="992"/>
          <w:pgNumType w:fmt="decimal"/>
          <w:formProt w:val="false"/>
          <w:titlePg/>
          <w:textDirection w:val="lrTb"/>
          <w:docGrid w:type="default" w:linePitch="100" w:charSpace="0"/>
        </w:sectPr>
      </w:pPr>
    </w:p>
    <w:p>
      <w:pPr>
        <w:pStyle w:val="Heading4"/>
        <w:numPr>
          <w:ilvl w:val="1"/>
          <w:numId w:val="1"/>
        </w:numPr>
        <w:rPr>
          <w:sz w:val="22"/>
          <w:szCs w:val="22"/>
        </w:rPr>
      </w:pPr>
      <w:bookmarkStart w:id="22" w:name="_Toc51339698"/>
      <w:bookmarkStart w:id="23" w:name="_Toc179884604"/>
      <w:bookmarkStart w:id="24" w:name="_Toc46743511"/>
      <w:r>
        <w:rPr>
          <w:sz w:val="22"/>
          <w:szCs w:val="22"/>
        </w:rPr>
        <w:t xml:space="preserve">Требования к </w:t>
      </w:r>
      <w:bookmarkEnd w:id="24"/>
      <w:r>
        <w:rPr>
          <w:sz w:val="22"/>
          <w:szCs w:val="22"/>
        </w:rPr>
        <w:t>качеству продукции</w:t>
      </w:r>
      <w:bookmarkEnd w:id="23"/>
    </w:p>
    <w:p>
      <w:pPr>
        <w:pStyle w:val="Heading1"/>
        <w:keepLines/>
        <w:tabs>
          <w:tab w:val="clear" w:pos="0"/>
        </w:tabs>
        <w:spacing w:before="240" w:after="60"/>
        <w:ind w:left="0" w:hanging="0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bookmarkStart w:id="25" w:name="_Toc179884605"/>
      <w:r>
        <w:rPr>
          <w:sz w:val="22"/>
          <w:szCs w:val="22"/>
        </w:rPr>
        <w:t>Таблица 3. Требования к продукции</w:t>
      </w:r>
      <w:bookmarkEnd w:id="25"/>
      <w:r>
        <w:rPr>
          <w:sz w:val="22"/>
          <w:szCs w:val="22"/>
        </w:rPr>
        <w:t xml:space="preserve"> </w:t>
      </w:r>
      <w:bookmarkEnd w:id="20"/>
      <w:bookmarkEnd w:id="22"/>
    </w:p>
    <w:p>
      <w:pPr>
        <w:pStyle w:val="Normal"/>
        <w:jc w:val="both"/>
        <w:rPr>
          <w:sz w:val="22"/>
          <w:szCs w:val="22"/>
        </w:rPr>
      </w:pPr>
      <w:r>
        <w:rPr>
          <w:b/>
          <w:bCs/>
          <w:i/>
          <w:iCs/>
          <w:sz w:val="22"/>
          <w:szCs w:val="22"/>
        </w:rPr>
        <w:t>Наименование продукции (позиция № 1 – 1</w:t>
      </w:r>
      <w:r>
        <w:rPr>
          <w:b/>
          <w:bCs/>
          <w:i/>
          <w:iCs/>
          <w:sz w:val="22"/>
          <w:szCs w:val="22"/>
        </w:rPr>
        <w:t xml:space="preserve">06 </w:t>
      </w:r>
      <w:r>
        <w:rPr>
          <w:b/>
          <w:bCs/>
          <w:i/>
          <w:iCs/>
          <w:sz w:val="22"/>
          <w:szCs w:val="22"/>
        </w:rPr>
        <w:t>Таблицы 1.1):</w:t>
      </w:r>
      <w:r>
        <w:rPr>
          <w:i/>
          <w:iCs/>
          <w:sz w:val="22"/>
          <w:szCs w:val="22"/>
        </w:rPr>
        <w:t xml:space="preserve"> </w:t>
      </w:r>
    </w:p>
    <w:tbl>
      <w:tblPr>
        <w:tblStyle w:val="affffc"/>
        <w:tblW w:w="15706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681"/>
        <w:gridCol w:w="2692"/>
        <w:gridCol w:w="5530"/>
        <w:gridCol w:w="2268"/>
        <w:gridCol w:w="2518"/>
        <w:gridCol w:w="2016"/>
      </w:tblGrid>
      <w:tr>
        <w:trPr/>
        <w:tc>
          <w:tcPr>
            <w:tcW w:w="68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 xml:space="preserve">№ </w:t>
            </w: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п/п</w:t>
            </w:r>
          </w:p>
        </w:tc>
        <w:tc>
          <w:tcPr>
            <w:tcW w:w="2692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5530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Требование заказчика</w:t>
            </w:r>
          </w:p>
        </w:tc>
        <w:tc>
          <w:tcPr>
            <w:tcW w:w="4786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016" w:type="dxa"/>
            <w:vMerge w:val="restart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68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692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5530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Согласие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с требованием/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указание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характеристик</w:t>
            </w:r>
          </w:p>
        </w:tc>
        <w:tc>
          <w:tcPr>
            <w:tcW w:w="251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016" w:type="dxa"/>
            <w:vMerge w:val="continue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1</w:t>
            </w:r>
          </w:p>
        </w:tc>
        <w:tc>
          <w:tcPr>
            <w:tcW w:w="269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2</w:t>
            </w:r>
          </w:p>
        </w:tc>
        <w:tc>
          <w:tcPr>
            <w:tcW w:w="55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3</w:t>
            </w:r>
          </w:p>
        </w:tc>
        <w:tc>
          <w:tcPr>
            <w:tcW w:w="226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4</w:t>
            </w:r>
          </w:p>
        </w:tc>
        <w:tc>
          <w:tcPr>
            <w:tcW w:w="251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5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Требования к техническим и функциональным характеристикам (включая гарантируемые показатели)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Требования к техническим и функциональным характеристикам в отношении каждой позиции продукции представлены в Приложении № 1 к настоящим Техническим требованиям</w:t>
            </w:r>
          </w:p>
        </w:tc>
        <w:tc>
          <w:tcPr>
            <w:tcW w:w="226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  <w:shd w:color="auto" w:fill="auto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392" w:hRule="atLeast"/>
        </w:trPr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b/>
                <w:bCs/>
                <w:iCs/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Требования к продукции</w:t>
            </w:r>
          </w:p>
        </w:tc>
        <w:tc>
          <w:tcPr>
            <w:tcW w:w="2268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518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>
          <w:trHeight w:val="313" w:hRule="atLeast"/>
        </w:trPr>
        <w:tc>
          <w:tcPr>
            <w:tcW w:w="681" w:type="dxa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kern w:val="0"/>
                <w:sz w:val="22"/>
                <w:szCs w:val="22"/>
                <w:lang w:val="ru-RU" w:eastAsia="ru-RU" w:bidi="ar-SA"/>
              </w:rPr>
              <w:t>2.1.</w:t>
            </w:r>
          </w:p>
        </w:tc>
        <w:tc>
          <w:tcPr>
            <w:tcW w:w="8222" w:type="dxa"/>
            <w:gridSpan w:val="2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ahoma" w:cs="Lohit Devanagari"/>
                <w:kern w:val="0"/>
                <w:lang w:val="ru-RU" w:eastAsia="ru-RU" w:bidi="ar-SA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highlight w:val="white"/>
                <w:lang w:val="ru-RU" w:eastAsia="ru-RU" w:bidi="ar-SA"/>
              </w:rPr>
              <w:t>Все предлагаемые к поставке позиции перечня продукции должны быть совместимы с двигателями марки cummins</w:t>
            </w:r>
          </w:p>
        </w:tc>
        <w:tc>
          <w:tcPr>
            <w:tcW w:w="2268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left"/>
              <w:rPr>
                <w:i/>
                <w:i/>
                <w:iCs/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016" w:type="dxa"/>
            <w:tcBorders/>
            <w:shd w:color="FFFFFF" w:fill="FFFFFF" w:val="clear"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bCs/>
                <w:kern w:val="0"/>
                <w:sz w:val="22"/>
                <w:szCs w:val="22"/>
                <w:lang w:val="ru-RU" w:eastAsia="ru-RU" w:bidi="ar-SA"/>
              </w:rPr>
              <w:t>Требования к доставке,  маркировке, упаковке, транспортировке, перемещению, условиям хранения, приемке и испытаниям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Cs/>
                <w:i/>
                <w:kern w:val="0"/>
                <w:sz w:val="22"/>
                <w:szCs w:val="22"/>
                <w:lang w:val="ru-RU" w:eastAsia="ru-RU" w:bidi="ar-SA"/>
              </w:rPr>
              <w:t>Место поставки</w:t>
            </w:r>
          </w:p>
        </w:tc>
        <w:tc>
          <w:tcPr>
            <w:tcW w:w="55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1. Приемка продукции по количеству и качеству осуществляется по адресу: 677004, РФ, РС (Я), г. Якутск, ул. Беринга, 42 Производственная база АО «Сахаэнерго».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2. В случае несоответствия поставленной продукции требованиям технического задания, Поставщик за свой счет производит замену несоответствующего товара в течение 10 рабочих дней, в противном случае вся партия товара принята Заказчиком не будет.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Условия транспортирования</w:t>
            </w:r>
          </w:p>
        </w:tc>
        <w:tc>
          <w:tcPr>
            <w:tcW w:w="553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32" w:leader="none"/>
                <w:tab w:val="left" w:pos="459" w:leader="none"/>
              </w:tabs>
              <w:spacing w:before="0" w:after="0"/>
              <w:ind w:left="72" w:hanging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ГОСТ 15150-69 (ОЖ4). Обоснование: транспортировка в район Крайнего Севера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Тара, используемая при  транспортировке</w:t>
            </w:r>
          </w:p>
        </w:tc>
        <w:tc>
          <w:tcPr>
            <w:tcW w:w="5530" w:type="dxa"/>
            <w:tcBorders/>
          </w:tcPr>
          <w:p>
            <w:pPr>
              <w:pStyle w:val="Normal"/>
              <w:widowControl w:val="false"/>
              <w:spacing w:before="0" w:after="0"/>
              <w:ind w:left="72" w:hanging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- соответствие тары и упаковки для многоразовой перегрузки и транспортировки ТМЦ в условиях Крайнего Севера;</w:t>
            </w:r>
          </w:p>
          <w:p>
            <w:pPr>
              <w:pStyle w:val="Normal"/>
              <w:widowControl w:val="false"/>
              <w:spacing w:before="0" w:after="0"/>
              <w:ind w:left="72" w:hanging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- при отгрузке продукции в упакованных местах – вложение в каждое тарное место предусмотренного стандартами, техническими условиями. Особыми условиями поставки, иными обязательными правилами или Договором документа (упаковочного ярлыка), свидетельствующего о наименовании и количестве продукции, находящейся в данном тарном месте.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Требования к гарантиям, гарантийному и послегарантийному обслуживанию</w:t>
            </w:r>
          </w:p>
          <w:p>
            <w:pPr>
              <w:pStyle w:val="Normal"/>
              <w:widowControl w:val="false"/>
              <w:spacing w:before="20" w:after="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2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2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2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hd w:fill="FFFFFF" w:val="clear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Срок гарантии</w:t>
            </w:r>
          </w:p>
        </w:tc>
        <w:tc>
          <w:tcPr>
            <w:tcW w:w="553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hd w:fill="FFFFFF" w:val="clear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shd w:fill="FFFFFF" w:val="clear"/>
                <w:lang w:val="ru-RU" w:eastAsia="ru-RU" w:bidi="ar-SA"/>
              </w:rPr>
              <w:t>Срок гарантии на продукции должен составлять не менее 12 месяцев с даты подписания ТОРГ-12 или УПД.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20" w:after="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20" w:after="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Требования к комплектации и документам, поставляемым вместе с продукцией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Документы, передаваемые вместе с продукцией</w:t>
            </w:r>
          </w:p>
        </w:tc>
        <w:tc>
          <w:tcPr>
            <w:tcW w:w="5530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Поставщик обязан одновременно с передачей продукции передать Покупателю относящиеся к нему документы, оформленные надлежащим образом: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сертификаты качества;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товарно-транспортную накладную формы №1-Т;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Tahoma" w:cs="Lohit Devanagari"/>
                <w:kern w:val="0"/>
                <w:highlight w:val="none"/>
                <w:shd w:fill="FFFF00" w:val="clear"/>
                <w:lang w:val="ru-RU" w:eastAsia="ru-RU" w:bidi="ar-SA"/>
              </w:rPr>
            </w:pPr>
            <w:r>
              <w:rPr>
                <w:i/>
                <w:iCs/>
                <w:sz w:val="22"/>
                <w:szCs w:val="22"/>
                <w:shd w:fill="FFFF00" w:val="clear"/>
              </w:rPr>
              <w:t>универсальный передаточный документ (УПД) или товарную накладную ТОРГ-12 в 2 экз.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2"/>
              </w:numPr>
              <w:spacing w:before="60" w:after="60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8222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pacing w:before="60" w:after="6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Прочие (дополнительные) требования к продукции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Сведения о новизне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5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1. Поставляемая продукция должна быть новой (не бывшей в эксплуатации, не допускается поставка выставочных образцов, а также собранной из восстановленных узлов и материалов), свободной от третьих лиц. Дата выпуска: не ранее 2025 года.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2. Продукция должна быть сертифицирована, а также иметь все необходимые документы, позволяющие надлежащим образом использовать продукцию.</w:t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sz w:val="22"/>
                <w:szCs w:val="22"/>
              </w:rPr>
            </w:pPr>
            <w:r>
              <w:rPr>
                <w:rFonts w:eastAsia="Tahoma" w:cs="Lohit Devanagari"/>
                <w:b/>
                <w:kern w:val="0"/>
                <w:sz w:val="22"/>
                <w:szCs w:val="22"/>
                <w:lang w:val="ru-RU" w:eastAsia="ru-RU" w:bidi="ar-SA"/>
              </w:rPr>
              <w:t>-//-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  <w:tr>
        <w:trPr/>
        <w:tc>
          <w:tcPr>
            <w:tcW w:w="68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2"/>
              </w:numPr>
              <w:spacing w:before="60" w:after="60"/>
              <w:ind w:left="-117" w:firstLine="142"/>
              <w:contextualSpacing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692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Условия поставки эквивалентной продукции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530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cs="Times                      NewR"/>
                <w:i/>
                <w:i/>
                <w:iCs/>
                <w:sz w:val="22"/>
                <w:szCs w:val="22"/>
              </w:rPr>
            </w:pPr>
            <w:r>
              <w:rPr>
                <w:rFonts w:eastAsia="Tahoma" w:cs="Times                      NewR"/>
                <w:i/>
                <w:iCs/>
                <w:kern w:val="0"/>
                <w:sz w:val="22"/>
                <w:szCs w:val="22"/>
                <w:lang w:val="ru-RU" w:eastAsia="ru-RU" w:bidi="ar-SA"/>
              </w:rPr>
              <w:t xml:space="preserve"> </w:t>
            </w:r>
            <w:r>
              <w:rPr>
                <w:rFonts w:eastAsia="Tahoma" w:cs="Times                      NewR"/>
                <w:i/>
                <w:iCs/>
                <w:kern w:val="0"/>
                <w:sz w:val="22"/>
                <w:szCs w:val="22"/>
                <w:lang w:val="ru-RU" w:eastAsia="ru-RU" w:bidi="ar-SA"/>
              </w:rPr>
              <w:t>Указанные в настоящем ТТ ссылки на марку (тип) продукции носят описательный, а не обязательный характер.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cs="Times                      NewR"/>
                <w:i/>
                <w:i/>
                <w:iCs/>
                <w:sz w:val="22"/>
                <w:szCs w:val="22"/>
              </w:rPr>
            </w:pPr>
            <w:r>
              <w:rPr>
                <w:rFonts w:eastAsia="Tahoma" w:cs="Times                      NewR"/>
                <w:i/>
                <w:iCs/>
                <w:kern w:val="0"/>
                <w:sz w:val="22"/>
                <w:szCs w:val="22"/>
                <w:lang w:val="ru-RU" w:eastAsia="ru-RU" w:bidi="ar-SA"/>
              </w:rPr>
              <w:t>В случае, если Участником предлагается эквивалентная продукция требуемой Заказчику продукции или ее составных частей, он должен в обязательном порядке в составе своего предложения предоставить подробное техническое описание предлагаемого к поставке эквивалента, в объеме не менее установленных в настоящем ТТ требований, обозначенных как «параметры эквивалентности».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cs="Times                      NewR"/>
                <w:i/>
                <w:i/>
                <w:iCs/>
                <w:sz w:val="22"/>
                <w:szCs w:val="22"/>
              </w:rPr>
            </w:pPr>
            <w:r>
              <w:rPr>
                <w:rFonts w:eastAsia="Tahoma" w:cs="Times                      NewR"/>
                <w:i/>
                <w:iCs/>
                <w:kern w:val="0"/>
                <w:sz w:val="22"/>
                <w:szCs w:val="22"/>
                <w:lang w:val="ru-RU" w:eastAsia="ru-RU" w:bidi="ar-SA"/>
              </w:rPr>
              <w:t>Параметрами эквивалентности являются технические характеристики продукции, указанные в приложении № 1 к настоящим техническим требованиям.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rFonts w:cs="Times                      NewR"/>
                <w:i/>
                <w:i/>
                <w:iCs/>
                <w:sz w:val="22"/>
                <w:szCs w:val="22"/>
              </w:rPr>
            </w:pPr>
            <w:r>
              <w:rPr>
                <w:rFonts w:cs="Times                      NewR"/>
                <w:i/>
                <w:iCs/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Times                      NewR"/>
                <w:i/>
                <w:iCs/>
                <w:kern w:val="0"/>
                <w:sz w:val="22"/>
                <w:szCs w:val="22"/>
                <w:lang w:val="ru-RU" w:eastAsia="ru-RU" w:bidi="ar-SA"/>
              </w:rPr>
              <w:t>Эквивалентная продукция – это продукция, которая по техническим и функциональным характеристикам не уступает характеристикам, заявленным в документации о закупке, в том числе, по гарантийным срокам и срокам эксплуатации.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268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2"/>
                <w:szCs w:val="22"/>
              </w:rPr>
            </w:pPr>
            <w:r>
              <w:rPr>
                <w:rFonts w:eastAsia="Tahoma" w:cs="Lohit Devanagari"/>
                <w:i/>
                <w:iCs/>
                <w:kern w:val="0"/>
                <w:sz w:val="22"/>
                <w:szCs w:val="22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518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rFonts w:eastAsia="Tahoma" w:cs="Lohit Devanagari"/>
                <w:i/>
                <w:kern w:val="0"/>
                <w:sz w:val="22"/>
                <w:szCs w:val="22"/>
                <w:lang w:val="ru-RU" w:eastAsia="ru-RU" w:bidi="ar-SA"/>
              </w:rPr>
              <w:t>В случае предложения эквивалента предоставить каталог производителя на предлагаемую продукцию. При отсутствии каталога на эквивалентную продукцию заявка Участника подлежит отклонению</w:t>
            </w:r>
          </w:p>
        </w:tc>
        <w:tc>
          <w:tcPr>
            <w:tcW w:w="2016" w:type="dxa"/>
            <w:tcBorders/>
          </w:tcPr>
          <w:p>
            <w:pPr>
              <w:pStyle w:val="Normal"/>
              <w:widowControl w:val="false"/>
              <w:spacing w:before="60" w:after="60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</w:tr>
    </w:tbl>
    <w:p>
      <w:pPr>
        <w:pStyle w:val="Heading1"/>
        <w:keepLines/>
        <w:ind w:left="357" w:hanging="35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rPr>
          <w:sz w:val="22"/>
          <w:szCs w:val="22"/>
          <w:highlight w:val="none"/>
          <w:shd w:fill="FFFFFF" w:val="clear"/>
        </w:rPr>
      </w:pPr>
      <w:r>
        <w:rPr>
          <w:sz w:val="22"/>
          <w:szCs w:val="22"/>
          <w:shd w:fill="FFFFFF" w:val="clear"/>
        </w:rPr>
      </w:r>
    </w:p>
    <w:p>
      <w:pPr>
        <w:pStyle w:val="Heading1"/>
        <w:keepLines/>
        <w:numPr>
          <w:ilvl w:val="0"/>
          <w:numId w:val="1"/>
        </w:numPr>
        <w:ind w:left="357" w:hanging="357"/>
        <w:rPr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  <w:t>В составе заявки необходимо предоставить:</w:t>
      </w:r>
    </w:p>
    <w:p>
      <w:pPr>
        <w:pStyle w:val="Normal"/>
        <w:rPr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  <w:t xml:space="preserve">Участник в составе своей заявки для подтверждения соответствия заявленных характеристик и конструктива предложенной продукции поставляемой продукции, требованиям настоящих ТТ, предоставляет следующие документы: </w:t>
      </w:r>
    </w:p>
    <w:p>
      <w:pPr>
        <w:pStyle w:val="Normal"/>
        <w:rPr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  <w:t xml:space="preserve">    </w:t>
      </w:r>
      <w:r>
        <w:rPr>
          <w:sz w:val="24"/>
          <w:szCs w:val="24"/>
          <w:shd w:fill="FFFFFF" w:val="clear"/>
        </w:rPr>
        <w:t>1) Техническое предложение, подготовленное в соответствии с настоящими ТТ по форме, представленной в документации о закупке.</w:t>
      </w:r>
    </w:p>
    <w:p>
      <w:pPr>
        <w:pStyle w:val="Normal"/>
        <w:rPr>
          <w:sz w:val="24"/>
          <w:szCs w:val="24"/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Heading1"/>
        <w:numPr>
          <w:ilvl w:val="0"/>
          <w:numId w:val="1"/>
        </w:numPr>
        <w:ind w:left="357" w:hanging="357"/>
        <w:rPr>
          <w:highlight w:val="none"/>
          <w:shd w:fill="FFFFFF" w:val="clear"/>
        </w:rPr>
      </w:pPr>
      <w:bookmarkStart w:id="26" w:name="_Toc179884606"/>
      <w:r>
        <w:rPr>
          <w:iCs/>
          <w:sz w:val="24"/>
          <w:szCs w:val="24"/>
          <w:shd w:fill="FFFFFF" w:val="clear"/>
        </w:rPr>
        <w:t>Приложения</w:t>
      </w:r>
      <w:bookmarkEnd w:id="26"/>
      <w:r>
        <w:rPr>
          <w:iCs/>
          <w:sz w:val="24"/>
          <w:szCs w:val="24"/>
          <w:shd w:fill="FFFFFF" w:val="clear"/>
        </w:rPr>
        <w:t>: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rPr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  <w:t xml:space="preserve">Приложение №1: </w:t>
      </w:r>
      <w:r>
        <w:rPr>
          <w:rFonts w:eastAsia="Calibri"/>
          <w:b/>
          <w:bCs/>
          <w:sz w:val="24"/>
          <w:szCs w:val="24"/>
          <w:shd w:fill="FFFFFF" w:val="clear"/>
        </w:rPr>
        <w:t>Требования к продукции (индивидуальные требования по каждой позиции перечня продукции)</w:t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rPr>
          <w:highlight w:val="none"/>
          <w:shd w:fill="FFFFFF" w:val="clear"/>
        </w:rPr>
      </w:pPr>
      <w:r>
        <w:rPr>
          <w:shd w:fill="FFFFFF" w:val="clear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highlight w:val="none"/>
          <w:shd w:fill="FFFFFF" w:val="clear"/>
        </w:rPr>
      </w:pPr>
      <w:bookmarkStart w:id="27" w:name="_Toc149029451"/>
      <w:r>
        <w:rPr>
          <w:rFonts w:eastAsia="Calibri"/>
          <w:b/>
          <w:bCs/>
          <w:color w:val="000000"/>
          <w:sz w:val="24"/>
          <w:szCs w:val="24"/>
          <w:shd w:fill="FFFFFF" w:val="clear"/>
        </w:rPr>
        <w:t>5. Требования к документации по ценообразованию на этапе закупки</w:t>
      </w:r>
      <w:bookmarkEnd w:id="27"/>
    </w:p>
    <w:p>
      <w:pPr>
        <w:pStyle w:val="Normal"/>
        <w:jc w:val="both"/>
        <w:rPr>
          <w:sz w:val="24"/>
          <w:szCs w:val="24"/>
          <w:highlight w:val="none"/>
          <w:shd w:fill="FFFFFF" w:val="clear"/>
        </w:rPr>
      </w:pPr>
      <w:r>
        <w:rPr>
          <w:sz w:val="24"/>
          <w:szCs w:val="24"/>
          <w:shd w:fill="FFFFFF" w:val="clear"/>
        </w:rPr>
      </w:r>
    </w:p>
    <w:p>
      <w:pPr>
        <w:pStyle w:val="Normal"/>
        <w:jc w:val="both"/>
        <w:rPr>
          <w:rFonts w:eastAsia="Calibri"/>
          <w:vanish/>
          <w:sz w:val="24"/>
          <w:szCs w:val="24"/>
          <w:highlight w:val="none"/>
          <w:shd w:fill="FFFFFF" w:val="clear"/>
        </w:rPr>
      </w:pPr>
      <w:r>
        <w:rPr>
          <w:rFonts w:eastAsia="Calibri"/>
          <w:vanish/>
          <w:sz w:val="24"/>
          <w:szCs w:val="24"/>
          <w:shd w:fill="FFFFFF" w:val="clear"/>
        </w:rPr>
      </w:r>
    </w:p>
    <w:p>
      <w:pPr>
        <w:pStyle w:val="Normal"/>
        <w:jc w:val="both"/>
        <w:rPr>
          <w:highlight w:val="none"/>
          <w:shd w:fill="FFFFFF" w:val="clear"/>
        </w:rPr>
      </w:pPr>
      <w:r>
        <w:rPr>
          <w:rFonts w:eastAsia="Calibri"/>
          <w:sz w:val="24"/>
          <w:szCs w:val="24"/>
          <w:shd w:fill="FFFFFF" w:val="clear"/>
        </w:rPr>
        <w:t xml:space="preserve">5.1.   В обоснование стоимости своей заявки Участник предоставляет Коммерческое предложение по форме </w:t>
      </w:r>
      <w:bookmarkStart w:id="28" w:name="_Hlk88325985"/>
      <w:r>
        <w:rPr>
          <w:rFonts w:eastAsia="Calibri"/>
          <w:sz w:val="24"/>
          <w:szCs w:val="24"/>
          <w:shd w:fill="FFFFFF" w:val="clear"/>
        </w:rPr>
        <w:t>(с учетом прилагаемой к ней инструкции по заполнению)</w:t>
      </w:r>
      <w:bookmarkEnd w:id="28"/>
      <w:r>
        <w:rPr>
          <w:rFonts w:eastAsia="Calibri"/>
          <w:sz w:val="24"/>
          <w:szCs w:val="24"/>
          <w:shd w:fill="FFFFFF" w:val="clear"/>
        </w:rPr>
        <w:t>, приведенной в Документации о закупке.</w:t>
      </w:r>
      <w:bookmarkStart w:id="29" w:name="_Hlk88327292"/>
    </w:p>
    <w:p>
      <w:pPr>
        <w:pStyle w:val="Normal"/>
        <w:jc w:val="both"/>
        <w:rPr>
          <w:rFonts w:eastAsia="Calibri"/>
          <w:sz w:val="24"/>
          <w:szCs w:val="24"/>
          <w:highlight w:val="none"/>
          <w:shd w:fill="FFFFFF" w:val="clear"/>
        </w:rPr>
      </w:pPr>
      <w:r>
        <w:rPr>
          <w:rFonts w:eastAsia="Calibri"/>
          <w:sz w:val="24"/>
          <w:szCs w:val="24"/>
          <w:shd w:fill="FFFFFF" w:val="clear"/>
        </w:rPr>
      </w:r>
    </w:p>
    <w:p>
      <w:pPr>
        <w:pStyle w:val="Normal"/>
        <w:jc w:val="both"/>
        <w:rPr>
          <w:highlight w:val="none"/>
          <w:shd w:fill="FFFFFF" w:val="clear"/>
        </w:rPr>
      </w:pPr>
      <w:r>
        <w:rPr>
          <w:rFonts w:eastAsia="Calibri"/>
          <w:sz w:val="24"/>
          <w:szCs w:val="24"/>
          <w:shd w:fill="FFFFFF" w:val="clear"/>
        </w:rPr>
        <w:t>5.2.   Дополнительные документы по ценообразованию</w:t>
      </w:r>
      <w:bookmarkEnd w:id="29"/>
      <w:r>
        <w:rPr>
          <w:rFonts w:eastAsia="Calibri"/>
          <w:sz w:val="24"/>
          <w:szCs w:val="24"/>
          <w:shd w:fill="FFFFFF" w:val="clear"/>
        </w:rPr>
        <w:t xml:space="preserve"> в состав заявки не включаются.</w:t>
      </w:r>
    </w:p>
    <w:p>
      <w:pPr>
        <w:pStyle w:val="Normal"/>
        <w:jc w:val="both"/>
        <w:rPr>
          <w:rFonts w:eastAsia="Calibri"/>
          <w:sz w:val="24"/>
          <w:szCs w:val="24"/>
          <w:highlight w:val="none"/>
          <w:shd w:fill="FFFFFF" w:val="clear"/>
        </w:rPr>
      </w:pPr>
      <w:r>
        <w:rPr>
          <w:rFonts w:eastAsia="Calibri"/>
          <w:sz w:val="24"/>
          <w:szCs w:val="24"/>
          <w:shd w:fill="FFFFFF" w:val="clear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highlight w:val="none"/>
          <w:shd w:fill="FFFFFF" w:val="clear"/>
        </w:rPr>
      </w:pPr>
      <w:r>
        <w:rPr>
          <w:rFonts w:eastAsia="Calibri"/>
          <w:b w:val="false"/>
          <w:bCs w:val="false"/>
          <w:color w:val="000000"/>
          <w:sz w:val="24"/>
          <w:szCs w:val="24"/>
          <w:shd w:fill="FFFFFF" w:val="clear"/>
        </w:rPr>
        <w:t>5.3.   Стоимость за единицу продукции (товара) должна включать в себя погрузку, транспортировку товара до места поставки, подлежащие уплате налоги, сборы и пошлины и прочие затраты, и расходы поставщика, связанные с поставкой товара, предусмотренные Проектом договора (Приложение к Документации о закупке).</w:t>
      </w:r>
    </w:p>
    <w:p>
      <w:pPr>
        <w:pStyle w:val="Normal"/>
        <w:rPr>
          <w:highlight w:val="none"/>
          <w:shd w:fill="auto" w:val="clear"/>
        </w:rPr>
      </w:pPr>
      <w:r>
        <w:rPr>
          <w:shd w:fill="auto" w:val="clear"/>
          <w:lang w:val="en-US"/>
        </w:rPr>
        <w:t xml:space="preserve">    </w:t>
      </w:r>
    </w:p>
    <w:p>
      <w:pPr>
        <w:pStyle w:val="Normal"/>
        <w:jc w:val="right"/>
        <w:rPr>
          <w:bCs/>
          <w:i/>
          <w:i/>
          <w:sz w:val="22"/>
          <w:szCs w:val="22"/>
        </w:rPr>
      </w:pPr>
      <w:r>
        <w:rPr>
          <w:i/>
          <w:sz w:val="22"/>
          <w:szCs w:val="22"/>
        </w:rPr>
        <w:t>Приложение №1</w:t>
      </w:r>
    </w:p>
    <w:p>
      <w:pPr>
        <w:pStyle w:val="Normal"/>
        <w:jc w:val="right"/>
        <w:rPr>
          <w:i/>
          <w:i/>
          <w:sz w:val="22"/>
          <w:szCs w:val="22"/>
        </w:rPr>
      </w:pPr>
      <w:r>
        <w:rPr>
          <w:i/>
          <w:sz w:val="22"/>
          <w:szCs w:val="22"/>
        </w:rPr>
      </w:r>
    </w:p>
    <w:p>
      <w:pPr>
        <w:pStyle w:val="Normal"/>
        <w:spacing w:before="0" w:after="120"/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</w:rPr>
        <w:t>Таблица 3.1. Требования к продукции (индивидуальные требования по каждой позиции перечня продукции)</w:t>
      </w:r>
    </w:p>
    <w:p>
      <w:pPr>
        <w:pStyle w:val="Normal"/>
        <w:spacing w:before="0" w:after="120"/>
        <w:ind w:right="397" w:hanging="0"/>
        <w:jc w:val="both"/>
        <w:rPr>
          <w:b/>
          <w:bCs/>
          <w:i/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Наименование продукции: </w:t>
      </w:r>
      <w:r>
        <w:rPr>
          <w:i/>
          <w:iCs/>
          <w:sz w:val="22"/>
          <w:szCs w:val="22"/>
        </w:rPr>
        <w:t xml:space="preserve">  «ОКПД2 28.11.42.000  Поставка запасных частей Cummins, Mitsubifhi, Deutz Volvo для нужд страхового запаса филиалов АО «Сахаэнерго»»</w:t>
      </w:r>
    </w:p>
    <w:tbl>
      <w:tblPr>
        <w:tblStyle w:val="1e"/>
        <w:tblW w:w="1540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VBand="1" w:noHBand="0" w:lastColumn="0" w:firstColumn="1" w:lastRow="0" w:firstRow="1"/>
      </w:tblPr>
      <w:tblGrid>
        <w:gridCol w:w="844"/>
        <w:gridCol w:w="2946"/>
        <w:gridCol w:w="3627"/>
        <w:gridCol w:w="2764"/>
        <w:gridCol w:w="2718"/>
        <w:gridCol w:w="2508"/>
      </w:tblGrid>
      <w:tr>
        <w:trPr>
          <w:trHeight w:val="311" w:hRule="atLeast"/>
        </w:trPr>
        <w:tc>
          <w:tcPr>
            <w:tcW w:w="844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 xml:space="preserve">№ </w:t>
            </w: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п/п</w:t>
            </w:r>
          </w:p>
        </w:tc>
        <w:tc>
          <w:tcPr>
            <w:tcW w:w="294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Наименование параметра</w:t>
            </w:r>
          </w:p>
        </w:tc>
        <w:tc>
          <w:tcPr>
            <w:tcW w:w="36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Требование заказчика</w:t>
            </w:r>
          </w:p>
        </w:tc>
        <w:tc>
          <w:tcPr>
            <w:tcW w:w="5482" w:type="dxa"/>
            <w:gridSpan w:val="2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508" w:type="dxa"/>
            <w:vMerge w:val="restart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Предложение участника по характеристикам и параметрам</w:t>
            </w:r>
          </w:p>
        </w:tc>
      </w:tr>
      <w:tr>
        <w:trPr>
          <w:trHeight w:val="726" w:hRule="atLeast"/>
        </w:trPr>
        <w:tc>
          <w:tcPr>
            <w:tcW w:w="844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3627" w:type="dxa"/>
            <w:tcBorders>
              <w:right w:val="nil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kern w:val="0"/>
                <w:sz w:val="22"/>
                <w:szCs w:val="22"/>
                <w:lang w:val="ru-RU" w:eastAsia="en-US" w:bidi="ar-SA"/>
              </w:rPr>
              <w:t>Технические и функциональные характеристики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(параметры эквивалентности)</w:t>
            </w:r>
          </w:p>
        </w:tc>
        <w:tc>
          <w:tcPr>
            <w:tcW w:w="276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Наименование продукции</w:t>
            </w:r>
          </w:p>
        </w:tc>
        <w:tc>
          <w:tcPr>
            <w:tcW w:w="271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kern w:val="0"/>
                <w:sz w:val="22"/>
                <w:szCs w:val="22"/>
                <w:lang w:val="ru-RU" w:eastAsia="en-US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508" w:type="dxa"/>
            <w:vMerge w:val="continue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rFonts w:ascii="Times New Roman" w:hAnsi="Times New Roman" w:eastAsia="Calibri" w:cs="Arial"/>
                <w:b/>
                <w:bCs/>
                <w:sz w:val="22"/>
                <w:szCs w:val="22"/>
              </w:rPr>
            </w:pPr>
            <w:r>
              <w:rPr>
                <w:rFonts w:eastAsia="Calibri" w:cs="Arial"/>
                <w:b/>
                <w:bCs/>
                <w:sz w:val="22"/>
                <w:szCs w:val="22"/>
              </w:rPr>
            </w:r>
          </w:p>
        </w:tc>
      </w:tr>
      <w:tr>
        <w:trPr>
          <w:trHeight w:val="223" w:hRule="atLeast"/>
        </w:trPr>
        <w:tc>
          <w:tcPr>
            <w:tcW w:w="84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en-US" w:eastAsia="en-US" w:bidi="ar-SA"/>
              </w:rPr>
              <w:t>1</w:t>
            </w:r>
          </w:p>
        </w:tc>
        <w:tc>
          <w:tcPr>
            <w:tcW w:w="2946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en-US" w:eastAsia="en-US" w:bidi="ar-SA"/>
              </w:rPr>
              <w:t>2</w:t>
            </w:r>
          </w:p>
        </w:tc>
        <w:tc>
          <w:tcPr>
            <w:tcW w:w="3627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kern w:val="0"/>
                <w:sz w:val="22"/>
                <w:szCs w:val="22"/>
                <w:lang w:val="en-US" w:eastAsia="en-US" w:bidi="ar-SA"/>
              </w:rPr>
              <w:t>3</w:t>
            </w:r>
          </w:p>
        </w:tc>
        <w:tc>
          <w:tcPr>
            <w:tcW w:w="2764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en-US" w:eastAsia="en-US" w:bidi="ar-SA"/>
              </w:rPr>
              <w:t>4</w:t>
            </w:r>
          </w:p>
        </w:tc>
        <w:tc>
          <w:tcPr>
            <w:tcW w:w="2718" w:type="dxa"/>
            <w:tcBorders/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en-US" w:eastAsia="en-US" w:bidi="ar-SA"/>
              </w:rPr>
              <w:t>5</w:t>
            </w:r>
          </w:p>
        </w:tc>
        <w:tc>
          <w:tcPr>
            <w:tcW w:w="2508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Calibri" w:cstheme="minorHAnsi"/>
                <w:b/>
                <w:bCs/>
                <w:kern w:val="0"/>
                <w:sz w:val="22"/>
                <w:szCs w:val="22"/>
                <w:lang w:val="en-US" w:eastAsia="en-US" w:bidi="ar-SA"/>
              </w:rPr>
              <w:t>6</w:t>
            </w:r>
          </w:p>
        </w:tc>
      </w:tr>
      <w:tr>
        <w:trPr/>
        <w:tc>
          <w:tcPr>
            <w:tcW w:w="844" w:type="dxa"/>
            <w:tcBorders/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Вкладыш шатунный 3901430 Cummins</w:t>
            </w:r>
          </w:p>
        </w:tc>
        <w:tc>
          <w:tcPr>
            <w:tcW w:w="3627" w:type="dxa"/>
            <w:tcBorders>
              <w:top w:val="single" w:sz="6" w:space="0" w:color="000000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single" w:sz="6" w:space="0" w:color="000000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22117421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3701010-D445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3972529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C3415691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Генератор S3701010-D592 24В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Гильза цилиндра двигателя C3948095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поршневое 3902286/3902401/3903384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уплотнительное 3907177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Кольцо уплотнительное форсунки 276948 Volvo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Компенсатор глушителя Z3900042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коренных 3944153/3944158/3944163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коренных коленчатого вала 3901590/3916840/3926798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вкладышей шатунных 3966244/3950661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поршневых двигателя 3922686/3919918/3921919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поршня 3948412/3964073/3921919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колец уплотнительных гильзы для двигателя Cummins 4024779 (4 кольца)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ремонтный 4089758 Cummins верхний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Комплект ремонтный 4089759 Cummins нижний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Крыльчатка вентилятора 04209191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Крыльчатка генератора дизельного 3819799 Volvo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Маслоотражатель двигателя 37425-08201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Маслоотражатель задний 37411-04200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355-0763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головки блока цилиндров 4352579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верхний 3804896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верхний 4025271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3802375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3804300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3804301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Набор прокладок двигателя нижний 4089889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02937605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22902431 для дизель-генераторной установки Volvo Penta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водяной двигателя 37745-60011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высокого давления топливный 5262669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высокого давления топливный двигателя 5262671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перекачки масла 3827475 для дизель-генераторной установки Volvo Penta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системы охлаждения двигателя 02931946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топливный низкого давления 7018955153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02113812 для дизельного двигателя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22763401 для дизель-генераторной установки Volvo Penta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Насос топливоподкачивающий двигателя 04503573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Натяжитель приводного ремня 3976831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Охладитель температуры масла 3966365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Охладитель температуры масла С3957544/А3921558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Помпа водяная 22331121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Поршень двигателя А3907163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2253099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2253101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6I3066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Caterpillar 6I4024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головки блока цилиндра двигателя 37501-12200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37530-00200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37730-11501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двигателя 37832-14300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клапанной крышки двигателя 37504-31200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клапанной крышки двигателя 37504-66200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крышки клапанной 20736230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Прокладка форсунки 37561-16800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0117-9988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AVX11x975La для спецтехники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клиновой зубчатый AVX13x1100La для спецтехники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поликлиновый 8РК-1490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приводной 0118-0150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Ремень приводной поликлиновой 10PK1695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задний коленчатого вала 436-1479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коленчатого вала 37711-04300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Сальник коленчатого вала задний 3970548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17233221 Volvo Penta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3708010CD129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двигателя С3415537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Стартер С4935789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Ступица вентилятора 21924453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Термостат 3076489 82t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Термостат 4930315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23077425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49182-06550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49182-06560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49182-06570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49182-06580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C4050236 для двигателя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генератора дизельного 04259204KZ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двигателя Z3900430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Турбокомпрессор С4047354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2720758 для дизель-генераторной установки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2720759 для дизель-генераторной установки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5697728 для дизель-генераторной установки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5697729 для дизель-генераторной установки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1425867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3362212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5P5678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Caterpillar 7L4774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коленчатого вала 1425868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Уплотнение масляное 37511-04300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Фильтр масляный LF670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1112010-D393 Deutz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1301804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3095773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3883426 Volvo Penta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двигателя 37560-22011 Mitsubishi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двигателя 37860-08002 Mitsubishi в сборе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С3975929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0R2921 для дизель-генераторной установки Caterpillar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Caterpillar 0R8789 для дизель-генераторной установки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Форсунка топливная двигателя дизельного 3053124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  <w:tr>
        <w:trPr/>
        <w:tc>
          <w:tcPr>
            <w:tcW w:w="844" w:type="dxa"/>
            <w:tcBorders>
              <w:top w:val="nil"/>
            </w:tcBorders>
            <w:vAlign w:val="center"/>
          </w:tcPr>
          <w:p>
            <w:pPr>
              <w:pStyle w:val="Normal"/>
              <w:widowControl w:val="false"/>
              <w:numPr>
                <w:ilvl w:val="0"/>
                <w:numId w:val="5"/>
              </w:numPr>
              <w:suppressAutoHyphens w:val="false"/>
              <w:bidi w:val="0"/>
              <w:spacing w:before="0" w:after="0"/>
              <w:ind w:left="907" w:right="0" w:hanging="907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2946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jc w:val="left"/>
              <w:rPr/>
            </w:pPr>
            <w:r>
              <w:rPr/>
              <w:t>Шкив вентилятора охлаждения 3914458 для двигателя Cummins</w:t>
            </w:r>
          </w:p>
        </w:tc>
        <w:tc>
          <w:tcPr>
            <w:tcW w:w="3627" w:type="dxa"/>
            <w:tcBorders>
              <w:top w:val="nil"/>
              <w:left w:val="single" w:sz="6" w:space="0" w:color="000000"/>
              <w:right w:val="nil"/>
            </w:tcBorders>
          </w:tcPr>
          <w:p>
            <w:pPr>
              <w:pStyle w:val="Style37"/>
              <w:widowControl/>
              <w:suppressAutoHyphens w:val="true"/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kern w:val="0"/>
                <w:sz w:val="22"/>
                <w:szCs w:val="22"/>
                <w:lang w:val="ru-RU" w:eastAsia="en-US" w:bidi="ar-SA"/>
              </w:rPr>
            </w:r>
          </w:p>
        </w:tc>
        <w:tc>
          <w:tcPr>
            <w:tcW w:w="2764" w:type="dxa"/>
            <w:tcBorders>
              <w:top w:val="nil"/>
              <w:left w:val="single" w:sz="6" w:space="0" w:color="000000"/>
            </w:tcBorders>
          </w:tcPr>
          <w:p>
            <w:pPr>
              <w:pStyle w:val="Style37"/>
              <w:widowControl w:val="false"/>
              <w:tabs>
                <w:tab w:val="clear" w:pos="708"/>
                <w:tab w:val="left" w:pos="3225" w:leader="none"/>
              </w:tabs>
              <w:suppressAutoHyphens w:val="true"/>
              <w:spacing w:before="0" w:after="0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lang w:val="ru-RU" w:eastAsia="en-US" w:bidi="ar-SA"/>
              </w:rPr>
              <w:t>Способ подтверждения: указание наименования продукции, товарной марки (в случае наличия), модели (в случае наличия) которая идентифицирует продукцию производителя или продавца</w:t>
            </w:r>
          </w:p>
        </w:tc>
        <w:tc>
          <w:tcPr>
            <w:tcW w:w="2718" w:type="dxa"/>
            <w:tcBorders>
              <w:top w:val="nil"/>
              <w:lef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название каталога производителя на предлагаемую продукцию и предоставить в составе заявки данный каталог.</w:t>
            </w:r>
          </w:p>
        </w:tc>
        <w:tc>
          <w:tcPr>
            <w:tcW w:w="2508" w:type="dxa"/>
            <w:tcBorders>
              <w:top w:val="nil"/>
              <w:left w:val="single" w:sz="6" w:space="0" w:color="000000"/>
              <w:right w:val="single" w:sz="6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3225" w:leader="none"/>
              </w:tabs>
              <w:spacing w:before="0" w:after="0"/>
              <w:jc w:val="left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eastAsia="Calibri" w:cs="Arial"/>
                <w:i/>
                <w:iCs/>
                <w:color w:val="000000"/>
                <w:kern w:val="0"/>
                <w:sz w:val="22"/>
                <w:szCs w:val="22"/>
                <w:highlight w:val="white"/>
                <w:lang w:val="ru-RU" w:eastAsia="en-US" w:bidi="ar-SA"/>
              </w:rPr>
              <w:t>В случае предложения эквивалента указать технические характеристики производителя на предлагаемую продукцию</w:t>
            </w:r>
          </w:p>
        </w:tc>
      </w:tr>
    </w:tbl>
    <w:p>
      <w:pPr>
        <w:pStyle w:val="Normal"/>
        <w:spacing w:before="0" w:after="120"/>
        <w:ind w:right="397" w:hanging="0"/>
        <w:jc w:val="both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Normal"/>
        <w:jc w:val="center"/>
        <w:rPr>
          <w:sz w:val="22"/>
          <w:szCs w:val="22"/>
        </w:rPr>
      </w:pPr>
      <w:r>
        <w:rPr/>
      </w:r>
    </w:p>
    <w:sectPr>
      <w:headerReference w:type="default" r:id="rId5"/>
      <w:headerReference w:type="first" r:id="rId6"/>
      <w:type w:val="nextPage"/>
      <w:pgSz w:orient="landscape" w:w="16838" w:h="11906"/>
      <w:pgMar w:left="992" w:right="1134" w:gutter="0" w:header="680" w:top="1134" w:footer="0" w:bottom="851"/>
      <w:pgNumType w:fmt="decimal"/>
      <w:formProt w:val="false"/>
      <w:titlePg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 wp14:anchorId="23F1C766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 wp14:anchorId="23F1C76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12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szCs w:val="28"/>
        <w:iCs w:val="false"/>
        <w:bCs w:val="false"/>
        <w:vanish w:val="false"/>
        <w:rFonts w:ascii="Times New Roman" w:hAnsi="Times New Roman" w:cs="Times New Roman"/>
        <w:color w:val="000000"/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/>
    </w:lvl>
    <w:lvl w:ilvl="1">
      <w:start w:val="1"/>
      <w:numFmt w:val="decimal"/>
      <w:lvlText w:val="%2."/>
      <w:lvlJc w:val="left"/>
      <w:pPr>
        <w:tabs>
          <w:tab w:val="num" w:pos="1250"/>
        </w:tabs>
        <w:ind w:left="1250" w:hanging="360"/>
      </w:pPr>
      <w:rPr/>
    </w:lvl>
    <w:lvl w:ilvl="2">
      <w:start w:val="1"/>
      <w:numFmt w:val="decimal"/>
      <w:lvlText w:val="%3."/>
      <w:lvlJc w:val="left"/>
      <w:pPr>
        <w:tabs>
          <w:tab w:val="num" w:pos="1610"/>
        </w:tabs>
        <w:ind w:left="1610" w:hanging="360"/>
      </w:pPr>
      <w:rPr/>
    </w:lvl>
    <w:lvl w:ilvl="3">
      <w:start w:val="1"/>
      <w:numFmt w:val="decimal"/>
      <w:lvlText w:val="%4."/>
      <w:lvlJc w:val="left"/>
      <w:pPr>
        <w:tabs>
          <w:tab w:val="num" w:pos="1970"/>
        </w:tabs>
        <w:ind w:left="1970" w:hanging="360"/>
      </w:pPr>
      <w:rPr/>
    </w:lvl>
    <w:lvl w:ilvl="4">
      <w:start w:val="1"/>
      <w:numFmt w:val="decimal"/>
      <w:lvlText w:val="%5."/>
      <w:lvlJc w:val="left"/>
      <w:pPr>
        <w:tabs>
          <w:tab w:val="num" w:pos="2330"/>
        </w:tabs>
        <w:ind w:left="2330" w:hanging="360"/>
      </w:pPr>
      <w:rPr/>
    </w:lvl>
    <w:lvl w:ilvl="5">
      <w:start w:val="1"/>
      <w:numFmt w:val="decimal"/>
      <w:lvlText w:val="%6."/>
      <w:lvlJc w:val="left"/>
      <w:pPr>
        <w:tabs>
          <w:tab w:val="num" w:pos="2690"/>
        </w:tabs>
        <w:ind w:left="2690" w:hanging="360"/>
      </w:pPr>
      <w:rPr/>
    </w:lvl>
    <w:lvl w:ilvl="6">
      <w:start w:val="1"/>
      <w:numFmt w:val="decimal"/>
      <w:lvlText w:val="%7."/>
      <w:lvlJc w:val="left"/>
      <w:pPr>
        <w:tabs>
          <w:tab w:val="num" w:pos="3050"/>
        </w:tabs>
        <w:ind w:left="3050" w:hanging="360"/>
      </w:pPr>
      <w:rPr/>
    </w:lvl>
    <w:lvl w:ilvl="7">
      <w:start w:val="1"/>
      <w:numFmt w:val="decimal"/>
      <w:lvlText w:val="%8."/>
      <w:lvlJc w:val="left"/>
      <w:pPr>
        <w:tabs>
          <w:tab w:val="num" w:pos="3410"/>
        </w:tabs>
        <w:ind w:left="3410" w:hanging="360"/>
      </w:pPr>
      <w:rPr/>
    </w:lvl>
    <w:lvl w:ilvl="8">
      <w:start w:val="1"/>
      <w:numFmt w:val="decimal"/>
      <w:lvlText w:val="%9."/>
      <w:lvlJc w:val="left"/>
      <w:pPr>
        <w:tabs>
          <w:tab w:val="num" w:pos="3770"/>
        </w:tabs>
        <w:ind w:left="3770" w:hanging="360"/>
      </w:pPr>
      <w:rPr/>
    </w:lvl>
  </w:abstractNum>
  <w:abstractNum w:abstractNumId="6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zh-CN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ahoma" w:cs="Lohit Devanaga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ahoma" w:cs="Lohit Devanagari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"/>
    <w:qFormat/>
    <w:p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pPr>
      <w:outlineLvl w:val="1"/>
    </w:pPr>
    <w:rPr/>
  </w:style>
  <w:style w:type="paragraph" w:styleId="Heading3">
    <w:name w:val="Heading 3"/>
    <w:basedOn w:val="Normal"/>
    <w:next w:val="Normal"/>
    <w:link w:val="3"/>
    <w:qFormat/>
    <w:pPr>
      <w:keepNext w:val="true"/>
      <w:tabs>
        <w:tab w:val="clear" w:pos="708"/>
        <w:tab w:val="left" w:pos="0" w:leader="none"/>
      </w:tabs>
      <w:spacing w:before="120" w:after="60"/>
      <w:ind w:left="1224" w:hanging="504"/>
      <w:outlineLvl w:val="2"/>
    </w:pPr>
    <w:rPr>
      <w:rFonts w:eastAsia="Calibri"/>
      <w:b/>
      <w:sz w:val="24"/>
      <w:szCs w:val="24"/>
    </w:rPr>
  </w:style>
  <w:style w:type="paragraph" w:styleId="Heading4">
    <w:name w:val="Heading 4"/>
    <w:basedOn w:val="Heading3"/>
    <w:next w:val="Normal"/>
    <w:link w:val="4"/>
    <w:qFormat/>
    <w:pPr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6"/>
    <w:uiPriority w:val="9"/>
    <w:qFormat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</w:rPr>
  </w:style>
  <w:style w:type="paragraph" w:styleId="Heading7">
    <w:name w:val="Heading 7"/>
    <w:basedOn w:val="Normal"/>
    <w:next w:val="Normal"/>
    <w:link w:val="7"/>
    <w:uiPriority w:val="9"/>
    <w:qFormat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</w:rPr>
  </w:style>
  <w:style w:type="paragraph" w:styleId="Heading8">
    <w:name w:val="Heading 8"/>
    <w:basedOn w:val="Normal"/>
    <w:next w:val="Normal"/>
    <w:link w:val="8"/>
    <w:uiPriority w:val="9"/>
    <w:qFormat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</w:rPr>
  </w:style>
  <w:style w:type="paragraph" w:styleId="Heading9">
    <w:name w:val="Heading 9"/>
    <w:basedOn w:val="Normal"/>
    <w:next w:val="Normal"/>
    <w:link w:val="9"/>
    <w:uiPriority w:val="9"/>
    <w:qFormat/>
    <w:pPr>
      <w:spacing w:before="240" w:after="60"/>
      <w:outlineLvl w:val="8"/>
    </w:pPr>
    <w:rPr>
      <w:rFonts w:ascii="Arial" w:hAnsi="Arial"/>
      <w:sz w:val="22"/>
      <w:szCs w:val="2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leChar" w:customStyle="1">
    <w:name w:val="Title Char"/>
    <w:basedOn w:val="DefaultParagraphFont"/>
    <w:uiPriority w:val="10"/>
    <w:qFormat/>
    <w:rPr>
      <w:rFonts w:ascii="Arial" w:hAnsi="Arial" w:eastAsia="Arial" w:cs="Arial"/>
      <w:spacing w:val="-10"/>
      <w:sz w:val="56"/>
      <w:szCs w:val="56"/>
    </w:rPr>
  </w:style>
  <w:style w:type="character" w:styleId="FooterChar" w:customStyle="1">
    <w:name w:val="Footer Char"/>
    <w:basedOn w:val="DefaultParagraphFont"/>
    <w:uiPriority w:val="99"/>
    <w:qFormat/>
    <w:rPr/>
  </w:style>
  <w:style w:type="character" w:styleId="Heading1Char" w:customStyle="1">
    <w:name w:val="Heading 1 Char"/>
    <w:basedOn w:val="DefaultParagraphFont"/>
    <w:uiPriority w:val="9"/>
    <w:qFormat/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uiPriority w:val="9"/>
    <w:qFormat/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uiPriority w:val="9"/>
    <w:qFormat/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uiPriority w:val="9"/>
    <w:qFormat/>
    <w:rPr>
      <w:rFonts w:ascii="Arial" w:hAnsi="Arial" w:eastAsia="Arial" w:cs="Arial"/>
      <w:i/>
      <w:iCs/>
      <w:color w:val="2F5496" w:themeColor="accent1" w:themeShade="bf"/>
    </w:rPr>
  </w:style>
  <w:style w:type="character" w:styleId="Heading5Char" w:customStyle="1">
    <w:name w:val="Heading 5 Char"/>
    <w:basedOn w:val="DefaultParagraphFont"/>
    <w:uiPriority w:val="9"/>
    <w:qFormat/>
    <w:rPr>
      <w:rFonts w:ascii="Arial" w:hAnsi="Arial" w:eastAsia="Arial" w:cs="Arial"/>
      <w:color w:val="2F5496" w:themeColor="accent1" w:themeShade="bf"/>
    </w:rPr>
  </w:style>
  <w:style w:type="character" w:styleId="Heading6Char" w:customStyle="1">
    <w:name w:val="Heading 6 Char"/>
    <w:basedOn w:val="DefaultParagraphFont"/>
    <w:uiPriority w:val="9"/>
    <w:qFormat/>
    <w:rPr>
      <w:rFonts w:ascii="Arial" w:hAnsi="Arial" w:eastAsia="Arial" w:cs="Arial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uiPriority w:val="9"/>
    <w:qFormat/>
    <w:rPr>
      <w:rFonts w:ascii="Arial" w:hAnsi="Arial" w:eastAsia="Arial" w:cs="Arial"/>
      <w:color w:val="595959" w:themeColor="text1" w:themeTint="a6"/>
    </w:rPr>
  </w:style>
  <w:style w:type="character" w:styleId="Heading8Char" w:customStyle="1">
    <w:name w:val="Heading 8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uiPriority w:val="9"/>
    <w:qFormat/>
    <w:rPr>
      <w:rFonts w:ascii="Arial" w:hAnsi="Arial" w:eastAsia="Arial" w:cs="Arial"/>
      <w:i/>
      <w:iCs/>
      <w:color w:val="272727" w:themeColor="text1" w:themeTint="d8"/>
    </w:rPr>
  </w:style>
  <w:style w:type="character" w:styleId="Style" w:customStyle="1">
    <w:name w:val="Заголовок Знак"/>
    <w:basedOn w:val="DefaultParagraphFont"/>
    <w:uiPriority w:val="10"/>
    <w:qFormat/>
    <w:rPr>
      <w:rFonts w:ascii="Arial" w:hAnsi="Arial" w:eastAsia="Arial" w:cs="Arial"/>
      <w:spacing w:val="-10"/>
      <w:sz w:val="56"/>
      <w:szCs w:val="56"/>
    </w:rPr>
  </w:style>
  <w:style w:type="character" w:styleId="SubtitleChar" w:customStyle="1">
    <w:name w:val="Subtitle Char"/>
    <w:basedOn w:val="DefaultParagraphFont"/>
    <w:uiPriority w:val="11"/>
    <w:qFormat/>
    <w:rPr>
      <w:color w:val="595959" w:themeColor="text1" w:themeTint="a6"/>
      <w:spacing w:val="15"/>
      <w:sz w:val="28"/>
      <w:szCs w:val="28"/>
    </w:rPr>
  </w:style>
  <w:style w:type="character" w:styleId="QuoteChar" w:customStyle="1">
    <w:name w:val="Quote Char"/>
    <w:basedOn w:val="DefaultParagraphFont"/>
    <w:uiPriority w:val="29"/>
    <w:qFormat/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uiPriority w:val="30"/>
    <w:qFormat/>
    <w:rPr>
      <w:i/>
      <w:iCs/>
      <w:color w:val="2F5496" w:themeColor="accent1" w:themeShade="bf"/>
    </w:rPr>
  </w:style>
  <w:style w:type="character" w:styleId="HeaderChar" w:customStyle="1">
    <w:name w:val="Header Char"/>
    <w:basedOn w:val="DefaultParagraphFont"/>
    <w:uiPriority w:val="99"/>
    <w:qFormat/>
    <w:rPr/>
  </w:style>
  <w:style w:type="character" w:styleId="Style1" w:customStyle="1">
    <w:name w:val="Нижний колонтитул Знак"/>
    <w:basedOn w:val="DefaultParagraphFont"/>
    <w:uiPriority w:val="99"/>
    <w:qFormat/>
    <w:rPr/>
  </w:style>
  <w:style w:type="character" w:styleId="FootnoteTextChar" w:customStyle="1">
    <w:name w:val="Footnote Text Char"/>
    <w:basedOn w:val="DefaultParagraphFont"/>
    <w:uiPriority w:val="99"/>
    <w:semiHidden/>
    <w:qFormat/>
    <w:rPr>
      <w:sz w:val="20"/>
      <w:szCs w:val="20"/>
    </w:rPr>
  </w:style>
  <w:style w:type="character" w:styleId="EndnoteTextChar" w:customStyle="1">
    <w:name w:val="Endnote Text Char"/>
    <w:basedOn w:val="DefaultParagraphFont"/>
    <w:uiPriority w:val="99"/>
    <w:semiHidden/>
    <w:qFormat/>
    <w:rPr>
      <w:sz w:val="20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954F72" w:themeColor="followedHyperlink"/>
      <w:u w:val="single"/>
    </w:rPr>
  </w:style>
  <w:style w:type="character" w:styleId="Style2" w:customStyle="1">
    <w:name w:val="Символ сноски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Pagenumber">
    <w:name w:val="page number"/>
    <w:basedOn w:val="DefaultParagraphFont"/>
    <w:qFormat/>
    <w:rPr/>
  </w:style>
  <w:style w:type="character" w:styleId="Hyperlink">
    <w:name w:val="Hyperlink"/>
    <w:uiPriority w:val="99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Pr>
      <w:sz w:val="16"/>
      <w:szCs w:val="16"/>
    </w:rPr>
  </w:style>
  <w:style w:type="character" w:styleId="Strong">
    <w:name w:val="Strong"/>
    <w:qFormat/>
    <w:rPr>
      <w:b/>
      <w:bCs/>
    </w:rPr>
  </w:style>
  <w:style w:type="character" w:styleId="6" w:customStyle="1">
    <w:name w:val="Заголовок 6 Знак"/>
    <w:uiPriority w:val="9"/>
    <w:qFormat/>
    <w:rPr>
      <w:rFonts w:ascii="Cambria" w:hAnsi="Cambria"/>
      <w:i/>
      <w:iCs/>
      <w:color w:val="243F60"/>
    </w:rPr>
  </w:style>
  <w:style w:type="character" w:styleId="7" w:customStyle="1">
    <w:name w:val="Заголовок 7 Знак"/>
    <w:uiPriority w:val="9"/>
    <w:qFormat/>
    <w:rPr>
      <w:rFonts w:ascii="Cambria" w:hAnsi="Cambria"/>
      <w:i/>
      <w:iCs/>
      <w:color w:val="404040"/>
    </w:rPr>
  </w:style>
  <w:style w:type="character" w:styleId="8" w:customStyle="1">
    <w:name w:val="Заголовок 8 Знак"/>
    <w:uiPriority w:val="9"/>
    <w:qFormat/>
    <w:rPr>
      <w:rFonts w:ascii="Cambria" w:hAnsi="Cambria"/>
      <w:color w:val="4F81BD"/>
    </w:rPr>
  </w:style>
  <w:style w:type="character" w:styleId="1" w:customStyle="1">
    <w:name w:val="Заголовок 1 Знак"/>
    <w:qFormat/>
    <w:rPr>
      <w:rFonts w:eastAsia="Calibri"/>
      <w:b/>
      <w:sz w:val="28"/>
      <w:szCs w:val="28"/>
    </w:rPr>
  </w:style>
  <w:style w:type="character" w:styleId="2" w:customStyle="1">
    <w:name w:val="Заголовок 2 Знак"/>
    <w:qFormat/>
    <w:rPr>
      <w:rFonts w:eastAsia="Calibri"/>
      <w:b/>
      <w:bCs/>
      <w:sz w:val="24"/>
      <w:szCs w:val="24"/>
    </w:rPr>
  </w:style>
  <w:style w:type="character" w:styleId="3" w:customStyle="1">
    <w:name w:val="Заголовок 3 Знак"/>
    <w:qFormat/>
    <w:rPr>
      <w:rFonts w:eastAsia="Calibri"/>
      <w:b/>
      <w:sz w:val="24"/>
      <w:szCs w:val="24"/>
    </w:rPr>
  </w:style>
  <w:style w:type="character" w:styleId="4" w:customStyle="1">
    <w:name w:val="Заголовок 4 Знак"/>
    <w:qFormat/>
    <w:rPr>
      <w:rFonts w:eastAsia="Calibri"/>
      <w:b/>
      <w:bCs/>
      <w:sz w:val="24"/>
      <w:szCs w:val="24"/>
    </w:rPr>
  </w:style>
  <w:style w:type="character" w:styleId="5" w:customStyle="1">
    <w:name w:val="Заголовок 5 Знак"/>
    <w:uiPriority w:val="9"/>
    <w:qFormat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Pr>
      <w:rFonts w:ascii="Arial" w:hAnsi="Arial" w:cs="Arial"/>
      <w:sz w:val="22"/>
      <w:szCs w:val="22"/>
    </w:rPr>
  </w:style>
  <w:style w:type="character" w:styleId="Style3" w:customStyle="1">
    <w:name w:val="Название Знак"/>
    <w:link w:val="16"/>
    <w:uiPriority w:val="10"/>
    <w:qFormat/>
    <w:rPr>
      <w:sz w:val="28"/>
    </w:rPr>
  </w:style>
  <w:style w:type="character" w:styleId="Style4" w:customStyle="1">
    <w:name w:val="Подзаголовок Знак"/>
    <w:uiPriority w:val="11"/>
    <w:qFormat/>
    <w:rPr>
      <w:rFonts w:ascii="Cambria" w:hAnsi="Cambria"/>
      <w:i/>
      <w:iCs/>
      <w:color w:val="4F81BD"/>
      <w:spacing w:val="15"/>
      <w:sz w:val="24"/>
      <w:szCs w:val="24"/>
    </w:rPr>
  </w:style>
  <w:style w:type="character" w:styleId="Emphasis">
    <w:name w:val="Emphasis"/>
    <w:uiPriority w:val="20"/>
    <w:qFormat/>
    <w:rPr>
      <w:i/>
      <w:iCs/>
    </w:rPr>
  </w:style>
  <w:style w:type="character" w:styleId="21" w:customStyle="1">
    <w:name w:val="Цитата 2 Знак"/>
    <w:link w:val="Quote"/>
    <w:uiPriority w:val="29"/>
    <w:qFormat/>
    <w:rPr>
      <w:rFonts w:ascii="Calibri" w:hAnsi="Calibri" w:eastAsia="Calibri"/>
      <w:i/>
      <w:iCs/>
      <w:color w:val="000000"/>
    </w:rPr>
  </w:style>
  <w:style w:type="character" w:styleId="Style5" w:customStyle="1">
    <w:name w:val="Выделенная цитата Знак"/>
    <w:link w:val="IntenseQuote"/>
    <w:uiPriority w:val="30"/>
    <w:qFormat/>
    <w:rPr>
      <w:rFonts w:ascii="Calibri" w:hAnsi="Calibri" w:eastAsia="Calibri"/>
      <w:b/>
      <w:bCs/>
      <w:i/>
      <w:iCs/>
      <w:color w:val="4F81BD"/>
    </w:rPr>
  </w:style>
  <w:style w:type="character" w:styleId="SubtleEmphasis">
    <w:name w:val="Subtle Emphasis"/>
    <w:uiPriority w:val="19"/>
    <w:qFormat/>
    <w:rPr>
      <w:i/>
      <w:iCs/>
      <w:color w:val="808080"/>
    </w:rPr>
  </w:style>
  <w:style w:type="character" w:styleId="IntenseEmphasis">
    <w:name w:val="Intense Emphasis"/>
    <w:uiPriority w:val="21"/>
    <w:qFormat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Pr>
      <w:smallCaps/>
      <w:color w:val="C0504D"/>
      <w:u w:val="single"/>
    </w:rPr>
  </w:style>
  <w:style w:type="character" w:styleId="IntenseReference">
    <w:name w:val="Intense Reference"/>
    <w:uiPriority w:val="32"/>
    <w:qFormat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Pr>
      <w:b/>
      <w:bCs/>
      <w:smallCaps/>
      <w:spacing w:val="5"/>
    </w:rPr>
  </w:style>
  <w:style w:type="character" w:styleId="Style6" w:customStyle="1">
    <w:name w:val="Электронная подпись Знак"/>
    <w:link w:val="E-mailSignature"/>
    <w:uiPriority w:val="99"/>
    <w:qFormat/>
    <w:rPr>
      <w:rFonts w:eastAsia="Calibri"/>
      <w:sz w:val="24"/>
      <w:szCs w:val="24"/>
    </w:rPr>
  </w:style>
  <w:style w:type="character" w:styleId="11" w:customStyle="1">
    <w:name w:val="Подпункт Знак1"/>
    <w:link w:val="Style24"/>
    <w:qFormat/>
    <w:rPr>
      <w:sz w:val="28"/>
    </w:rPr>
  </w:style>
  <w:style w:type="character" w:styleId="Style7" w:customStyle="1">
    <w:name w:val="Текст сноски Знак"/>
    <w:uiPriority w:val="99"/>
    <w:qFormat/>
    <w:rPr/>
  </w:style>
  <w:style w:type="character" w:styleId="Style8" w:customStyle="1">
    <w:name w:val="Основной текст Знак"/>
    <w:qFormat/>
    <w:rPr>
      <w:sz w:val="28"/>
      <w:szCs w:val="28"/>
    </w:rPr>
  </w:style>
  <w:style w:type="character" w:styleId="Blk" w:customStyle="1">
    <w:name w:val="blk"/>
    <w:qFormat/>
    <w:rPr/>
  </w:style>
  <w:style w:type="character" w:styleId="Style9" w:customStyle="1">
    <w:name w:val="Абзац списка Знак"/>
    <w:link w:val="ListParagraph"/>
    <w:uiPriority w:val="34"/>
    <w:qFormat/>
    <w:rPr>
      <w:rFonts w:eastAsia="Calibri"/>
      <w:sz w:val="24"/>
      <w:szCs w:val="24"/>
    </w:rPr>
  </w:style>
  <w:style w:type="character" w:styleId="Style10" w:customStyle="1">
    <w:name w:val="комментарий"/>
    <w:qFormat/>
    <w:rPr>
      <w:b/>
      <w:i/>
      <w:shd w:fill="FFFF99" w:val="clear"/>
    </w:rPr>
  </w:style>
  <w:style w:type="character" w:styleId="Style11" w:customStyle="1">
    <w:name w:val="Подподпункт Знак"/>
    <w:link w:val="Style32"/>
    <w:qFormat/>
    <w:rPr>
      <w:sz w:val="26"/>
      <w:szCs w:val="26"/>
    </w:rPr>
  </w:style>
  <w:style w:type="character" w:styleId="31" w:customStyle="1">
    <w:name w:val="УРОВЕНЬ_Абзац_тип3 Знак"/>
    <w:link w:val="36"/>
    <w:qFormat/>
    <w:rPr>
      <w:rFonts w:eastAsia="Calibri"/>
      <w:sz w:val="26"/>
      <w:szCs w:val="28"/>
      <w:lang w:eastAsia="en-US"/>
    </w:rPr>
  </w:style>
  <w:style w:type="character" w:styleId="Style12" w:customStyle="1">
    <w:name w:val="Верхний колонтитул Знак"/>
    <w:uiPriority w:val="99"/>
    <w:qFormat/>
    <w:rPr>
      <w:sz w:val="24"/>
      <w:szCs w:val="24"/>
    </w:rPr>
  </w:style>
  <w:style w:type="character" w:styleId="Style13" w:customStyle="1">
    <w:name w:val="Текст примечания Знак"/>
    <w:link w:val="Annotationtext"/>
    <w:semiHidden/>
    <w:qFormat/>
    <w:rPr/>
  </w:style>
  <w:style w:type="character" w:styleId="Style14" w:customStyle="1">
    <w:name w:val="Текст концевой сноски Знак"/>
    <w:basedOn w:val="DefaultParagraphFont"/>
    <w:qFormat/>
    <w:rPr/>
  </w:style>
  <w:style w:type="character" w:styleId="Style15" w:customStyle="1">
    <w:name w:val="Символ концевой сноски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Pr>
      <w:b/>
      <w:sz w:val="28"/>
    </w:rPr>
  </w:style>
  <w:style w:type="character" w:styleId="12" w:customStyle="1">
    <w:name w:val="УРОВЕНЬ_1. Знак"/>
    <w:qFormat/>
    <w:rPr>
      <w:rFonts w:eastAsia="Calibri"/>
      <w:caps/>
      <w:sz w:val="28"/>
      <w:szCs w:val="28"/>
      <w:lang w:eastAsia="en-US"/>
    </w:rPr>
  </w:style>
  <w:style w:type="character" w:styleId="13" w:customStyle="1">
    <w:name w:val="Неразрешенное упоминание1"/>
    <w:basedOn w:val="DefaultParagraphFont"/>
    <w:uiPriority w:val="99"/>
    <w:semiHidden/>
    <w:unhideWhenUsed/>
    <w:qFormat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Pr>
      <w:sz w:val="16"/>
      <w:szCs w:val="16"/>
    </w:rPr>
  </w:style>
  <w:style w:type="character" w:styleId="Style16" w:customStyle="1">
    <w:name w:val="Ссылка указателя"/>
    <w:qFormat/>
    <w:rPr/>
  </w:style>
  <w:style w:type="character" w:styleId="Style17" w:customStyle="1">
    <w:name w:val="Символ нумерации"/>
    <w:qFormat/>
    <w:rPr/>
  </w:style>
  <w:style w:type="paragraph" w:styleId="Style18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Tahoma" w:cs="Lohit Devanagari"/>
      <w:sz w:val="28"/>
      <w:szCs w:val="28"/>
    </w:rPr>
  </w:style>
  <w:style w:type="paragraph" w:styleId="BodyText">
    <w:name w:val="Body Text"/>
    <w:basedOn w:val="Normal"/>
    <w:link w:val="Style8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14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Liberation Sans" w:hAnsi="Liberation San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">
    <w:name w:val="index heading1"/>
    <w:basedOn w:val="14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14"/>
    <w:qFormat/>
    <w:pPr/>
    <w:rPr/>
  </w:style>
  <w:style w:type="paragraph" w:styleId="Caption111" w:customStyle="1">
    <w:name w:val="caption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" w:customStyle="1">
    <w:name w:val="index heading111"/>
    <w:basedOn w:val="14"/>
    <w:qFormat/>
    <w:pPr/>
    <w:rPr/>
  </w:style>
  <w:style w:type="paragraph" w:styleId="Title">
    <w:name w:val="Title"/>
    <w:basedOn w:val="Normal"/>
    <w:next w:val="Normal"/>
    <w:link w:val="Style"/>
    <w:uiPriority w:val="10"/>
    <w:qFormat/>
    <w:pPr>
      <w:spacing w:before="0" w:after="80"/>
      <w:contextualSpacing/>
    </w:pPr>
    <w:rPr>
      <w:rFonts w:ascii="Arial" w:hAnsi="Arial" w:eastAsia="Arial" w:cs="Arial"/>
      <w:spacing w:val="-10"/>
      <w:sz w:val="56"/>
      <w:szCs w:val="56"/>
    </w:rPr>
  </w:style>
  <w:style w:type="paragraph" w:styleId="Tableoffigures">
    <w:name w:val="table of figures"/>
    <w:basedOn w:val="Normal"/>
    <w:next w:val="Normal"/>
    <w:uiPriority w:val="99"/>
    <w:unhideWhenUsed/>
    <w:qFormat/>
    <w:pPr/>
    <w:rPr/>
  </w:style>
  <w:style w:type="paragraph" w:styleId="Indexheading1111" w:customStyle="1">
    <w:name w:val="index heading1111"/>
    <w:basedOn w:val="14"/>
    <w:qFormat/>
    <w:pPr/>
    <w:rPr/>
  </w:style>
  <w:style w:type="paragraph" w:styleId="Caption1111" w:customStyle="1">
    <w:name w:val="caption11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111" w:customStyle="1">
    <w:name w:val="index heading11111"/>
    <w:basedOn w:val="14"/>
    <w:qFormat/>
    <w:pPr/>
    <w:rPr/>
  </w:style>
  <w:style w:type="paragraph" w:styleId="Style20" w:customStyle="1">
    <w:name w:val="Название раздела инструкции"/>
    <w:basedOn w:val="Normal"/>
    <w:qFormat/>
    <w:pPr>
      <w:jc w:val="center"/>
    </w:pPr>
    <w:rPr>
      <w:b/>
    </w:rPr>
  </w:style>
  <w:style w:type="paragraph" w:styleId="Style21" w:customStyle="1">
    <w:name w:val="Раздел положения"/>
    <w:basedOn w:val="Normal"/>
    <w:qFormat/>
    <w:pPr>
      <w:tabs>
        <w:tab w:val="clear" w:pos="708"/>
        <w:tab w:val="left" w:pos="360" w:leader="none"/>
      </w:tabs>
      <w:spacing w:before="80" w:after="80"/>
      <w:ind w:left="360" w:hanging="360"/>
      <w:jc w:val="center"/>
    </w:pPr>
    <w:rPr>
      <w:b/>
      <w:sz w:val="32"/>
      <w:szCs w:val="32"/>
    </w:rPr>
  </w:style>
  <w:style w:type="paragraph" w:styleId="Style22" w:customStyle="1">
    <w:name w:val="Подраздел раздела положения"/>
    <w:basedOn w:val="Normal"/>
    <w:qFormat/>
    <w:pPr>
      <w:tabs>
        <w:tab w:val="clear" w:pos="708"/>
        <w:tab w:val="left" w:pos="357" w:leader="none"/>
      </w:tabs>
      <w:spacing w:before="80" w:after="80"/>
      <w:jc w:val="both"/>
    </w:pPr>
    <w:rPr/>
  </w:style>
  <w:style w:type="paragraph" w:styleId="FootnoteText">
    <w:name w:val="Footnote Text"/>
    <w:basedOn w:val="Normal"/>
    <w:link w:val="Style7"/>
    <w:uiPriority w:val="99"/>
    <w:pPr/>
    <w:rPr>
      <w:sz w:val="20"/>
      <w:szCs w:val="20"/>
    </w:rPr>
  </w:style>
  <w:style w:type="paragraph" w:styleId="15" w:customStyle="1">
    <w:name w:val="Шапка 1"/>
    <w:basedOn w:val="Normal"/>
    <w:qFormat/>
    <w:pPr>
      <w:pBdr>
        <w:bottom w:val="single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pPr>
      <w:pBdr>
        <w:bottom w:val="single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pPr>
      <w:pBdr>
        <w:bottom w:val="single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6" w:customStyle="1">
    <w:name w:val="Название1"/>
    <w:basedOn w:val="Normal"/>
    <w:link w:val="Style3"/>
    <w:uiPriority w:val="10"/>
    <w:qFormat/>
    <w:pPr>
      <w:jc w:val="center"/>
    </w:pPr>
    <w:rPr>
      <w:szCs w:val="20"/>
    </w:rPr>
  </w:style>
  <w:style w:type="paragraph" w:styleId="Style23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2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pPr>
      <w:ind w:left="360" w:hanging="0"/>
    </w:pPr>
    <w:rPr>
      <w:sz w:val="24"/>
      <w:szCs w:val="24"/>
    </w:rPr>
  </w:style>
  <w:style w:type="paragraph" w:styleId="Footer">
    <w:name w:val="Footer"/>
    <w:basedOn w:val="Normal"/>
    <w:link w:val="Style1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pPr>
      <w:spacing w:lineRule="auto" w:line="480" w:before="0" w:after="120"/>
    </w:pPr>
    <w:rPr/>
  </w:style>
  <w:style w:type="paragraph" w:styleId="BlockText">
    <w:name w:val="Block Text"/>
    <w:basedOn w:val="Normal"/>
    <w:qFormat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4" w:customStyle="1">
    <w:name w:val="Подпункт"/>
    <w:basedOn w:val="Normal"/>
    <w:link w:val="11"/>
    <w:qFormat/>
    <w:pPr>
      <w:tabs>
        <w:tab w:val="clear" w:pos="708"/>
        <w:tab w:val="left" w:pos="1134" w:leader="none"/>
      </w:tabs>
      <w:spacing w:lineRule="auto" w:line="360"/>
      <w:ind w:left="1134" w:hanging="1134"/>
      <w:jc w:val="both"/>
    </w:pPr>
    <w:rPr>
      <w:szCs w:val="20"/>
    </w:rPr>
  </w:style>
  <w:style w:type="paragraph" w:styleId="24" w:customStyle="1">
    <w:name w:val="Пункт2"/>
    <w:basedOn w:val="Normal"/>
    <w:link w:val="22"/>
    <w:qFormat/>
    <w:pPr>
      <w:keepNext w:val="true"/>
      <w:tabs>
        <w:tab w:val="clear" w:pos="708"/>
        <w:tab w:val="left" w:pos="1134" w:leader="none"/>
      </w:tabs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uiPriority w:val="39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uiPriority w:val="39"/>
    <w:pPr>
      <w:ind w:left="280" w:hanging="0"/>
    </w:pPr>
    <w:rPr>
      <w:rFonts w:cs="Calibri" w:cstheme="minorHAnsi"/>
      <w:sz w:val="20"/>
      <w:szCs w:val="20"/>
    </w:rPr>
  </w:style>
  <w:style w:type="paragraph" w:styleId="Style25" w:customStyle="1">
    <w:name w:val="Раздел регламента"/>
    <w:basedOn w:val="Normal"/>
    <w:qFormat/>
    <w:pPr/>
    <w:rPr/>
  </w:style>
  <w:style w:type="paragraph" w:styleId="Style26" w:customStyle="1">
    <w:name w:val="Приложение к регламенту"/>
    <w:basedOn w:val="Normal"/>
    <w:qFormat/>
    <w:pPr>
      <w:jc w:val="right"/>
    </w:pPr>
    <w:rPr/>
  </w:style>
  <w:style w:type="paragraph" w:styleId="TOC2">
    <w:name w:val="TOC 2"/>
    <w:basedOn w:val="Normal"/>
    <w:next w:val="Normal"/>
    <w:uiPriority w:val="39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3"/>
    <w:semiHidden/>
    <w:qFormat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pPr/>
    <w:rPr>
      <w:b/>
      <w:bCs/>
    </w:rPr>
  </w:style>
  <w:style w:type="paragraph" w:styleId="17" w:customStyle="1">
    <w:name w:val="Обычный (веб)1"/>
    <w:basedOn w:val="Normal"/>
    <w:uiPriority w:val="99"/>
    <w:qFormat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semiHidden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semiHidden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uiPriority w:val="39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pPr>
      <w:pageBreakBefore/>
      <w:jc w:val="both"/>
      <w:outlineLvl w:val="0"/>
    </w:pPr>
    <w:rPr>
      <w:b/>
    </w:rPr>
  </w:style>
  <w:style w:type="paragraph" w:styleId="Style27" w:customStyle="1">
    <w:name w:val="Знак Знак Знак Знак Знак Знак Знак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pPr>
      <w:spacing w:lineRule="auto" w:line="360"/>
    </w:pPr>
    <w:rPr>
      <w:rFonts w:eastAsia="Calibri"/>
      <w:sz w:val="24"/>
      <w:szCs w:val="24"/>
    </w:rPr>
  </w:style>
  <w:style w:type="paragraph" w:styleId="Caption11111" w:customStyle="1">
    <w:name w:val="caption11111"/>
    <w:basedOn w:val="Normal"/>
    <w:next w:val="Normal"/>
    <w:uiPriority w:val="35"/>
    <w:qFormat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4"/>
    <w:uiPriority w:val="11"/>
    <w:qFormat/>
    <w:pPr>
      <w:ind w:left="1066" w:firstLine="709"/>
    </w:pPr>
    <w:rPr>
      <w:rFonts w:ascii="Cambria" w:hAnsi="Cambria"/>
      <w:i/>
      <w:iCs/>
      <w:color w:val="4F81BD"/>
      <w:spacing w:val="15"/>
      <w:sz w:val="24"/>
      <w:szCs w:val="24"/>
    </w:rPr>
  </w:style>
  <w:style w:type="paragraph" w:styleId="ListParagraph">
    <w:name w:val="List Paragraph"/>
    <w:basedOn w:val="Normal"/>
    <w:link w:val="Style9"/>
    <w:uiPriority w:val="34"/>
    <w:qFormat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pPr/>
    <w:rPr>
      <w:rFonts w:ascii="Calibri" w:hAnsi="Calibri" w:eastAsia="Calibri"/>
      <w:i/>
      <w:iCs/>
      <w:color w:val="000000"/>
      <w:sz w:val="20"/>
      <w:szCs w:val="20"/>
    </w:rPr>
  </w:style>
  <w:style w:type="paragraph" w:styleId="IntenseQuote">
    <w:name w:val="Intense Quote"/>
    <w:basedOn w:val="Normal"/>
    <w:next w:val="Normal"/>
    <w:link w:val="Style5"/>
    <w:uiPriority w:val="30"/>
    <w:qFormat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</w:rPr>
  </w:style>
  <w:style w:type="paragraph" w:styleId="IndexHeading">
    <w:name w:val="Index Heading"/>
    <w:basedOn w:val="Style18"/>
    <w:pPr/>
    <w:rPr/>
  </w:style>
  <w:style w:type="paragraph" w:styleId="TOCHeading">
    <w:name w:val="TOC Heading"/>
    <w:basedOn w:val="Heading1"/>
    <w:next w:val="Normal"/>
    <w:uiPriority w:val="39"/>
    <w:qFormat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6"/>
    <w:uiPriority w:val="99"/>
    <w:unhideWhenUsed/>
    <w:qFormat/>
    <w:pPr/>
    <w:rPr>
      <w:rFonts w:eastAsia="Calibri"/>
      <w:sz w:val="24"/>
      <w:szCs w:val="24"/>
    </w:rPr>
  </w:style>
  <w:style w:type="paragraph" w:styleId="Style28" w:customStyle="1">
    <w:name w:val="Знак"/>
    <w:basedOn w:val="Normal"/>
    <w:qFormat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pPr>
      <w:tabs>
        <w:tab w:val="clear" w:pos="708"/>
        <w:tab w:val="left" w:pos="1233" w:leader="none"/>
      </w:tabs>
      <w:ind w:left="1233" w:hanging="360"/>
      <w:jc w:val="both"/>
    </w:pPr>
    <w:rPr>
      <w:rFonts w:ascii="Garamond" w:hAnsi="Garamond"/>
      <w:sz w:val="24"/>
      <w:szCs w:val="20"/>
    </w:rPr>
  </w:style>
  <w:style w:type="paragraph" w:styleId="41" w:customStyle="1">
    <w:name w:val="Маркированный список 41"/>
    <w:basedOn w:val="Normal"/>
    <w:qFormat/>
    <w:pPr>
      <w:tabs>
        <w:tab w:val="clear" w:pos="708"/>
        <w:tab w:val="left" w:pos="0" w:leader="none"/>
      </w:tabs>
      <w:spacing w:before="120" w:after="0"/>
      <w:ind w:left="-207" w:hanging="36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pPr>
      <w:tabs>
        <w:tab w:val="clear" w:pos="708"/>
        <w:tab w:val="left" w:pos="513" w:leader="none"/>
      </w:tabs>
      <w:spacing w:before="120" w:after="0"/>
      <w:ind w:left="513" w:hanging="36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Lohit Devanagari"/>
      <w:color w:val="auto"/>
      <w:kern w:val="0"/>
      <w:sz w:val="24"/>
      <w:szCs w:val="24"/>
      <w:lang w:val="ru-RU" w:eastAsia="ru-RU" w:bidi="ar-SA"/>
    </w:rPr>
  </w:style>
  <w:style w:type="paragraph" w:styleId="ConsPlusNormal" w:customStyle="1">
    <w:name w:val="ConsPlusNormal"/>
    <w:qFormat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ahoma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9" w:customStyle="1">
    <w:name w:val="Пункт"/>
    <w:basedOn w:val="Normal"/>
    <w:qFormat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8" w:customStyle="1">
    <w:name w:val="Абзац списка1"/>
    <w:basedOn w:val="Normal"/>
    <w:qFormat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30" w:customStyle="1">
    <w:name w:val="Таблица"/>
    <w:basedOn w:val="Normal"/>
    <w:qFormat/>
    <w:pPr>
      <w:keepNext w:val="true"/>
      <w:spacing w:before="60" w:after="60"/>
      <w:jc w:val="center"/>
    </w:pPr>
    <w:rPr>
      <w:rFonts w:eastAsia="Calibri"/>
      <w:b/>
      <w:sz w:val="24"/>
      <w:szCs w:val="24"/>
    </w:rPr>
  </w:style>
  <w:style w:type="paragraph" w:styleId="Style31" w:customStyle="1">
    <w:name w:val="Таблица шапка"/>
    <w:basedOn w:val="Normal"/>
    <w:qFormat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2" w:customStyle="1">
    <w:name w:val="Подподпункт"/>
    <w:basedOn w:val="Style24"/>
    <w:link w:val="Style11"/>
    <w:qFormat/>
    <w:pPr>
      <w:tabs>
        <w:tab w:val="clear" w:pos="1134"/>
        <w:tab w:val="left" w:pos="5104" w:leader="none"/>
      </w:tabs>
      <w:spacing w:lineRule="auto" w:line="240" w:before="120" w:after="0"/>
      <w:ind w:left="5104" w:hanging="567"/>
    </w:pPr>
    <w:rPr>
      <w:sz w:val="26"/>
      <w:szCs w:val="26"/>
    </w:rPr>
  </w:style>
  <w:style w:type="paragraph" w:styleId="Style33" w:customStyle="1">
    <w:name w:val="УРОВЕНЬ_(а)"/>
    <w:basedOn w:val="ListParagraph"/>
    <w:qFormat/>
    <w:pPr>
      <w:tabs>
        <w:tab w:val="clear" w:pos="708"/>
        <w:tab w:val="left" w:pos="0" w:leader="none"/>
      </w:tabs>
      <w:spacing w:lineRule="exact" w:line="360" w:before="120" w:after="0"/>
      <w:ind w:left="1985" w:hanging="567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pPr>
      <w:tabs>
        <w:tab w:val="clear" w:pos="708"/>
        <w:tab w:val="left" w:pos="0" w:leader="none"/>
      </w:tabs>
      <w:spacing w:lineRule="exact" w:line="360" w:before="120" w:after="0"/>
      <w:ind w:left="2268" w:hanging="567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pPr>
      <w:tabs>
        <w:tab w:val="clear" w:pos="708"/>
        <w:tab w:val="left" w:pos="0" w:leader="none"/>
      </w:tabs>
      <w:spacing w:lineRule="exact" w:line="360" w:before="120" w:after="0"/>
      <w:ind w:left="1701" w:hanging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pPr>
      <w:tabs>
        <w:tab w:val="clear" w:pos="708"/>
        <w:tab w:val="left" w:pos="0" w:leader="none"/>
      </w:tabs>
      <w:spacing w:lineRule="exact" w:line="360" w:before="120" w:after="0"/>
      <w:ind w:left="0" w:hanging="0"/>
      <w:contextualSpacing w:val="false"/>
      <w:jc w:val="both"/>
    </w:pPr>
    <w:rPr>
      <w:sz w:val="26"/>
      <w:szCs w:val="28"/>
      <w:lang w:eastAsia="en-US"/>
    </w:rPr>
  </w:style>
  <w:style w:type="paragraph" w:styleId="Style34" w:customStyle="1">
    <w:name w:val="УРОВЕНЬ_Подпись"/>
    <w:basedOn w:val="ListParagraph"/>
    <w:qFormat/>
    <w:pPr>
      <w:keepNext w:val="true"/>
      <w:tabs>
        <w:tab w:val="clear" w:pos="708"/>
        <w:tab w:val="left" w:pos="0" w:leader="none"/>
      </w:tabs>
      <w:spacing w:lineRule="exact" w:line="360" w:before="120" w:after="120"/>
      <w:ind w:left="1134" w:hanging="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EndnoteText">
    <w:name w:val="Endnote Text"/>
    <w:basedOn w:val="Normal"/>
    <w:link w:val="Style14"/>
    <w:pPr/>
    <w:rPr>
      <w:sz w:val="20"/>
      <w:szCs w:val="20"/>
    </w:rPr>
  </w:style>
  <w:style w:type="paragraph" w:styleId="28" w:customStyle="1">
    <w:name w:val="Заголовок 2 КВВ"/>
    <w:basedOn w:val="Normal"/>
    <w:qFormat/>
    <w:pPr>
      <w:keepNext w:val="true"/>
      <w:tabs>
        <w:tab w:val="clear" w:pos="708"/>
        <w:tab w:val="left" w:pos="0" w:leader="none"/>
      </w:tabs>
      <w:spacing w:before="120" w:after="120"/>
      <w:ind w:left="1429" w:hanging="360"/>
      <w:jc w:val="both"/>
      <w:outlineLvl w:val="0"/>
    </w:pPr>
    <w:rPr>
      <w:b/>
      <w:sz w:val="24"/>
      <w:szCs w:val="20"/>
    </w:rPr>
  </w:style>
  <w:style w:type="paragraph" w:styleId="Style35" w:customStyle="1">
    <w:name w:val="Таблица текст"/>
    <w:basedOn w:val="Normal"/>
    <w:qFormat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pPr>
      <w:spacing w:beforeAutospacing="1" w:afterAutospacing="1"/>
    </w:pPr>
    <w:rPr>
      <w:sz w:val="24"/>
      <w:szCs w:val="24"/>
    </w:rPr>
  </w:style>
  <w:style w:type="paragraph" w:styleId="19" w:customStyle="1">
    <w:name w:val="УРОВЕНЬ_1."/>
    <w:basedOn w:val="ListParagraph"/>
    <w:qFormat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unhideWhenUsed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unhideWhenUsed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unhideWhenUsed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Style36" w:customStyle="1">
    <w:name w:val="Содержимое врезки"/>
    <w:basedOn w:val="Normal"/>
    <w:qFormat/>
    <w:pPr/>
    <w:rPr/>
  </w:style>
  <w:style w:type="paragraph" w:styleId="Style37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8" w:customStyle="1">
    <w:name w:val="Заголовок таблицы"/>
    <w:basedOn w:val="Style37"/>
    <w:qFormat/>
    <w:pPr>
      <w:jc w:val="center"/>
    </w:pPr>
    <w:rPr>
      <w:b/>
      <w:bCs/>
    </w:rPr>
  </w:style>
  <w:style w:type="paragraph" w:styleId="Main14" w:customStyle="1">
    <w:name w:val="Main 14"/>
    <w:basedOn w:val="Caption1"/>
    <w:qFormat/>
    <w:pPr>
      <w:spacing w:lineRule="auto" w:line="312" w:before="60" w:after="0"/>
      <w:ind w:firstLine="709"/>
      <w:jc w:val="both"/>
    </w:pPr>
    <w:rPr>
      <w:rFonts w:eastAsia="Batang" w:cs="Times New Roman"/>
      <w:i w:val="false"/>
      <w:iCs w:val="false"/>
      <w:sz w:val="28"/>
      <w:szCs w:val="28"/>
      <w:lang w:eastAsia="ko-KR"/>
    </w:rPr>
  </w:style>
  <w:style w:type="numbering" w:styleId="NoList" w:default="1">
    <w:name w:val="No List"/>
    <w:uiPriority w:val="99"/>
    <w:semiHidden/>
    <w:unhideWhenUsed/>
    <w:qFormat/>
  </w:style>
  <w:style w:type="numbering" w:styleId="110" w:customStyle="1">
    <w:name w:val="Стиль1"/>
    <w:uiPriority w:val="99"/>
    <w:qFormat/>
  </w:style>
  <w:style w:type="numbering" w:styleId="29" w:customStyle="1">
    <w:name w:val="Стиль2"/>
    <w:uiPriority w:val="99"/>
    <w:qFormat/>
  </w:style>
  <w:style w:type="numbering" w:styleId="12706396451" w:customStyle="1">
    <w:name w:val="12706396451"/>
    <w:qFormat/>
  </w:style>
  <w:style w:type="numbering" w:styleId="23834229921">
    <w:name w:val="2383422992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1d">
    <w:name w:val="Plain Table 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FFFFF" w:fill="FFFFFF" w:themeFill="text1" w:themeFillTint="0"/>
      </w:tcPr>
    </w:tblStylePr>
    <w:tblStylePr w:type="band1Horz">
      <w:tblPr/>
      <w:tcPr>
        <w:shd w:val="clear" w:color="FFFFFF" w:fill="FFFFFF" w:themeFill="text1" w:themeFillTint="0"/>
      </w:tcPr>
    </w:tblStylePr>
  </w:style>
  <w:style w:type="table" w:styleId="2e">
    <w:name w:val="Plain Table 2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3a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styleId="42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styleId="52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FFFFF" w:fill="FFFFFF" w:themeFill="text1" w:themeFillTint="0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FFFFFF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FFFFFF" w:fill="CBCBCB" w:themeFill="text1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FFFF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band1Vert">
      <w:tblPr/>
      <w:tcPr>
        <w:shd w:val="clear" w:color="FFFFFF" w:fill="8A8A8A" w:themeFill="text1" w:themeFillTint="75"/>
      </w:tcPr>
    </w:tblStylePr>
    <w:tblStylePr w:type="band1Horz">
      <w:tblPr/>
      <w:tcPr>
        <w:shd w:val="clear" w:color="FFFFFF" w:fill="8A8A8A" w:themeFill="text1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FFFFFF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FFFFFF" w:themeFill="text1" w:themeFillTint="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FFFFFF" w:themeFill="text1" w:themeFillTint="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tblPr/>
      <w:tcPr>
        <w:shd w:val="clear" w:color="FFFFFF" w:fill="BFBFBF" w:themeFill="text1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FFFFFF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FF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FFFFFF" w:fill="BFBFBF" w:themeFill="text1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FFFFF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FFF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FFFF" w:fill="7F7F7F" w:themeFill="text1" w:themeFillTint="80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4" w:space="0"/>
          <w:left w:val="single" w:color="000000" w:themeColor="text1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tblPr/>
      <w:tcPr>
        <w:shd w:val="clear" w:color="FFFFF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FFFF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TableGridLight">
    <w:name w:val="Table Grid Light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customStyle="1" w:styleId="110">
    <w:name w:val="Таблица простая 11"/>
    <w:basedOn w:val="a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firstRow">
      <w:rPr>
        <w:b/>
        <w:color w:val="404040"/>
        <w:sz w:val="22"/>
      </w:rPr>
      <w:tblPr/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shd w:val="clear" w:color="F2F2F2" w:fill="FFFFFF" w:themeFill="text1" w:themeFillTint="0"/>
      </w:tcPr>
    </w:tblStylePr>
    <w:tblStylePr w:type="band1Horz">
      <w:tblPr/>
      <w:tcPr>
        <w:shd w:val="clear" w:color="F2F2F2" w:fill="FFFFFF" w:themeFill="text1" w:themeFillTint="0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Row">
      <w:rPr>
        <w:b/>
        <w:color w:val="404040"/>
        <w:sz w:val="22"/>
      </w:rPr>
      <w:tblPr/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Row">
      <w:rPr>
        <w:b/>
        <w:caps/>
        <w:color w:val="404040"/>
      </w:rPr>
      <w:tblPr/>
    </w:tblStylePr>
    <w:tblStylePr w:type="firstCol">
      <w:rPr>
        <w:b/>
        <w:caps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lastCol">
      <w:rPr>
        <w:b/>
        <w:caps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2F2F2" w:fill="FFFFFF" w:themeFill="text1" w:themeFillTint="0"/>
      </w:tcPr>
    </w:tblStylePr>
  </w:style>
  <w:style w:type="table" w:customStyle="1" w:styleId="41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2F2F2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2F2F2" w:fill="FFFFFF" w:themeFill="text1" w:themeFillTint="0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color="000000" w:sz="4" w:space="0"/>
          <w:bottom w:val="single" w:color="40404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color="404040" w:sz="4" w:space="0"/>
          <w:left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color="40404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color="40404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2F2F2" w:fill="FFFFFF" w:themeFill="text1" w:themeFillTint="0"/>
      </w:tcPr>
    </w:tblStylePr>
    <w:tblStylePr w:type="band1Horz">
      <w:rPr>
        <w:color w:val="404040"/>
        <w:sz w:val="22"/>
      </w:rPr>
      <w:tblPr/>
      <w:tcPr>
        <w:shd w:val="clear" w:color="F2F2F2" w:fill="FFFFFF" w:themeFill="text1" w:themeFillTint="0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b/>
        <w:color w:val="404040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8E2F3" w:fill="D8E2F3" w:themeFill="accent1" w:themeFillTint="34"/>
      </w:tcPr>
    </w:tblStylePr>
    <w:tblStylePr w:type="band1Horz">
      <w:rPr>
        <w:color w:val="404040"/>
        <w:sz w:val="22"/>
      </w:rPr>
      <w:tblPr/>
      <w:tcPr>
        <w:shd w:val="clear" w:color="D8E2F3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  <w:shd w:val="clear" w:color="FFFFFF" w:fill="auto"/>
      </w:tcPr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  <w:shd w:val="clear" w:color="000000" w:fill="000000" w:themeFill="text1"/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BCBCB" w:fill="CBCBCB" w:themeFill="text1" w:themeFillTint="34"/>
      </w:tcPr>
    </w:tblStylePr>
    <w:tblStylePr w:type="band1Horz">
      <w:rPr>
        <w:color w:val="404040"/>
        <w:sz w:val="22"/>
      </w:rPr>
      <w:tblPr/>
      <w:tcPr>
        <w:shd w:val="clear" w:color="CBCBCB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  <w:shd w:val="clear" w:color="537DC8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3F3" w:fill="DAE3F3" w:themeFill="accent1" w:themeFillTint="32"/>
      </w:tcPr>
    </w:tblStylePr>
    <w:tblStylePr w:type="band1Horz">
      <w:rPr>
        <w:color w:val="404040"/>
        <w:sz w:val="22"/>
      </w:rPr>
      <w:tblPr/>
      <w:tcPr>
        <w:shd w:val="clear" w:color="DAE3F3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  <w:shd w:val="clear" w:color="A5A5A5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  <w:shd w:val="clear" w:color="5B9BD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  <w:shd w:val="clear" w:color="70AD47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000000" w:fill="000000" w:themeFill="text1"/>
      </w:tcPr>
    </w:tblStylePr>
    <w:tblStylePr w:type="fir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Col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band1Vert">
      <w:tblPr/>
      <w:tcPr>
        <w:shd w:val="clear" w:color="8A8A8A" w:fill="8A8A8A" w:themeFill="text1" w:themeFillTint="75"/>
      </w:tcPr>
    </w:tblStylePr>
    <w:tblStylePr w:type="band1Horz">
      <w:tblPr/>
      <w:tcPr>
        <w:shd w:val="clear" w:color="8A8A8A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4472C4" w:fill="4472C4" w:themeFill="accent1"/>
      </w:tcPr>
    </w:tblStylePr>
    <w:tblStylePr w:type="firstCol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Col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band1Vert">
      <w:tblPr/>
      <w:tcPr>
        <w:shd w:val="clear" w:color="A9BEE4" w:fill="A9BEE4" w:themeFill="accent1" w:themeFillTint="75"/>
      </w:tcPr>
    </w:tblStylePr>
    <w:tblStylePr w:type="band1Horz">
      <w:tblPr/>
      <w:tcPr>
        <w:shd w:val="clear" w:color="A9BEE4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ED7D31" w:fill="ED7D31" w:themeFill="accent2"/>
      </w:tcPr>
    </w:tblStylePr>
    <w:tblStylePr w:type="fir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Col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band1Vert">
      <w:tblPr/>
      <w:tcPr>
        <w:shd w:val="clear" w:color="F6C3A0" w:fill="F6C3A0" w:themeFill="accent2" w:themeFillTint="75"/>
      </w:tcPr>
    </w:tblStylePr>
    <w:tblStylePr w:type="band1Horz">
      <w:tblPr/>
      <w:tcPr>
        <w:shd w:val="clear" w:color="F6C3A0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A5A5A5" w:fill="A5A5A5" w:themeFill="accent3"/>
      </w:tcPr>
    </w:tblStylePr>
    <w:tblStylePr w:type="fir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Col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band1Vert">
      <w:tblPr/>
      <w:tcPr>
        <w:shd w:val="clear" w:color="D5D5D5" w:fill="D5D5D5" w:themeFill="accent3" w:themeFillTint="75"/>
      </w:tcPr>
    </w:tblStylePr>
    <w:tblStylePr w:type="band1Horz">
      <w:tblPr/>
      <w:tcPr>
        <w:shd w:val="clear" w:color="D5D5D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FFC000" w:fill="FFC000" w:themeFill="accent4"/>
      </w:tcPr>
    </w:tblStylePr>
    <w:tblStylePr w:type="fir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Col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band1Vert">
      <w:tblPr/>
      <w:tcPr>
        <w:shd w:val="clear" w:color="FFE28A" w:fill="FFE28A" w:themeFill="accent4" w:themeFillTint="75"/>
      </w:tcPr>
    </w:tblStylePr>
    <w:tblStylePr w:type="band1Horz">
      <w:tblPr/>
      <w:tcPr>
        <w:shd w:val="clear" w:color="FFE28A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5B9BD5" w:fill="5B9BD5" w:themeFill="accent5"/>
      </w:tcPr>
    </w:tblStylePr>
    <w:tblStylePr w:type="firstCol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Col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band1Vert">
      <w:tblPr/>
      <w:tcPr>
        <w:shd w:val="clear" w:color="B3D0EB" w:fill="B3D0EB" w:themeFill="accent5" w:themeFillTint="75"/>
      </w:tcPr>
    </w:tblStylePr>
    <w:tblStylePr w:type="band1Horz">
      <w:tblPr/>
      <w:tcPr>
        <w:shd w:val="clear" w:color="B3D0EB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FFFFFF"/>
        <w:sz w:val="22"/>
      </w:rPr>
      <w:tblPr/>
      <w:tcPr>
        <w:tcBorders>
          <w:top w:val="single" w:color="FFFFFF" w:themeColor="light1" w:sz="4" w:space="0"/>
        </w:tcBorders>
        <w:shd w:val="clear" w:color="70AD47" w:fill="70AD47" w:themeFill="accent6"/>
      </w:tcPr>
    </w:tblStylePr>
    <w:tblStylePr w:type="fir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Col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band1Vert">
      <w:tblPr/>
      <w:tcPr>
        <w:shd w:val="clear" w:color="BCDBA8" w:fill="BCDBA8" w:themeFill="accent6" w:themeFillTint="75"/>
      </w:tcPr>
    </w:tblStylePr>
    <w:tblStylePr w:type="band1Horz">
      <w:tblPr/>
      <w:tcPr>
        <w:shd w:val="clear" w:color="BCDBA8" w:fill="BCDBA8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b/>
        <w:color w:val="7F7F7F" w:themeColor="text1" w:themeTint="80" w:themeShade="95"/>
      </w:rPr>
      <w:tblPr/>
    </w:tblStylePr>
    <w:tblStylePr w:type="firstCol">
      <w:rPr>
        <w:b/>
        <w:color w:val="7F7F7F" w:themeColor="text1" w:themeTint="80" w:themeShade="95"/>
      </w:rPr>
      <w:tblPr/>
    </w:tblStylePr>
    <w:tblStylePr w:type="lastCol">
      <w:rPr>
        <w:b/>
        <w:color w:val="7F7F7F" w:themeColor="text1" w:themeTint="80" w:themeShade="95"/>
      </w:rPr>
      <w:tblPr/>
    </w:tblStylePr>
    <w:tblStylePr w:type="band1Vert">
      <w:tblPr/>
      <w:tcPr>
        <w:shd w:val="clear" w:color="CBCBCB" w:fill="CBCBCB" w:themeFill="text1" w:themeFillTint="34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CBCBCB" w:fill="CBCBCB" w:themeFill="text1" w:themeFillTint="34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b/>
        <w:color w:val="A0B7E1" w:themeColor="accent1" w:themeTint="80" w:themeShade="95"/>
      </w:rPr>
      <w:tblPr/>
    </w:tblStylePr>
    <w:tblStylePr w:type="firstCol">
      <w:rPr>
        <w:b/>
        <w:color w:val="A0B7E1" w:themeColor="accent1" w:themeTint="80" w:themeShade="95"/>
      </w:rPr>
      <w:tblPr/>
    </w:tblStylePr>
    <w:tblStylePr w:type="lastCol">
      <w:rPr>
        <w:b/>
        <w:color w:val="A0B7E1" w:themeColor="accent1" w:themeTint="80" w:themeShade="95"/>
      </w:rPr>
      <w:tblPr/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b/>
        <w:color w:val="F4B184" w:themeColor="accent2" w:themeTint="97" w:themeShade="95"/>
      </w:rPr>
      <w:tblPr/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b/>
        <w:color w:val="A5A5A5" w:themeColor="accent3" w:themeTint="fe" w:themeShade="95"/>
      </w:rPr>
      <w:tblPr/>
    </w:tblStylePr>
    <w:tblStylePr w:type="firstCol">
      <w:rPr>
        <w:b/>
        <w:color w:val="A5A5A5" w:themeColor="accent3" w:themeTint="fe" w:themeShade="95"/>
      </w:rPr>
      <w:tblPr/>
    </w:tblStylePr>
    <w:tblStylePr w:type="lastCol">
      <w:rPr>
        <w:b/>
        <w:color w:val="A5A5A5" w:themeColor="accent3" w:themeTint="fe" w:themeShade="95"/>
      </w:rPr>
      <w:tblPr/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b/>
        <w:color w:val="FFD865" w:themeColor="accent4" w:themeTint="9a" w:themeShade="95"/>
      </w:rPr>
      <w:tblPr/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b/>
        <w:color w:val="245A8D" w:themeColor="accent5" w:themeShade="95"/>
      </w:rPr>
      <w:tblPr/>
    </w:tblStylePr>
    <w:tblStylePr w:type="firstCol">
      <w:rPr>
        <w:b/>
        <w:color w:val="245A8D" w:themeColor="accent5" w:themeShade="95"/>
      </w:rPr>
      <w:tblPr/>
    </w:tblStylePr>
    <w:tblStylePr w:type="lastCol">
      <w:rPr>
        <w:b/>
        <w:color w:val="245A8D" w:themeColor="accent5" w:themeShade="95"/>
      </w:rPr>
      <w:tblPr/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firstRow">
      <w:rPr>
        <w:b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2F2F2" w:fill="FFFFFF" w:themeFill="text1" w:themeFillTint="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F2F2F2" w:fill="FFFFFF" w:themeFill="text1" w:themeFillTint="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blStylePr w:type="firstRow">
      <w:rPr>
        <w:b/>
        <w:color w:val="A0B7E1"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A0B7E1" w:themeColor="accent1" w:themeTint="80" w:themeShade="95"/>
        <w:sz w:val="22"/>
      </w:rPr>
      <w:tblPr/>
      <w:tcPr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0B7E1" w:themeColor="accen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i/>
        <w:color w:val="A0B7E1" w:themeColor="accent1" w:themeTint="80" w:themeShade="95"/>
        <w:sz w:val="22"/>
      </w:rPr>
      <w:tblPr/>
      <w:tcPr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8E2F3" w:fill="D8E2F3" w:themeFill="accent1" w:themeFillTint="34"/>
      </w:tcPr>
    </w:tblStylePr>
    <w:tblStylePr w:type="band1Horz">
      <w:rPr>
        <w:color w:val="A0B7E1" w:themeColor="accent1" w:themeTint="80" w:themeShade="95"/>
        <w:sz w:val="22"/>
      </w:rPr>
      <w:tblPr/>
      <w:tcPr>
        <w:shd w:val="clear" w:color="D8E2F3" w:fill="D8E2F3" w:themeFill="accent1" w:themeFillTint="34"/>
      </w:tcPr>
    </w:tblStylePr>
    <w:tblStylePr w:type="band2Horz">
      <w:rPr>
        <w:color w:val="A0B7E1" w:themeColor="accent1" w:themeTint="80" w:themeShade="95"/>
        <w:sz w:val="22"/>
      </w:rPr>
      <w:tblPr/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ED7D31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F4B184" w:themeColor="accent2" w:themeTint="97" w:themeShade="95"/>
        <w:sz w:val="22"/>
      </w:rPr>
      <w:tblPr/>
      <w:tcPr>
        <w:tcBorders>
          <w:top w:val="single" w:color="ED7D31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ED7D31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single" w:color="ED7D31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BE5D6" w:fill="FBE5D6" w:themeFill="accent2" w:themeFillTint="32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BE5D6" w:fill="FBE5D6" w:themeFill="accent2" w:themeFillTint="32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firstRow">
      <w:rPr>
        <w:b/>
        <w:color w:val="A5A5A5"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A5A5A5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A5A5A5" w:themeColor="accent3" w:themeTint="fe" w:themeShade="95"/>
        <w:sz w:val="22"/>
      </w:rPr>
      <w:tblPr/>
      <w:tcPr>
        <w:tcBorders>
          <w:top w:val="single" w:color="A5A5A5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5A5A5" w:themeColor="accent3" w:themeTint="fe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A5A5A5" w:themeColor="accent3" w:themeTint="fe" w:themeShade="95"/>
        <w:sz w:val="22"/>
      </w:rPr>
      <w:tblPr/>
      <w:tcPr>
        <w:tcBorders>
          <w:top w:val="none" w:color="000000" w:sz="0" w:space="0"/>
          <w:left w:val="single" w:color="A5A5A5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CECEC" w:fill="ECECEC" w:themeFill="accent3" w:themeFillTint="34"/>
      </w:tcPr>
    </w:tblStylePr>
    <w:tblStylePr w:type="band1Horz">
      <w:rPr>
        <w:color w:val="A5A5A5" w:themeColor="accent3" w:themeTint="fe" w:themeShade="95"/>
        <w:sz w:val="22"/>
      </w:rPr>
      <w:tblPr/>
      <w:tcPr>
        <w:shd w:val="clear" w:color="ECECEC" w:fill="ECECEC" w:themeFill="accent3" w:themeFillTint="34"/>
      </w:tcPr>
    </w:tblStylePr>
    <w:tblStylePr w:type="band2Horz">
      <w:rPr>
        <w:color w:val="A5A5A5" w:themeColor="accent3" w:themeTint="fe" w:themeShade="95"/>
        <w:sz w:val="22"/>
      </w:rPr>
      <w:tblPr/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FC000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FFD865" w:themeColor="accent4" w:themeTint="9a" w:themeShade="95"/>
        <w:sz w:val="22"/>
      </w:rPr>
      <w:tblPr/>
      <w:tcPr>
        <w:tcBorders>
          <w:top w:val="single" w:color="FFC000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C000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single" w:color="FFC000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FF2CB" w:fill="FFF2CB" w:themeFill="accent4" w:themeFillTint="34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F2CB" w:fill="FFF2CB" w:themeFill="accent4" w:themeFillTint="34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blStylePr w:type="firstRow">
      <w:rPr>
        <w:b/>
        <w:color w:val="245A8D"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5B9BD5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245A8D" w:themeColor="accent5" w:themeShade="95"/>
        <w:sz w:val="22"/>
      </w:rPr>
      <w:tblPr/>
      <w:tcPr>
        <w:tcBorders>
          <w:top w:val="single" w:color="5B9BD5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45A8D" w:themeColor="accent5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5" w:sz="4" w:space="0"/>
        </w:tcBorders>
        <w:shd w:val="clear" w:color="FFFFFF" w:fill="auto"/>
      </w:tcPr>
    </w:tblStylePr>
    <w:tblStylePr w:type="lastCol">
      <w:rPr>
        <w:i/>
        <w:color w:val="245A8D" w:themeColor="accent5" w:themeShade="95"/>
        <w:sz w:val="22"/>
      </w:rPr>
      <w:tblPr/>
      <w:tcPr>
        <w:tcBorders>
          <w:top w:val="none" w:color="000000" w:sz="0" w:space="0"/>
          <w:left w:val="single" w:color="5B9BD5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DEAF6" w:fill="DDEAF6" w:themeFill="accent5" w:themeFillTint="34"/>
      </w:tcPr>
    </w:tblStylePr>
    <w:tblStylePr w:type="band1Horz">
      <w:rPr>
        <w:color w:val="245A8D" w:themeColor="accent5" w:themeShade="95"/>
        <w:sz w:val="22"/>
      </w:rPr>
      <w:tblPr/>
      <w:tcPr>
        <w:shd w:val="clear" w:color="DDEAF6" w:fill="DDEAF6" w:themeFill="accent5" w:themeFillTint="34"/>
      </w:tcPr>
    </w:tblStylePr>
    <w:tblStylePr w:type="band2Horz">
      <w:rPr>
        <w:color w:val="245A8D" w:themeColor="accent5" w:themeShade="95"/>
        <w:sz w:val="22"/>
      </w:rPr>
      <w:tblPr/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firstRow">
      <w:rPr>
        <w:b/>
        <w:color w:val="416429"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70AD47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b/>
        <w:color w:val="416429" w:themeColor="accent6" w:themeShade="95"/>
        <w:sz w:val="22"/>
      </w:rPr>
      <w:tblPr/>
      <w:tcPr>
        <w:tcBorders>
          <w:top w:val="single" w:color="70AD47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416429" w:themeColor="accent6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0AD47" w:themeColor="accent6" w:sz="4" w:space="0"/>
        </w:tcBorders>
        <w:shd w:val="clear" w:color="FFFFFF" w:fill="auto"/>
      </w:tcPr>
    </w:tblStylePr>
    <w:tblStylePr w:type="lastCol">
      <w:rPr>
        <w:i/>
        <w:color w:val="416429" w:themeColor="accent6" w:themeShade="95"/>
        <w:sz w:val="22"/>
      </w:rPr>
      <w:tblPr/>
      <w:tcPr>
        <w:tcBorders>
          <w:top w:val="none" w:color="000000" w:sz="0" w:space="0"/>
          <w:left w:val="single" w:color="70AD47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1EFD8" w:fill="E1EFD8" w:themeFill="accent6" w:themeFillTint="34"/>
      </w:tcPr>
    </w:tblStylePr>
    <w:tblStylePr w:type="band1Horz">
      <w:rPr>
        <w:color w:val="416429" w:themeColor="accent6" w:themeShade="95"/>
        <w:sz w:val="22"/>
      </w:rPr>
      <w:tblPr/>
      <w:tcPr>
        <w:shd w:val="clear" w:color="E1EFD8" w:fill="E1EFD8" w:themeFill="accent6" w:themeFillTint="34"/>
      </w:tcPr>
    </w:tblStylePr>
    <w:tblStylePr w:type="band2Horz">
      <w:rPr>
        <w:color w:val="416429" w:themeColor="accent6" w:themeShade="95"/>
        <w:sz w:val="22"/>
      </w:rPr>
      <w:tblPr/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tblPr/>
      <w:tcPr>
        <w:shd w:val="clear" w:color="BFBFBF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tblPr/>
      <w:tcPr>
        <w:shd w:val="clear" w:color="CFDBF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tblPr/>
      <w:tcPr>
        <w:shd w:val="clear" w:color="FADECB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tblPr/>
      <w:tcPr>
        <w:shd w:val="clear" w:color="E8E8E8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tblPr/>
      <w:tcPr>
        <w:shd w:val="clear" w:color="FFEFBF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tblPr/>
      <w:tcPr>
        <w:shd w:val="clear" w:color="D5E5F4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blPr/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tblPr/>
      <w:tcPr>
        <w:shd w:val="clear" w:color="DAEBCF" w:fill="DAEBCF" w:themeFill="accent6" w:themeFillTint="40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000000" w:themeColor="text1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4472C4" w:themeColor="accent1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ED7D31" w:themeColor="accent2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A5A5A5" w:themeColor="accent3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FFC000" w:themeColor="accent4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5B9BD5" w:themeColor="accent5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404040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Row">
      <w:rPr>
        <w:b/>
        <w:color w:val="404040"/>
        <w:sz w:val="22"/>
      </w:rPr>
      <w:tblPr/>
      <w:tcPr>
        <w:tcBorders>
          <w:top w:val="single" w:color="70AD47" w:themeColor="accent6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firstCol">
      <w:rPr>
        <w:b/>
        <w:color w:val="404040"/>
        <w:sz w:val="22"/>
      </w:rPr>
      <w:tblPr/>
    </w:tblStylePr>
    <w:tblStylePr w:type="lastCol">
      <w:rPr>
        <w:b/>
        <w:color w:val="404040"/>
        <w:sz w:val="22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firstRow">
      <w:rPr>
        <w:b/>
        <w:color w:val="FFFFFF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ED7D31" w:themeColor="accent2" w:sz="4" w:space="0"/>
          <w:right w:val="single" w:color="ED7D31" w:themeColor="accent2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bottom w:val="single" w:color="ED7D31" w:themeColor="accent2" w:sz="4" w:space="0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C9C9C9" w:fill="C9C9C9" w:themeFill="accent3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A5A5A5" w:themeColor="accent3" w:sz="4" w:space="0"/>
          <w:right w:val="single" w:color="A5A5A5" w:themeColor="accent3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bottom w:val="single" w:color="A5A5A5" w:themeColor="accent3" w:sz="4" w:space="0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FFC000" w:themeColor="accent4" w:sz="4" w:space="0"/>
          <w:right w:val="single" w:color="FFC000" w:themeColor="accent4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bottom w:val="single" w:color="FFC000" w:themeColor="accent4" w:sz="4" w:space="0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blStylePr w:type="firstRow">
      <w:rPr>
        <w:b/>
        <w:color w:val="FFFFFF"/>
        <w:sz w:val="22"/>
      </w:rPr>
      <w:tblPr/>
      <w:tcPr>
        <w:shd w:val="clear" w:color="9BC2E5" w:fill="9BC2E5" w:themeFill="accent5" w:themeFillTint="9a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5B9BD5" w:themeColor="accent5" w:sz="4" w:space="0"/>
          <w:right w:val="single" w:color="5B9BD5" w:themeColor="accent5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bottom w:val="single" w:color="5B9BD5" w:themeColor="accent5" w:sz="4" w:space="0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firstRow">
      <w:rPr>
        <w:b/>
        <w:color w:val="FFFFFF"/>
        <w:sz w:val="22"/>
      </w:rPr>
      <w:tblPr/>
      <w:tcPr>
        <w:shd w:val="clear" w:color="A9D08E" w:fill="A9D08E" w:themeFill="accent6" w:themeFillTint="98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tcBorders>
          <w:left w:val="single" w:color="70AD47" w:themeColor="accent6" w:sz="4" w:space="0"/>
          <w:right w:val="single" w:color="70AD47" w:themeColor="accent6" w:sz="4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bottom w:val="single" w:color="70AD47" w:themeColor="accent6" w:sz="4" w:space="0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firstRow">
      <w:rPr>
        <w:b/>
        <w:color w:val="FFFFFF"/>
        <w:sz w:val="22"/>
      </w:rPr>
      <w:tblPr/>
      <w:tcPr>
        <w:shd w:val="clear" w:color="000000" w:fill="000000" w:themeFill="tex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BFBFBF" w:fill="BFBFBF" w:themeFill="text1" w:themeFillTint="40"/>
      </w:tcPr>
    </w:tblStylePr>
    <w:tblStylePr w:type="band1Horz">
      <w:rPr>
        <w:color w:val="404040"/>
        <w:sz w:val="22"/>
      </w:rPr>
      <w:tblPr/>
      <w:tcPr>
        <w:shd w:val="clear" w:color="BFBFBF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4472C4" w:fill="4472C4" w:themeFill="accent1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CFDBF0" w:fill="CFDBF0" w:themeFill="accent1" w:themeFillTint="40"/>
      </w:tcPr>
    </w:tblStylePr>
    <w:tblStylePr w:type="band1Horz">
      <w:rPr>
        <w:color w:val="404040"/>
        <w:sz w:val="22"/>
      </w:rPr>
      <w:tblPr/>
      <w:tcPr>
        <w:shd w:val="clear" w:color="CFDBF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ED7D31" w:fill="ED7D31" w:themeFill="accent2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ADECB" w:fill="FADECB" w:themeFill="accent2" w:themeFillTint="40"/>
      </w:tcPr>
    </w:tblStylePr>
    <w:tblStylePr w:type="band1Horz">
      <w:rPr>
        <w:color w:val="404040"/>
        <w:sz w:val="22"/>
      </w:rPr>
      <w:tblPr/>
      <w:tcPr>
        <w:shd w:val="clear" w:color="FADECB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A5A5A5" w:fill="A5A5A5" w:themeFill="accent3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E8E8E8" w:fill="E8E8E8" w:themeFill="accent3" w:themeFillTint="40"/>
      </w:tcPr>
    </w:tblStylePr>
    <w:tblStylePr w:type="band1Horz">
      <w:rPr>
        <w:color w:val="404040"/>
        <w:sz w:val="22"/>
      </w:rPr>
      <w:tblPr/>
      <w:tcPr>
        <w:shd w:val="clear" w:color="E8E8E8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FFC000" w:fill="FFC000" w:themeFill="accent4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FFEFBF" w:fill="FFEFBF" w:themeFill="accent4" w:themeFillTint="40"/>
      </w:tcPr>
    </w:tblStylePr>
    <w:tblStylePr w:type="band1Horz">
      <w:rPr>
        <w:color w:val="404040"/>
        <w:sz w:val="22"/>
      </w:rPr>
      <w:tblPr/>
      <w:tcPr>
        <w:shd w:val="clear" w:color="FFEFBF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5B9BD5" w:fill="5B9BD5" w:themeFill="accent5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5E5F4" w:fill="D5E5F4" w:themeFill="accent5" w:themeFillTint="40"/>
      </w:tcPr>
    </w:tblStylePr>
    <w:tblStylePr w:type="band1Horz">
      <w:rPr>
        <w:color w:val="404040"/>
        <w:sz w:val="22"/>
      </w:rPr>
      <w:tblPr/>
      <w:tcPr>
        <w:shd w:val="clear" w:color="D5E5F4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firstRow">
      <w:rPr>
        <w:b/>
        <w:color w:val="FFFFFF"/>
        <w:sz w:val="22"/>
      </w:rPr>
      <w:tblPr/>
      <w:tcPr>
        <w:shd w:val="clear" w:color="70AD47" w:fill="70AD47" w:themeFill="accent6"/>
      </w:tcPr>
    </w:tblStylePr>
    <w:tblStylePr w:type="lastRow">
      <w:rPr>
        <w:b/>
        <w:color w:val="404040"/>
      </w:rPr>
      <w:tblPr/>
    </w:tblStylePr>
    <w:tblStylePr w:type="firstCol">
      <w:rPr>
        <w:b/>
        <w:color w:val="404040"/>
      </w:rPr>
      <w:tblPr/>
    </w:tblStylePr>
    <w:tblStylePr w:type="lastCol">
      <w:rPr>
        <w:b/>
        <w:color w:val="404040"/>
      </w:rPr>
      <w:tblPr/>
    </w:tblStylePr>
    <w:tblStylePr w:type="band1Vert">
      <w:rPr>
        <w:color w:val="404040"/>
        <w:sz w:val="22"/>
      </w:rPr>
      <w:tblPr/>
      <w:tcPr>
        <w:shd w:val="clear" w:color="DAEBCF" w:fill="DAEBCF" w:themeFill="accent6" w:themeFillTint="40"/>
      </w:tcPr>
    </w:tblStylePr>
    <w:tblStylePr w:type="band1Horz">
      <w:rPr>
        <w:color w:val="404040"/>
        <w:sz w:val="22"/>
      </w:rPr>
      <w:tblPr/>
      <w:tcPr>
        <w:shd w:val="clear" w:color="DAEBCF" w:fill="DAEBCF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000000" w:themeColor="text1" w:sz="32" w:space="0"/>
          <w:bottom w:val="single" w:color="FFFFFF" w:themeColor="light1" w:sz="12" w:space="0"/>
        </w:tcBorders>
        <w:shd w:val="clear" w:color="7F7F7F" w:fill="7F7F7F" w:themeFill="text1" w:themeFillTint="80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000000" w:themeColor="tex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000000" w:themeColor="tex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7F7F7F" w:fill="7F7F7F" w:themeFill="text1" w:themeFillTint="80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7F7F7F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4472C4" w:themeColor="accent1" w:sz="32" w:space="0"/>
          <w:bottom w:val="single" w:color="FFFFFF" w:themeColor="light1" w:sz="12" w:space="0"/>
        </w:tcBorders>
        <w:shd w:val="clear" w:color="4472C4" w:fill="4472C4" w:themeFill="accent1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4472C4" w:fill="4472C4" w:themeFill="accent1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4472C4" w:themeFill="accent1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4472C4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ED7D31" w:themeColor="accent2" w:sz="32" w:space="0"/>
          <w:bottom w:val="single" w:color="FFFFFF" w:themeColor="light1" w:sz="12" w:space="0"/>
        </w:tcBorders>
        <w:shd w:val="clear" w:color="F4B184" w:fill="F4B184" w:themeFill="accent2" w:themeFillTint="97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ED7D31" w:themeColor="accent2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ED7D31" w:themeColor="accent2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4B184" w:fill="F4B184" w:themeFill="accent2" w:themeFillTint="97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4B184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A5A5A5" w:themeColor="accent3" w:sz="32" w:space="0"/>
          <w:bottom w:val="single" w:color="FFFFFF" w:themeColor="light1" w:sz="12" w:space="0"/>
        </w:tcBorders>
        <w:shd w:val="clear" w:color="C9C9C9" w:fill="C9C9C9" w:themeFill="accent3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A5A5A5" w:themeColor="accent3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A5A5A5" w:themeColor="accent3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C9C9C9" w:fill="C9C9C9" w:themeFill="accent3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C9C9C9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FFC000" w:themeColor="accent4" w:sz="32" w:space="0"/>
          <w:bottom w:val="single" w:color="FFFFFF" w:themeColor="light1" w:sz="12" w:space="0"/>
        </w:tcBorders>
        <w:shd w:val="clear" w:color="FFD865" w:fill="FFD865" w:themeFill="accent4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FFC000" w:themeColor="accent4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FFC000" w:themeColor="accent4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FFD865" w:fill="FFD865" w:themeFill="accent4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FFD865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5B9BD5" w:themeColor="accent5" w:sz="32" w:space="0"/>
          <w:bottom w:val="single" w:color="FFFFFF" w:themeColor="light1" w:sz="12" w:space="0"/>
        </w:tcBorders>
        <w:shd w:val="clear" w:color="9BC2E5" w:fill="9BC2E5" w:themeFill="accent5" w:themeFillTint="9a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5B9BD5" w:themeColor="accent5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5B9BD5" w:themeColor="accent5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9BC2E5" w:fill="9BC2E5" w:themeFill="accent5" w:themeFillTint="9a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9BC2E5" w:themeFill="accent5" w:themeFillTint="9a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9BC2E5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</w:tblPr>
    <w:tblStylePr w:type="firstRow">
      <w:rPr>
        <w:b/>
        <w:color w:val="FFFFFF" w:themeColor="light1"/>
        <w:sz w:val="22"/>
      </w:rPr>
      <w:tblPr/>
      <w:tcPr>
        <w:tcBorders>
          <w:top w:val="single" w:color="70AD47" w:themeColor="accent6" w:sz="32" w:space="0"/>
          <w:bottom w:val="single" w:color="FFFFFF" w:themeColor="light1" w:sz="12" w:space="0"/>
        </w:tcBorders>
        <w:shd w:val="clear" w:color="A9D08E" w:fill="A9D08E" w:themeFill="accent6" w:themeFillTint="98"/>
      </w:tcPr>
    </w:tblStylePr>
    <w:tblStylePr w:type="lastRow">
      <w:rPr>
        <w:b/>
        <w:color w:val="FFFFFF" w:themeColor="light1"/>
        <w:sz w:val="22"/>
      </w:rPr>
      <w:tblPr/>
    </w:tblStylePr>
    <w:tblStylePr w:type="firstCol">
      <w:rPr>
        <w:b/>
        <w:color w:val="FFFFFF" w:themeColor="light1"/>
        <w:sz w:val="22"/>
      </w:rPr>
      <w:tblPr/>
      <w:tcPr>
        <w:tcBorders>
          <w:left w:val="single" w:color="70AD47" w:themeColor="accent6" w:sz="32" w:space="0"/>
          <w:right w:val="single" w:color="FFFFFF" w:themeColor="light1" w:sz="4" w:space="0"/>
        </w:tcBorders>
      </w:tcPr>
    </w:tblStylePr>
    <w:tblStylePr w:type="lastCol">
      <w:tblPr/>
      <w:tcPr>
        <w:tcBorders>
          <w:left w:val="single" w:color="FFFFFF" w:themeColor="light1" w:sz="4" w:space="0"/>
          <w:right w:val="single" w:color="70AD47" w:themeColor="accent6" w:sz="32" w:space="0"/>
        </w:tcBorders>
      </w:tcPr>
    </w:tblStylePr>
    <w:tblStylePr w:type="band1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  <w:shd w:val="clear" w:color="A9D08E" w:fill="A9D08E" w:themeFill="accent6" w:themeFillTint="98"/>
      </w:tcPr>
    </w:tblStylePr>
    <w:tblStylePr w:type="band2Vert">
      <w:tblPr/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1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  <w:tblStylePr w:type="band2Horz">
      <w:tblPr/>
      <w:tcPr>
        <w:tcBorders>
          <w:top w:val="single" w:color="FFFFFF" w:themeColor="light1" w:sz="4" w:space="0"/>
          <w:bottom w:val="single" w:color="FFFFFF" w:themeColor="light1" w:sz="4" w:space="0"/>
        </w:tcBorders>
        <w:shd w:val="clear" w:color="A9D08E" w:fill="A9D08E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firstRow">
      <w:rPr>
        <w:b/>
        <w:color w:val="000000" w:themeColor="text1"/>
      </w:rPr>
      <w:tblPr/>
      <w:tcPr>
        <w:tcBorders>
          <w:bottom w:val="single" w:color="000000" w:themeColor="text1" w:sz="4" w:space="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color="000000" w:themeColor="text1" w:sz="4" w:space="0"/>
        </w:tcBorders>
      </w:tcPr>
    </w:tblStylePr>
    <w:tblStylePr w:type="firstCol">
      <w:rPr>
        <w:b/>
        <w:color w:val="000000" w:themeColor="text1"/>
      </w:rPr>
      <w:tblPr/>
    </w:tblStylePr>
    <w:tblStylePr w:type="lastCol">
      <w:rPr>
        <w:b/>
        <w:color w:val="000000" w:themeColor="text1"/>
      </w:rPr>
      <w:tblPr/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000000" w:themeColor="text1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000000" w:themeColor="text1"/>
        <w:sz w:val="22"/>
      </w:rPr>
      <w:tblPr/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color="4472C4" w:themeColor="accent1" w:sz="4" w:space="0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color="4472C4" w:themeColor="accent1" w:sz="4" w:space="0"/>
        </w:tcBorders>
      </w:tcPr>
    </w:tblStylePr>
    <w:tblStylePr w:type="firstCol">
      <w:rPr>
        <w:b/>
        <w:color w:val="254175" w:themeColor="accent1" w:themeShade="95"/>
      </w:rPr>
      <w:tblPr/>
    </w:tblStylePr>
    <w:tblStylePr w:type="lastCol">
      <w:rPr>
        <w:b/>
        <w:color w:val="254175" w:themeColor="accent1" w:themeShade="95"/>
      </w:rPr>
      <w:tblPr/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color="ED7D31" w:themeColor="accent2" w:sz="4" w:space="0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color="ED7D31" w:themeColor="accent2" w:sz="4" w:space="0"/>
        </w:tcBorders>
      </w:tcPr>
    </w:tblStylePr>
    <w:tblStylePr w:type="firstCol">
      <w:rPr>
        <w:b/>
        <w:color w:val="F4B184" w:themeColor="accent2" w:themeTint="97" w:themeShade="95"/>
      </w:rPr>
      <w:tblPr/>
    </w:tblStylePr>
    <w:tblStylePr w:type="lastCol">
      <w:rPr>
        <w:b/>
        <w:color w:val="F4B184" w:themeColor="accent2" w:themeTint="97" w:themeShade="95"/>
      </w:rPr>
      <w:tblPr/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color="A5A5A5" w:themeColor="accent3" w:sz="4" w:space="0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color="A5A5A5" w:themeColor="accent3" w:sz="4" w:space="0"/>
        </w:tcBorders>
      </w:tcPr>
    </w:tblStylePr>
    <w:tblStylePr w:type="firstCol">
      <w:rPr>
        <w:b/>
        <w:color w:val="C9C9C9" w:themeColor="accent3" w:themeTint="98" w:themeShade="95"/>
      </w:rPr>
      <w:tblPr/>
    </w:tblStylePr>
    <w:tblStylePr w:type="lastCol">
      <w:rPr>
        <w:b/>
        <w:color w:val="C9C9C9" w:themeColor="accent3" w:themeTint="98" w:themeShade="95"/>
      </w:rPr>
      <w:tblPr/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color="FFC000" w:themeColor="accent4" w:sz="4" w:space="0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color="FFC000" w:themeColor="accent4" w:sz="4" w:space="0"/>
        </w:tcBorders>
      </w:tcPr>
    </w:tblStylePr>
    <w:tblStylePr w:type="firstCol">
      <w:rPr>
        <w:b/>
        <w:color w:val="FFD865" w:themeColor="accent4" w:themeTint="9a" w:themeShade="95"/>
      </w:rPr>
      <w:tblPr/>
    </w:tblStylePr>
    <w:tblStylePr w:type="lastCol">
      <w:rPr>
        <w:b/>
        <w:color w:val="FFD865" w:themeColor="accent4" w:themeTint="9a" w:themeShade="95"/>
      </w:rPr>
      <w:tblPr/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color="5B9BD5" w:themeColor="accent5" w:sz="4" w:space="0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color="5B9BD5" w:themeColor="accent5" w:sz="4" w:space="0"/>
        </w:tcBorders>
      </w:tcPr>
    </w:tblStylePr>
    <w:tblStylePr w:type="firstCol">
      <w:rPr>
        <w:b/>
        <w:color w:val="9BC2E5" w:themeColor="accent5" w:themeTint="9a" w:themeShade="95"/>
      </w:rPr>
      <w:tblPr/>
    </w:tblStylePr>
    <w:tblStylePr w:type="lastCol">
      <w:rPr>
        <w:b/>
        <w:color w:val="9BC2E5" w:themeColor="accent5" w:themeTint="9a" w:themeShade="95"/>
      </w:rPr>
      <w:tblPr/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color="70AD47" w:themeColor="accent6" w:sz="4" w:space="0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color="70AD47" w:themeColor="accent6" w:sz="4" w:space="0"/>
        </w:tcBorders>
      </w:tcPr>
    </w:tblStylePr>
    <w:tblStylePr w:type="firstCol">
      <w:rPr>
        <w:b/>
        <w:color w:val="A9D08E" w:themeColor="accent6" w:themeTint="98" w:themeShade="95"/>
      </w:rPr>
      <w:tblPr/>
    </w:tblStylePr>
    <w:tblStylePr w:type="lastCol">
      <w:rPr>
        <w:b/>
        <w:color w:val="A9D08E" w:themeColor="accent6" w:themeTint="98" w:themeShade="95"/>
      </w:rPr>
      <w:tblPr/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firstRow">
      <w:rPr>
        <w:i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000000" w:themeColor="tex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7F7F7F" w:themeColor="text1" w:themeTint="80" w:themeShade="95"/>
        <w:sz w:val="22"/>
      </w:rPr>
      <w:tblPr/>
      <w:tcPr>
        <w:tcBorders>
          <w:top w:val="single" w:color="000000" w:themeColor="tex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000000" w:themeColor="text1" w:sz="4" w:space="0"/>
        </w:tcBorders>
        <w:shd w:val="clear" w:color="FFFFFF" w:fill="auto"/>
      </w:tcPr>
    </w:tblStylePr>
    <w:tblStylePr w:type="lastCol">
      <w:rPr>
        <w:i/>
        <w:color w:val="7F7F7F" w:themeColor="text1" w:themeTint="80" w:themeShade="95"/>
        <w:sz w:val="22"/>
      </w:rPr>
      <w:tblPr/>
      <w:tcPr>
        <w:tcBorders>
          <w:top w:val="none" w:color="000000" w:sz="0" w:space="0"/>
          <w:left w:val="single" w:color="000000" w:themeColor="tex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BFBFBF" w:fill="BFBFBF" w:themeFill="text1" w:themeFillTint="40"/>
      </w:tcPr>
    </w:tblStylePr>
    <w:tblStylePr w:type="band1Horz">
      <w:rPr>
        <w:color w:val="7F7F7F" w:themeColor="text1" w:themeTint="80" w:themeShade="95"/>
        <w:sz w:val="22"/>
      </w:rPr>
      <w:tblPr/>
      <w:tcPr>
        <w:shd w:val="clear" w:color="BFBFBF" w:fill="BFBFBF" w:themeFill="text1" w:themeFillTint="40"/>
      </w:tcPr>
    </w:tblStylePr>
    <w:tblStylePr w:type="band2Horz">
      <w:rPr>
        <w:color w:val="7F7F7F" w:themeColor="text1" w:themeTint="80" w:themeShade="95"/>
        <w:sz w:val="22"/>
      </w:rPr>
      <w:tblPr/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color="4472C4" w:themeColor="accent1" w:sz="4" w:space="0"/>
      </w:tblBorders>
    </w:tblPr>
    <w:tblStylePr w:type="firstRow">
      <w:rPr>
        <w:i/>
        <w:color w:val="254175"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254175" w:themeColor="accent1" w:themeShade="95"/>
        <w:sz w:val="22"/>
      </w:rPr>
      <w:tblPr/>
      <w:tcPr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254175" w:themeColor="accent1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  <w:shd w:val="clear" w:color="FFFFFF" w:fill="auto"/>
      </w:tcPr>
    </w:tblStylePr>
    <w:tblStylePr w:type="lastCol">
      <w:rPr>
        <w:i/>
        <w:color w:val="254175" w:themeColor="accent1" w:themeShade="95"/>
        <w:sz w:val="22"/>
      </w:rPr>
      <w:tblPr/>
      <w:tcPr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CFDBF0" w:fill="CFDBF0" w:themeFill="accent1" w:themeFillTint="40"/>
      </w:tcPr>
    </w:tblStylePr>
    <w:tblStylePr w:type="band1Horz">
      <w:rPr>
        <w:color w:val="254175" w:themeColor="accent1" w:themeShade="95"/>
        <w:sz w:val="22"/>
      </w:rPr>
      <w:tblPr/>
      <w:tcPr>
        <w:shd w:val="clear" w:color="CFDBF0" w:fill="CFDBF0" w:themeFill="accent1" w:themeFillTint="40"/>
      </w:tcPr>
    </w:tblStylePr>
    <w:tblStylePr w:type="band2Horz">
      <w:rPr>
        <w:color w:val="254175" w:themeColor="accent1" w:themeShade="95"/>
        <w:sz w:val="22"/>
      </w:rPr>
      <w:tblPr/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firstRow">
      <w:rPr>
        <w:i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ED7D31" w:themeColor="accent2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F4B184" w:themeColor="accent2" w:themeTint="97" w:themeShade="95"/>
        <w:sz w:val="22"/>
      </w:rPr>
      <w:tblPr/>
      <w:tcPr>
        <w:tcBorders>
          <w:top w:val="single" w:color="ED7D31" w:themeColor="accent2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ED7D31" w:themeColor="accent2" w:sz="4" w:space="0"/>
        </w:tcBorders>
        <w:shd w:val="clear" w:color="FFFFFF" w:fill="auto"/>
      </w:tcPr>
    </w:tblStylePr>
    <w:tblStylePr w:type="lastCol">
      <w:rPr>
        <w:i/>
        <w:color w:val="F4B184" w:themeColor="accent2" w:themeTint="97" w:themeShade="95"/>
        <w:sz w:val="22"/>
      </w:rPr>
      <w:tblPr/>
      <w:tcPr>
        <w:tcBorders>
          <w:top w:val="none" w:color="000000" w:sz="0" w:space="0"/>
          <w:left w:val="single" w:color="ED7D31" w:themeColor="accent2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ADECB" w:fill="FADECB" w:themeFill="accent2" w:themeFillTint="40"/>
      </w:tcPr>
    </w:tblStylePr>
    <w:tblStylePr w:type="band1Horz">
      <w:rPr>
        <w:color w:val="F4B184" w:themeColor="accent2" w:themeTint="97" w:themeShade="95"/>
        <w:sz w:val="22"/>
      </w:rPr>
      <w:tblPr/>
      <w:tcPr>
        <w:shd w:val="clear" w:color="FADECB" w:fill="FADECB" w:themeFill="accent2" w:themeFillTint="40"/>
      </w:tcPr>
    </w:tblStylePr>
    <w:tblStylePr w:type="band2Horz">
      <w:rPr>
        <w:color w:val="F4B184" w:themeColor="accent2" w:themeTint="97" w:themeShade="95"/>
        <w:sz w:val="22"/>
      </w:rPr>
      <w:tblPr/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firstRow">
      <w:rPr>
        <w:i/>
        <w:color w:val="C9C9C9"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A5A5A5" w:themeColor="accent3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C9C9C9" w:themeColor="accent3" w:themeTint="98" w:themeShade="95"/>
        <w:sz w:val="22"/>
      </w:rPr>
      <w:tblPr/>
      <w:tcPr>
        <w:tcBorders>
          <w:top w:val="single" w:color="A5A5A5" w:themeColor="accent3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C9C9C9" w:themeColor="accent3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sz="4" w:space="0"/>
        </w:tcBorders>
        <w:shd w:val="clear" w:color="FFFFFF" w:fill="auto"/>
      </w:tcPr>
    </w:tblStylePr>
    <w:tblStylePr w:type="lastCol">
      <w:rPr>
        <w:i/>
        <w:color w:val="C9C9C9" w:themeColor="accent3" w:themeTint="98" w:themeShade="95"/>
        <w:sz w:val="22"/>
      </w:rPr>
      <w:tblPr/>
      <w:tcPr>
        <w:tcBorders>
          <w:top w:val="none" w:color="000000" w:sz="0" w:space="0"/>
          <w:left w:val="single" w:color="A5A5A5" w:themeColor="accent3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E8E8E8" w:fill="E8E8E8" w:themeFill="accent3" w:themeFillTint="40"/>
      </w:tcPr>
    </w:tblStylePr>
    <w:tblStylePr w:type="band1Horz">
      <w:rPr>
        <w:color w:val="C9C9C9" w:themeColor="accent3" w:themeTint="98" w:themeShade="95"/>
        <w:sz w:val="22"/>
      </w:rPr>
      <w:tblPr/>
      <w:tcPr>
        <w:shd w:val="clear" w:color="E8E8E8" w:fill="E8E8E8" w:themeFill="accent3" w:themeFillTint="40"/>
      </w:tcPr>
    </w:tblStylePr>
    <w:tblStylePr w:type="band2Horz">
      <w:rPr>
        <w:color w:val="C9C9C9" w:themeColor="accent3" w:themeTint="98" w:themeShade="95"/>
        <w:sz w:val="22"/>
      </w:rPr>
      <w:tblPr/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firstRow">
      <w:rPr>
        <w:i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FFC000" w:themeColor="accent4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FFD865" w:themeColor="accent4" w:themeTint="9a" w:themeShade="95"/>
        <w:sz w:val="22"/>
      </w:rPr>
      <w:tblPr/>
      <w:tcPr>
        <w:tcBorders>
          <w:top w:val="single" w:color="FFC000" w:themeColor="accent4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C000" w:themeColor="accent4" w:sz="4" w:space="0"/>
        </w:tcBorders>
        <w:shd w:val="clear" w:color="FFFFFF" w:fill="auto"/>
      </w:tcPr>
    </w:tblStylePr>
    <w:tblStylePr w:type="lastCol">
      <w:rPr>
        <w:i/>
        <w:color w:val="FFD865" w:themeColor="accent4" w:themeTint="9a" w:themeShade="95"/>
        <w:sz w:val="22"/>
      </w:rPr>
      <w:tblPr/>
      <w:tcPr>
        <w:tcBorders>
          <w:top w:val="none" w:color="000000" w:sz="0" w:space="0"/>
          <w:left w:val="single" w:color="FFC000" w:themeColor="accent4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FFEFBF" w:fill="FFEFBF" w:themeFill="accent4" w:themeFillTint="40"/>
      </w:tcPr>
    </w:tblStylePr>
    <w:tblStylePr w:type="band1Horz">
      <w:rPr>
        <w:color w:val="FFD865" w:themeColor="accent4" w:themeTint="9a" w:themeShade="95"/>
        <w:sz w:val="22"/>
      </w:rPr>
      <w:tblPr/>
      <w:tcPr>
        <w:shd w:val="clear" w:color="FFEFBF" w:fill="FFEFBF" w:themeFill="accent4" w:themeFillTint="40"/>
      </w:tcPr>
    </w:tblStylePr>
    <w:tblStylePr w:type="band2Horz">
      <w:rPr>
        <w:color w:val="FFD865" w:themeColor="accent4" w:themeTint="9a" w:themeShade="95"/>
        <w:sz w:val="22"/>
      </w:rPr>
      <w:tblPr/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color="9BC2E5" w:themeColor="accent5" w:themeTint="9a" w:sz="4" w:space="0"/>
      </w:tblBorders>
    </w:tblPr>
    <w:tblStylePr w:type="firstRow">
      <w:rPr>
        <w:i/>
        <w:color w:val="9BC2E5"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5B9BD5" w:themeColor="accent5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9BC2E5" w:themeColor="accent5" w:themeTint="9a" w:themeShade="95"/>
        <w:sz w:val="22"/>
      </w:rPr>
      <w:tblPr/>
      <w:tcPr>
        <w:tcBorders>
          <w:top w:val="single" w:color="5B9BD5" w:themeColor="accent5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9BC2E5" w:themeColor="accent5" w:themeTint="9a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5" w:sz="4" w:space="0"/>
        </w:tcBorders>
        <w:shd w:val="clear" w:color="FFFFFF" w:fill="auto"/>
      </w:tcPr>
    </w:tblStylePr>
    <w:tblStylePr w:type="lastCol">
      <w:rPr>
        <w:i/>
        <w:color w:val="9BC2E5" w:themeColor="accent5" w:themeTint="9a" w:themeShade="95"/>
        <w:sz w:val="22"/>
      </w:rPr>
      <w:tblPr/>
      <w:tcPr>
        <w:tcBorders>
          <w:top w:val="none" w:color="000000" w:sz="0" w:space="0"/>
          <w:left w:val="single" w:color="5B9BD5" w:themeColor="accent5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5E5F4" w:fill="D5E5F4" w:themeFill="accent5" w:themeFillTint="40"/>
      </w:tcPr>
    </w:tblStylePr>
    <w:tblStylePr w:type="band1Horz">
      <w:rPr>
        <w:color w:val="9BC2E5" w:themeColor="accent5" w:themeTint="9a" w:themeShade="95"/>
        <w:sz w:val="22"/>
      </w:rPr>
      <w:tblPr/>
      <w:tcPr>
        <w:shd w:val="clear" w:color="D5E5F4" w:fill="D5E5F4" w:themeFill="accent5" w:themeFillTint="40"/>
      </w:tcPr>
    </w:tblStylePr>
    <w:tblStylePr w:type="band2Horz">
      <w:rPr>
        <w:color w:val="9BC2E5" w:themeColor="accent5" w:themeTint="9a" w:themeShade="95"/>
        <w:sz w:val="22"/>
      </w:rPr>
      <w:tblPr/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firstRow">
      <w:rPr>
        <w:i/>
        <w:color w:val="A9D08E"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single" w:color="70AD47" w:themeColor="accent6" w:sz="4" w:space="0"/>
          <w:right w:val="none" w:color="000000" w:sz="0" w:space="0"/>
        </w:tcBorders>
        <w:shd w:val="clear" w:color="FFFFFF" w:fill="FFFFFF" w:themeFill="light1"/>
      </w:tcPr>
    </w:tblStylePr>
    <w:tblStylePr w:type="lastRow">
      <w:rPr>
        <w:i/>
        <w:color w:val="A9D08E" w:themeColor="accent6" w:themeTint="98" w:themeShade="95"/>
        <w:sz w:val="22"/>
      </w:rPr>
      <w:tblPr/>
      <w:tcPr>
        <w:tcBorders>
          <w:top w:val="single" w:color="70AD47" w:themeColor="accent6" w:sz="4" w:space="0"/>
          <w:left w:val="none" w:color="000000" w:sz="0" w:space="0"/>
          <w:bottom w:val="none" w:color="000000" w:sz="0" w:space="0"/>
          <w:right w:val="none" w:color="000000" w:sz="0" w:space="0"/>
        </w:tcBorders>
        <w:shd w:val="clear" w:color="FFFFFF" w:fill="FFFFFF" w:themeFill="light1"/>
      </w:tcPr>
    </w:tblStylePr>
    <w:tblStylePr w:type="firstCol">
      <w:pPr>
        <w:jc w:val="right"/>
      </w:pPr>
      <w:rPr>
        <w:i/>
        <w:color w:val="A9D08E" w:themeColor="accent6" w:themeTint="98" w:themeShade="95"/>
        <w:sz w:val="22"/>
      </w:rPr>
      <w:tblPr/>
      <w:tcPr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0AD47" w:themeColor="accent6" w:sz="4" w:space="0"/>
        </w:tcBorders>
        <w:shd w:val="clear" w:color="FFFFFF" w:fill="auto"/>
      </w:tcPr>
    </w:tblStylePr>
    <w:tblStylePr w:type="lastCol">
      <w:rPr>
        <w:i/>
        <w:color w:val="A9D08E" w:themeColor="accent6" w:themeTint="98" w:themeShade="95"/>
        <w:sz w:val="22"/>
      </w:rPr>
      <w:tblPr/>
      <w:tcPr>
        <w:tcBorders>
          <w:top w:val="none" w:color="000000" w:sz="0" w:space="0"/>
          <w:left w:val="single" w:color="70AD47" w:themeColor="accent6" w:sz="4" w:space="0"/>
          <w:bottom w:val="none" w:color="000000" w:sz="0" w:space="0"/>
          <w:right w:val="none" w:color="000000" w:sz="0" w:space="0"/>
        </w:tcBorders>
        <w:shd w:val="clear" w:color="FFFFFF" w:fill="auto"/>
      </w:tcPr>
    </w:tblStylePr>
    <w:tblStylePr w:type="band1Vert">
      <w:tblPr/>
      <w:tcPr>
        <w:shd w:val="clear" w:color="DAEBCF" w:fill="DAEBCF" w:themeFill="accent6" w:themeFillTint="40"/>
      </w:tcPr>
    </w:tblStylePr>
    <w:tblStylePr w:type="band1Horz">
      <w:rPr>
        <w:color w:val="A9D08E" w:themeColor="accent6" w:themeTint="98" w:themeShade="95"/>
        <w:sz w:val="22"/>
      </w:rPr>
      <w:tblPr/>
      <w:tcPr>
        <w:shd w:val="clear" w:color="DAEBCF" w:fill="DAEBCF" w:themeFill="accent6" w:themeFillTint="40"/>
      </w:tcPr>
    </w:tblStylePr>
    <w:tblStylePr w:type="band2Horz">
      <w:rPr>
        <w:color w:val="A9D08E" w:themeColor="accent6" w:themeTint="98" w:themeShade="95"/>
        <w:sz w:val="22"/>
      </w:rPr>
      <w:tblPr/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FFFFF" w:themeFill="text1" w:themeFillTint="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FFFFF" w:themeFill="text1" w:themeFillTint="0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fir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Row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fir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lastCol">
      <w:rPr>
        <w:color w:val="F2F2F2"/>
        <w:sz w:val="22"/>
      </w:rPr>
      <w:tblPr/>
      <w:tcPr>
        <w:shd w:val="clear" w:color="7F7F7F" w:fill="7F7F7F" w:themeFill="text1" w:themeFillTint="80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2F2F2" w:fill="FFFFFF" w:themeFill="text1" w:themeFillTint="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2F2F2" w:fill="FFFFFF" w:themeFill="text1" w:themeFillTint="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</w:tblPr>
    <w:tblStylePr w:type="fir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Row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fir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lastCol">
      <w:rPr>
        <w:color w:val="F2F2F2"/>
        <w:sz w:val="22"/>
      </w:rPr>
      <w:tblPr/>
      <w:tcPr>
        <w:shd w:val="clear" w:color="537DC8" w:fill="537DC8" w:themeFill="accent1" w:themeFillTint="e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C4D2EC" w:fill="C4D2EC" w:themeFill="accent1" w:themeFillTint="50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C4D2EC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color="ED7D31" w:themeColor="accent2" w:sz="4" w:space="0"/>
        <w:left w:val="single" w:color="ED7D31" w:themeColor="accent2" w:sz="4" w:space="0"/>
        <w:bottom w:val="single" w:color="ED7D31" w:themeColor="accent2" w:sz="4" w:space="0"/>
        <w:right w:val="single" w:color="ED7D31" w:themeColor="accent2" w:sz="4" w:space="0"/>
        <w:insideH w:val="single" w:color="ED7D31" w:themeColor="accent2" w:sz="4" w:space="0"/>
        <w:insideV w:val="single" w:color="ED7D31" w:themeColor="accent2" w:sz="4" w:space="0"/>
      </w:tblBorders>
    </w:tblPr>
    <w:tblStylePr w:type="fir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Row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fir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lastCol">
      <w:rPr>
        <w:color w:val="F2F2F2"/>
        <w:sz w:val="22"/>
      </w:rPr>
      <w:tblPr/>
      <w:tcPr>
        <w:shd w:val="clear" w:color="F4B184" w:fill="F4B184" w:themeFill="accent2" w:themeFillTint="97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BE5D6" w:fill="FBE5D6" w:themeFill="accent2" w:themeFillTint="32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BE5D6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color="A5A5A5" w:themeColor="accent3" w:sz="4" w:space="0"/>
        <w:left w:val="single" w:color="A5A5A5" w:themeColor="accent3" w:sz="4" w:space="0"/>
        <w:bottom w:val="single" w:color="A5A5A5" w:themeColor="accent3" w:sz="4" w:space="0"/>
        <w:right w:val="single" w:color="A5A5A5" w:themeColor="accent3" w:sz="4" w:space="0"/>
        <w:insideH w:val="single" w:color="A5A5A5" w:themeColor="accent3" w:sz="4" w:space="0"/>
        <w:insideV w:val="single" w:color="A5A5A5" w:themeColor="accent3" w:sz="4" w:space="0"/>
      </w:tblBorders>
    </w:tblPr>
    <w:tblStylePr w:type="fir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Row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fir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lastCol">
      <w:rPr>
        <w:color w:val="F2F2F2"/>
        <w:sz w:val="22"/>
      </w:rPr>
      <w:tblPr/>
      <w:tcPr>
        <w:shd w:val="clear" w:color="A5A5A5" w:fill="A5A5A5" w:themeFill="accent3" w:themeFillTint="fe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CECEC" w:fill="ECECEC" w:themeFill="accent3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CECEC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color="FFC000" w:themeColor="accent4" w:sz="4" w:space="0"/>
        <w:left w:val="single" w:color="FFC000" w:themeColor="accent4" w:sz="4" w:space="0"/>
        <w:bottom w:val="single" w:color="FFC000" w:themeColor="accent4" w:sz="4" w:space="0"/>
        <w:right w:val="single" w:color="FFC000" w:themeColor="accent4" w:sz="4" w:space="0"/>
        <w:insideH w:val="single" w:color="FFC000" w:themeColor="accent4" w:sz="4" w:space="0"/>
        <w:insideV w:val="single" w:color="FFC000" w:themeColor="accent4" w:sz="4" w:space="0"/>
      </w:tblBorders>
    </w:tblPr>
    <w:tblStylePr w:type="fir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Row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fir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lastCol">
      <w:rPr>
        <w:color w:val="F2F2F2"/>
        <w:sz w:val="22"/>
      </w:rPr>
      <w:tblPr/>
      <w:tcPr>
        <w:shd w:val="clear" w:color="FFD865" w:fill="FFD865" w:themeFill="accent4" w:themeFillTint="9a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FFF2CB" w:fill="FFF2CB" w:themeFill="accent4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FFF2CB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blStylePr w:type="firstRow">
      <w:rPr>
        <w:color w:val="F2F2F2"/>
        <w:sz w:val="22"/>
      </w:rPr>
      <w:tblPr/>
      <w:tcPr>
        <w:shd w:val="clear" w:color="5B9BD5" w:fill="5B9BD5" w:themeFill="accent5"/>
      </w:tcPr>
    </w:tblStylePr>
    <w:tblStylePr w:type="lastRow">
      <w:rPr>
        <w:color w:val="F2F2F2"/>
        <w:sz w:val="22"/>
      </w:rPr>
      <w:tblPr/>
      <w:tcPr>
        <w:shd w:val="clear" w:color="5B9BD5" w:fill="5B9BD5" w:themeFill="accent5"/>
      </w:tcPr>
    </w:tblStylePr>
    <w:tblStylePr w:type="firstCol">
      <w:rPr>
        <w:color w:val="F2F2F2"/>
        <w:sz w:val="22"/>
      </w:rPr>
      <w:tblPr/>
      <w:tcPr>
        <w:shd w:val="clear" w:color="5B9BD5" w:fill="5B9BD5" w:themeFill="accent5"/>
      </w:tcPr>
    </w:tblStylePr>
    <w:tblStylePr w:type="lastCol">
      <w:rPr>
        <w:color w:val="F2F2F2"/>
        <w:sz w:val="22"/>
      </w:rPr>
      <w:tblPr/>
      <w:tcPr>
        <w:shd w:val="clear" w:color="5B9BD5" w:fill="5B9BD5" w:themeFill="accent5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DDEAF6" w:fill="DDEAF6" w:themeFill="accent5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DDEAF6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firstRow">
      <w:rPr>
        <w:color w:val="F2F2F2"/>
        <w:sz w:val="22"/>
      </w:rPr>
      <w:tblPr/>
      <w:tcPr>
        <w:shd w:val="clear" w:color="70AD47" w:fill="70AD47" w:themeFill="accent6"/>
      </w:tcPr>
    </w:tblStylePr>
    <w:tblStylePr w:type="lastRow">
      <w:rPr>
        <w:color w:val="F2F2F2"/>
        <w:sz w:val="22"/>
      </w:rPr>
      <w:tblPr/>
      <w:tcPr>
        <w:shd w:val="clear" w:color="70AD47" w:fill="70AD47" w:themeFill="accent6"/>
      </w:tcPr>
    </w:tblStylePr>
    <w:tblStylePr w:type="firstCol">
      <w:rPr>
        <w:color w:val="F2F2F2"/>
        <w:sz w:val="22"/>
      </w:rPr>
      <w:tblPr/>
      <w:tcPr>
        <w:shd w:val="clear" w:color="70AD47" w:fill="70AD47" w:themeFill="accent6"/>
      </w:tcPr>
    </w:tblStylePr>
    <w:tblStylePr w:type="lastCol">
      <w:rPr>
        <w:color w:val="F2F2F2"/>
        <w:sz w:val="22"/>
      </w:rPr>
      <w:tblPr/>
      <w:tcPr>
        <w:shd w:val="clear" w:color="70AD47" w:fill="70AD47" w:themeFill="accent6"/>
      </w:tcPr>
    </w:tblStylePr>
    <w:tblStylePr w:type="band1Vert">
      <w:rPr>
        <w:color w:val="404040"/>
        <w:sz w:val="22"/>
      </w:rPr>
      <w:tblPr/>
    </w:tblStylePr>
    <w:tblStylePr w:type="band2Vert">
      <w:rPr>
        <w:color w:val="404040"/>
        <w:sz w:val="22"/>
      </w:rPr>
      <w:tblPr/>
      <w:tcPr>
        <w:shd w:val="clear" w:color="E1EFD8" w:fill="E1EFD8" w:themeFill="accent6" w:themeFillTint="34"/>
      </w:tcPr>
    </w:tblStylePr>
    <w:tblStylePr w:type="band1Horz">
      <w:rPr>
        <w:color w:val="404040"/>
        <w:sz w:val="22"/>
      </w:rPr>
      <w:tblPr/>
    </w:tblStylePr>
    <w:tblStylePr w:type="band2Horz">
      <w:rPr>
        <w:color w:val="404040"/>
        <w:sz w:val="22"/>
      </w:rPr>
      <w:tblPr/>
      <w:tcPr>
        <w:shd w:val="clear" w:color="E1EFD8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000000" w:themeColor="tex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000000" w:themeColor="tex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000000" w:themeColor="tex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4472C4" w:themeColor="accent1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4472C4" w:themeColor="accent1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4472C4" w:themeColor="accent1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4472C4" w:themeColor="accent1" w:sz="4" w:space="0"/>
          <w:left w:val="single" w:color="4472C4" w:themeColor="accent1" w:sz="4" w:space="0"/>
          <w:bottom w:val="single" w:color="4472C4" w:themeColor="accent1" w:sz="4" w:space="0"/>
          <w:right w:val="single" w:color="4472C4" w:themeColor="accent1" w:sz="4" w:space="0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ED7D31" w:themeColor="accent2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ED7D31" w:themeColor="accent2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ED7D31" w:themeColor="accent2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ED7D31" w:themeColor="accent2" w:sz="4" w:space="0"/>
          <w:left w:val="single" w:color="ED7D31" w:themeColor="accent2" w:sz="4" w:space="0"/>
          <w:bottom w:val="single" w:color="ED7D31" w:themeColor="accent2" w:sz="4" w:space="0"/>
          <w:right w:val="single" w:color="ED7D31" w:themeColor="accent2" w:sz="4" w:space="0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A5A5A5" w:themeColor="accent3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A5A5A5" w:themeColor="accent3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A5A5A5" w:themeColor="accent3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A5A5A5" w:themeColor="accent3" w:sz="4" w:space="0"/>
          <w:left w:val="single" w:color="A5A5A5" w:themeColor="accent3" w:sz="4" w:space="0"/>
          <w:bottom w:val="single" w:color="A5A5A5" w:themeColor="accent3" w:sz="4" w:space="0"/>
          <w:right w:val="single" w:color="A5A5A5" w:themeColor="accent3" w:sz="4" w:space="0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FFC000" w:themeColor="accent4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FFC000" w:themeColor="accent4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FFC000" w:themeColor="accent4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5B9BD5" w:themeColor="accent5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5B9BD5" w:themeColor="accent5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5B9BD5" w:themeColor="accent5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firstRow">
      <w:rPr>
        <w:color w:val="404040"/>
        <w:sz w:val="22"/>
      </w:rPr>
      <w:tblPr/>
      <w:tcPr>
        <w:tcBorders>
          <w:bottom w:val="single" w:color="70AD47" w:themeColor="accent6" w:sz="12" w:space="0"/>
        </w:tcBorders>
      </w:tcPr>
    </w:tblStylePr>
    <w:tblStylePr w:type="lastRow">
      <w:rPr>
        <w:color w:val="404040"/>
        <w:sz w:val="22"/>
      </w:rPr>
      <w:tblPr/>
      <w:tcPr>
        <w:tcBorders>
          <w:top w:val="single" w:color="70AD47" w:themeColor="accent6" w:sz="12" w:space="0"/>
        </w:tcBorders>
      </w:tcPr>
    </w:tblStylePr>
    <w:tblStylePr w:type="firstCol">
      <w:rPr>
        <w:color w:val="404040"/>
        <w:sz w:val="22"/>
      </w:rPr>
      <w:tblPr/>
    </w:tblStylePr>
    <w:tblStylePr w:type="lastCol">
      <w:rPr>
        <w:color w:val="404040"/>
        <w:sz w:val="22"/>
      </w:rPr>
      <w:tblPr/>
      <w:tcPr>
        <w:tcBorders>
          <w:left w:val="single" w:color="70AD47" w:themeColor="accent6" w:sz="12" w:space="0"/>
        </w:tcBorders>
      </w:tcPr>
    </w:tblStylePr>
    <w:tblStylePr w:type="band1Horz">
      <w:rPr>
        <w:color w:val="404040"/>
        <w:sz w:val="22"/>
      </w:rPr>
      <w:tblPr/>
      <w:tcPr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</w:style>
  <w:style w:type="table" w:styleId="affffc">
    <w:name w:val="Table Grid"/>
    <w:basedOn w:val="a1"/>
    <w:uiPriority w:val="3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customStyle="1" w:styleId="1e">
    <w:name w:val="Сетка таблицы1"/>
    <w:basedOn w:val="a1"/>
    <w:uiPriority w:val="39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0D569-44A1-4924-87C9-8DC3E9665D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Application>AlterOffice/3.4.0.8$Linux_X86_64 LibreOffice_project/8f3f3c847f0b8d6fea24e251d3d8ed4f23cbe23c</Application>
  <AppVersion>15.0000</AppVersion>
  <Pages>34</Pages>
  <Words>7662</Words>
  <Characters>57200</Characters>
  <CharactersWithSpaces>63813</CharactersWithSpaces>
  <Paragraphs>1135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2024-10-15T02:43:00Z</dcterms:created>
  <dc:creator>Быстров Олег Геннадьевич</dc:creator>
  <dc:description/>
  <dc:language>ru-RU</dc:language>
  <cp:lastModifiedBy>vinokurovav@sed.local</cp:lastModifiedBy>
  <dcterms:modified xsi:type="dcterms:W3CDTF">2026-09-10T11:31:52Z</dcterms:modified>
  <cp:revision>91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