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7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245" w:hanging="0"/>
        <w:jc w:val="both"/>
        <w:rPr>
          <w:sz w:val="26"/>
          <w:szCs w:val="26"/>
        </w:rPr>
      </w:pPr>
      <w:r>
        <w:rPr>
          <w:sz w:val="26"/>
          <w:szCs w:val="26"/>
        </w:rPr>
        <w:t>«УТВЕРЖДАЮ»</w:t>
      </w:r>
    </w:p>
    <w:p>
      <w:pPr>
        <w:pStyle w:val="Normal"/>
        <w:ind w:left="5245" w:hanging="0"/>
        <w:jc w:val="both"/>
        <w:rPr>
          <w:sz w:val="26"/>
          <w:szCs w:val="26"/>
        </w:rPr>
      </w:pPr>
      <w:r>
        <w:rPr>
          <w:sz w:val="26"/>
          <w:szCs w:val="26"/>
        </w:rPr>
        <w:t>Директор Саяно-Шушенского филиала АО «ТК РусГидро»</w:t>
      </w:r>
    </w:p>
    <w:p>
      <w:pPr>
        <w:pStyle w:val="Normal"/>
        <w:ind w:left="5245"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5245" w:hanging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 В.А. Кяри</w:t>
      </w:r>
    </w:p>
    <w:p>
      <w:pPr>
        <w:pStyle w:val="Style26"/>
        <w:jc w:val="right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cs="Times New Roman" w:ascii="Times New Roman" w:hAnsi="Times New Roman"/>
          <w:sz w:val="24"/>
          <w:szCs w:val="24"/>
          <w:highlight w:val="yellow"/>
          <w:lang w:val="ru-RU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sz w:val="24"/>
          <w:szCs w:val="24"/>
        </w:rPr>
        <w:t>«О</w:t>
      </w:r>
      <w:r>
        <w:rPr>
          <w:sz w:val="24"/>
          <w:szCs w:val="24"/>
        </w:rPr>
        <w:t>КПД2 45.20.11.</w:t>
      </w:r>
      <w:r>
        <w:rPr>
          <w:sz w:val="24"/>
          <w:szCs w:val="24"/>
        </w:rPr>
        <w:t>1</w:t>
      </w:r>
      <w:r>
        <w:rPr>
          <w:sz w:val="24"/>
          <w:szCs w:val="24"/>
        </w:rPr>
        <w:t>00. Услуги по техническому обслуживанию и сопутствующему ремонту негарантийных автомобилей марки TOYOTA, Lexus для нужд Саяно-Шушенского участка Саяно-Шушенского филиала АО "ТК РусГидро"</w:t>
      </w:r>
      <w:r>
        <w:rPr>
          <w:rFonts w:eastAsia="Calibri"/>
          <w:sz w:val="24"/>
          <w:szCs w:val="24"/>
        </w:rPr>
        <w:t>»</w:t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sz w:val="24"/>
          <w:szCs w:val="24"/>
        </w:rPr>
        <w:t>Лот № 40</w:t>
      </w:r>
      <w:r>
        <w:rPr>
          <w:rFonts w:eastAsia="Calibri"/>
          <w:sz w:val="24"/>
          <w:szCs w:val="24"/>
        </w:rPr>
        <w:t>66</w:t>
      </w:r>
      <w:r>
        <w:rPr>
          <w:rFonts w:eastAsia="Calibri"/>
          <w:sz w:val="24"/>
          <w:szCs w:val="24"/>
        </w:rPr>
        <w:t>-ТО ПРОД-202</w:t>
      </w:r>
      <w:r>
        <w:rPr>
          <w:rFonts w:eastAsia="Calibri"/>
          <w:sz w:val="24"/>
          <w:szCs w:val="24"/>
        </w:rPr>
        <w:t>7</w:t>
      </w:r>
      <w:r>
        <w:rPr>
          <w:rFonts w:eastAsia="Calibri"/>
          <w:sz w:val="24"/>
          <w:szCs w:val="24"/>
        </w:rPr>
        <w:t>-ТК-СШФ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>
              <w:color w:val="000000"/>
            </w:rPr>
          </w:pPr>
          <w:r>
            <w:rPr>
              <w:color w:val="000000"/>
              <w:lang w:val="ru-RU"/>
            </w:rPr>
            <w:t>Оглавление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2"/>
              <w:vanish w:val="false"/>
            </w:rPr>
            <w:instrText xml:space="preserve"> TOC \z \o "1-3" \u \h</w:instrText>
          </w:r>
          <w:r>
            <w:rPr>
              <w:webHidden/>
              <w:rStyle w:val="Style12"/>
              <w:vanish w:val="false"/>
            </w:rPr>
            <w:fldChar w:fldCharType="separate"/>
          </w:r>
          <w:hyperlink w:anchor="_Toc220575400">
            <w:r>
              <w:rPr>
                <w:webHidden/>
                <w:rStyle w:val="Style12"/>
                <w:vanish w:val="false"/>
              </w:rPr>
              <w:t>1.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_Toc220575400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20575400">
            <w:r>
              <w:rPr>
                <w:webHidden/>
                <w:rStyle w:val="Style12"/>
                <w:iCs/>
                <w:vanish w:val="false"/>
              </w:rPr>
              <w:t>1.1.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_Toc220575400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20575400">
            <w:r>
              <w:rPr>
                <w:webHidden/>
                <w:rStyle w:val="Style12"/>
                <w:iCs/>
                <w:vanish w:val="false"/>
              </w:rPr>
              <w:t>1.2.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_Toc220575400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</w:rPr>
              <w:t>Наименование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b/>
              <w:bCs/>
              <w:sz w:val="22"/>
              <w:szCs w:val="22"/>
            </w:rPr>
          </w:pPr>
          <w:hyperlink w:anchor="_Toc220575400">
            <w:r>
              <w:rPr>
                <w:webHidden/>
                <w:rStyle w:val="Style12"/>
                <w:iCs/>
                <w:vanish w:val="false"/>
              </w:rPr>
              <w:t>1.3.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_Toc220575400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iCs/>
              </w:rPr>
              <w:tab/>
              <w:t>Цель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0575401">
            <w:r>
              <w:rPr>
                <w:webHidden/>
                <w:rStyle w:val="Style12"/>
                <w:rFonts w:eastAsia="Calibri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_Toc220575401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0575402">
            <w:r>
              <w:rPr>
                <w:webHidden/>
                <w:rStyle w:val="Style12"/>
                <w:rFonts w:eastAsia="Calibri"/>
              </w:rPr>
              <w:t>2.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_Toc220575402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20575403">
            <w:r>
              <w:rPr>
                <w:webHidden/>
                <w:rStyle w:val="Style12"/>
                <w:rFonts w:eastAsia="Calibri"/>
              </w:rPr>
              <w:t>2.1.1.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_Toc220575403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0575404">
            <w:r>
              <w:rPr>
                <w:webHidden/>
                <w:rStyle w:val="Style12"/>
                <w:rFonts w:eastAsia="Calibri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_Toc220575404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20575405">
            <w:r>
              <w:rPr>
                <w:webHidden/>
                <w:rStyle w:val="Style12"/>
                <w:rFonts w:eastAsia="Calibri"/>
              </w:rPr>
              <w:t>2.1.2.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_Toc220575405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0575406">
            <w:r>
              <w:rPr>
                <w:webHidden/>
                <w:rStyle w:val="Style12"/>
                <w:rFonts w:eastAsia="Calibri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_Toc220575406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0575407">
            <w:r>
              <w:rPr>
                <w:webHidden/>
                <w:rStyle w:val="Style12"/>
                <w:rFonts w:eastAsia="Calibri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_Toc220575407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0575410">
            <w:r>
              <w:rPr>
                <w:webHidden/>
                <w:rStyle w:val="Style12"/>
                <w:rFonts w:eastAsia="Calibri"/>
              </w:rPr>
              <w:t>3.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_Toc220575410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0575411">
            <w:r>
              <w:rPr>
                <w:webHidden/>
                <w:rStyle w:val="Style12"/>
                <w:rFonts w:eastAsia="Calibri"/>
              </w:rPr>
              <w:t>4 . 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_Toc220575411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  <w:lang w:val="en-US"/>
        </w:rPr>
      </w:pPr>
      <w:r>
        <w:rPr>
          <w:rFonts w:eastAsia="Calibri"/>
          <w:b/>
          <w:i/>
          <w:sz w:val="24"/>
          <w:szCs w:val="24"/>
          <w:lang w:val="en-US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220575400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46743505"/>
      <w:r>
        <w:rPr/>
        <w:t>Обозначения и сокращения</w:t>
      </w:r>
      <w:bookmarkEnd w:id="1"/>
    </w:p>
    <w:tbl>
      <w:tblPr>
        <w:tblW w:w="93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341"/>
        <w:gridCol w:w="7016"/>
      </w:tblGrid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sz w:val="24"/>
                <w:szCs w:val="24"/>
                <w:shd w:fill="FFFF99" w:val="clear"/>
              </w:rPr>
            </w:pPr>
            <w:r>
              <w:rPr>
                <w:bCs/>
                <w:iCs/>
                <w:sz w:val="24"/>
                <w:szCs w:val="24"/>
              </w:rPr>
              <w:t>АО «ТК РусГидро»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Акционерное общество «Транспортной компании РусГидро»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ДВС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Двигатель внутреннего сгорания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ГРМ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Газораспределительный механизм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Коробка передач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2" w:name="_Toc46743506"/>
      <w:r>
        <w:rPr/>
        <w:t>Наименование закупаемой продукции</w:t>
      </w:r>
      <w:bookmarkEnd w:id="2"/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rStyle w:val="Style7"/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ОКПД2 45.20.11.</w:t>
      </w:r>
      <w:r>
        <w:rPr>
          <w:rFonts w:eastAsia="Calibri"/>
          <w:sz w:val="24"/>
          <w:szCs w:val="24"/>
          <w:lang w:eastAsia="x-none"/>
        </w:rPr>
        <w:t>1</w:t>
      </w:r>
      <w:r>
        <w:rPr>
          <w:rFonts w:eastAsia="Calibri"/>
          <w:sz w:val="24"/>
          <w:szCs w:val="24"/>
          <w:lang w:eastAsia="x-none"/>
        </w:rPr>
        <w:t>00. Услуги по техническому обслуживанию и сопутствующему ремонту негарантийных автомобилей марки TOYOTA, Lexus  для нужд Саяно-Шушенского участка Саяно-Шушенского филиала АО "ТК РусГидро"</w:t>
        <w:br/>
      </w:r>
    </w:p>
    <w:p>
      <w:pPr>
        <w:pStyle w:val="Heading4"/>
        <w:numPr>
          <w:ilvl w:val="1"/>
          <w:numId w:val="3"/>
        </w:numPr>
        <w:spacing w:before="0" w:after="60"/>
        <w:ind w:left="431" w:hanging="431"/>
        <w:rPr/>
      </w:pPr>
      <w:bookmarkStart w:id="3" w:name="_Toc46743507"/>
      <w:r>
        <w:rPr/>
        <w:t xml:space="preserve">Цель </w:t>
      </w:r>
      <w:bookmarkEnd w:id="3"/>
      <w:r>
        <w:rPr>
          <w:lang w:val="ru-RU"/>
        </w:rPr>
        <w:t>оказания услуг</w:t>
      </w:r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7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Проведение технического обслуживания, диагностических и сопутствующих работ с соблюдением Правил оказания услуг (выполнения работ) по техническому обслуживанию и ремонту автомототранспортных средств" утвержденных Постановлением Правительства РФ от 29.05.2025 N 780 (ред. от 27.10.2025), инструкций по эксплуатации транспортных средств, государственных стандартов к техническому состоянию транспортных средств, с целью поддержания надлежащего технического состояния транспортных средств.</w:t>
      </w:r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  <w:lang w:val="ru-RU"/>
        </w:rPr>
      </w:pPr>
      <w:bookmarkStart w:id="4" w:name="_Toc220575401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4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2849"/>
        <w:gridCol w:w="2269"/>
        <w:gridCol w:w="2565"/>
        <w:gridCol w:w="1276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3649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ОКПД2 45.20.11.</w:t>
            </w:r>
            <w:r>
              <w:rPr>
                <w:rFonts w:eastAsia="Calibri"/>
                <w:sz w:val="24"/>
                <w:szCs w:val="24"/>
                <w:lang w:eastAsia="x-none"/>
              </w:rPr>
              <w:t>1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00. </w:t>
            </w:r>
            <w:r>
              <w:rPr>
                <w:sz w:val="24"/>
                <w:szCs w:val="24"/>
              </w:rPr>
              <w:t>Услуги по техническому обслуживанию и сопутствующему ремонту негарантийных автомобилей марки TOYOTA , Lexus  для нужд Саяно-Шушенского участка Саяно-Шушенского филиала АО "ТК РусГидро"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 Республики Хакасия не далее 150 км от места нахождения Заказчика: Республика Хакасия г.Саяногорск р.п.Черёмушки, д. 101.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LEXUS LS 460, LEXUS LS500  TOYOTA LC-200,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TOYOTA LC-150,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TOYOTA CAMRY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5" w:name="_Toc220575402"/>
      <w:bookmarkStart w:id="6" w:name="_Toc51339693"/>
      <w:bookmarkStart w:id="7" w:name="_Hlk482097611"/>
      <w:bookmarkStart w:id="8" w:name="_Toc50125126"/>
      <w:bookmarkEnd w:id="7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5"/>
      <w:bookmarkEnd w:id="6"/>
    </w:p>
    <w:p>
      <w:pPr>
        <w:pStyle w:val="Heading4"/>
        <w:numPr>
          <w:ilvl w:val="1"/>
          <w:numId w:val="3"/>
        </w:numPr>
        <w:rPr/>
      </w:pPr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</w:p>
    <w:p>
      <w:pPr>
        <w:pStyle w:val="Heading3"/>
        <w:numPr>
          <w:ilvl w:val="2"/>
          <w:numId w:val="3"/>
        </w:numPr>
        <w:rPr/>
      </w:pPr>
      <w:bookmarkStart w:id="9" w:name="_Toc220575403"/>
      <w:r>
        <w:rPr>
          <w:lang w:val="ru-RU"/>
        </w:rPr>
        <w:t>Требования к перечню и объему услуг</w:t>
      </w:r>
      <w:bookmarkEnd w:id="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0" w:name="_Toc220575404"/>
      <w:bookmarkStart w:id="11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1"/>
      <w:r>
        <w:rPr>
          <w:sz w:val="24"/>
          <w:szCs w:val="24"/>
          <w:lang w:val="ru-RU"/>
        </w:rPr>
        <w:t>и объем оказываемых услуг</w:t>
      </w:r>
      <w:bookmarkEnd w:id="10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9"/>
        <w:gridCol w:w="4849"/>
        <w:gridCol w:w="1995"/>
        <w:gridCol w:w="211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LEXUS LS500 г.н. А 210 ТВ 777, 2019г.в.,  </w:t>
            </w:r>
            <w:r>
              <w:rPr>
                <w:iCs/>
                <w:sz w:val="24"/>
                <w:szCs w:val="24"/>
                <w:lang w:val="en-US"/>
              </w:rPr>
              <w:t>VIN</w:t>
            </w:r>
            <w:r>
              <w:rPr>
                <w:iCs/>
                <w:sz w:val="24"/>
                <w:szCs w:val="24"/>
              </w:rPr>
              <w:t xml:space="preserve"> JTHC5LFF805006920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ТО-</w:t>
            </w:r>
            <w:r>
              <w:rPr>
                <w:bCs/>
                <w:sz w:val="24"/>
                <w:szCs w:val="24"/>
              </w:rPr>
              <w:t>23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Замена масла в КПП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LEXUS LS 460 О837КО19, 2013г.в.,</w:t>
            </w:r>
            <w:r>
              <w:rPr>
                <w:iCs/>
                <w:sz w:val="24"/>
                <w:szCs w:val="24"/>
                <w:lang w:val="en-US"/>
              </w:rPr>
              <w:t>VIN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color w:val="000000" w:themeColor="text1"/>
                <w:sz w:val="24"/>
                <w:szCs w:val="24"/>
                <w:lang w:val="en-US"/>
              </w:rPr>
              <w:t>JTHDL</w:t>
            </w:r>
            <w:r>
              <w:rPr>
                <w:iCs/>
                <w:color w:val="000000" w:themeColor="text1"/>
                <w:sz w:val="24"/>
                <w:szCs w:val="24"/>
              </w:rPr>
              <w:t>46</w:t>
            </w:r>
            <w:r>
              <w:rPr>
                <w:iCs/>
                <w:color w:val="000000" w:themeColor="text1"/>
                <w:sz w:val="24"/>
                <w:szCs w:val="24"/>
                <w:lang w:val="en-US"/>
              </w:rPr>
              <w:t>F</w:t>
            </w:r>
            <w:r>
              <w:rPr>
                <w:iCs/>
                <w:color w:val="000000" w:themeColor="text1"/>
                <w:sz w:val="24"/>
                <w:szCs w:val="24"/>
              </w:rPr>
              <w:t>905005761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ТО-3</w:t>
            </w:r>
            <w:r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TOYOTA LC-200 А999АА19, 2020г. в.,VIN </w:t>
            </w:r>
            <w:r>
              <w:rPr>
                <w:iCs/>
                <w:color w:val="000000" w:themeColor="text1"/>
                <w:sz w:val="24"/>
                <w:szCs w:val="24"/>
                <w:lang w:val="en-US"/>
              </w:rPr>
              <w:t>JTMHX</w:t>
            </w:r>
            <w:r>
              <w:rPr>
                <w:iCs/>
                <w:color w:val="000000" w:themeColor="text1"/>
                <w:sz w:val="24"/>
                <w:szCs w:val="24"/>
              </w:rPr>
              <w:t>02</w:t>
            </w:r>
            <w:r>
              <w:rPr>
                <w:iCs/>
                <w:color w:val="000000" w:themeColor="text1"/>
                <w:sz w:val="24"/>
                <w:szCs w:val="24"/>
                <w:lang w:val="en-US"/>
              </w:rPr>
              <w:t>J</w:t>
            </w:r>
            <w:r>
              <w:rPr>
                <w:iCs/>
                <w:color w:val="000000" w:themeColor="text1"/>
                <w:sz w:val="24"/>
                <w:szCs w:val="24"/>
              </w:rPr>
              <w:t>504208565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</w:t>
            </w:r>
            <w:r>
              <w:rPr>
                <w:bCs/>
                <w:sz w:val="24"/>
                <w:szCs w:val="24"/>
              </w:rPr>
              <w:t>40</w:t>
            </w:r>
            <w:r>
              <w:rPr>
                <w:bCs/>
                <w:sz w:val="24"/>
                <w:szCs w:val="24"/>
              </w:rPr>
              <w:t xml:space="preserve"> 000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</w:t>
            </w:r>
            <w:r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</w:t>
            </w:r>
            <w:r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ТО-2</w:t>
            </w:r>
            <w:r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0 000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Развал - схождение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Замена масла в КПП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TOYOTA LAND CRUISER PRADO 150 г.н. Н 111 ЕТ 07, </w:t>
            </w:r>
            <w:r>
              <w:rPr>
                <w:iCs/>
                <w:sz w:val="24"/>
                <w:szCs w:val="24"/>
              </w:rPr>
              <w:t>2013г. VIN</w:t>
            </w:r>
            <w:r>
              <w:rPr>
                <w:sz w:val="24"/>
                <w:szCs w:val="24"/>
              </w:rPr>
              <w:t xml:space="preserve"> JTEBU3FJX0K060253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Замена масла в КПП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Замена масла в раздаточной коробке и мостах (передний, задний)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TOYOTA CAMRY г.н У 591 КС 19, </w:t>
            </w:r>
            <w:r>
              <w:rPr>
                <w:sz w:val="24"/>
                <w:szCs w:val="24"/>
              </w:rPr>
              <w:t>2018г.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VIN</w:t>
            </w:r>
            <w:r>
              <w:rPr>
                <w:sz w:val="24"/>
                <w:szCs w:val="24"/>
              </w:rPr>
              <w:t xml:space="preserve"> XW7BF3HK40S115552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Замена масла в КПП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TOYOTA CAMRY г.н. Т 600 ЕУ 19,  </w:t>
            </w:r>
            <w:r>
              <w:rPr>
                <w:iCs/>
                <w:sz w:val="24"/>
                <w:szCs w:val="24"/>
              </w:rPr>
              <w:t>2013г. VIN XW7BK4FK10S005563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Замена масла в КПП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TOYOTA CAMRY г.н. А 868 КТ 19,  </w:t>
            </w:r>
            <w:r>
              <w:rPr>
                <w:iCs/>
                <w:sz w:val="24"/>
                <w:szCs w:val="24"/>
              </w:rPr>
              <w:t>201</w:t>
            </w:r>
            <w:r>
              <w:rPr>
                <w:iCs/>
                <w:sz w:val="24"/>
                <w:szCs w:val="24"/>
              </w:rPr>
              <w:t>2</w:t>
            </w:r>
            <w:r>
              <w:rPr>
                <w:iCs/>
                <w:sz w:val="24"/>
                <w:szCs w:val="24"/>
              </w:rPr>
              <w:t>г. VIN XW7BF4FK90S021272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Замена масла в КПП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TOYOTA CAMRY г.н. Е 500 АА 19, </w:t>
            </w:r>
            <w:r>
              <w:rPr>
                <w:iCs/>
                <w:sz w:val="24"/>
                <w:szCs w:val="24"/>
              </w:rPr>
              <w:t>201</w:t>
            </w:r>
            <w:r>
              <w:rPr>
                <w:iCs/>
                <w:sz w:val="24"/>
                <w:szCs w:val="24"/>
              </w:rPr>
              <w:t>2</w:t>
            </w:r>
            <w:r>
              <w:rPr>
                <w:iCs/>
                <w:sz w:val="24"/>
                <w:szCs w:val="24"/>
              </w:rPr>
              <w:t>г. VIN XW7ВF4FK20S022862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Замена масла в КПП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TOYOTA CAMRY г.н. А 966 КТ 19, </w:t>
            </w:r>
            <w:r>
              <w:rPr>
                <w:iCs/>
                <w:sz w:val="24"/>
                <w:szCs w:val="24"/>
              </w:rPr>
              <w:t>2013г. VIN XW7BE4FK70S025160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Замена масла в КПП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2" w:name="_Toc220575405"/>
      <w:bookmarkStart w:id="13" w:name="_Toc51339696"/>
      <w:r>
        <w:rPr>
          <w:lang w:val="ru-RU"/>
        </w:rPr>
        <w:t xml:space="preserve">Требования </w:t>
      </w:r>
      <w:bookmarkEnd w:id="13"/>
      <w:r>
        <w:rPr>
          <w:lang w:val="ru-RU"/>
        </w:rPr>
        <w:t>к срокам оказания услуг</w:t>
      </w:r>
      <w:bookmarkEnd w:id="1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4" w:name="_Toc220575406"/>
      <w:bookmarkStart w:id="15" w:name="_Toc51339697"/>
      <w:bookmarkStart w:id="16" w:name="_Toc50125127"/>
      <w:bookmarkStart w:id="17" w:name="_Toc501251261"/>
      <w:bookmarkEnd w:id="1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8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5"/>
      <w:bookmarkEnd w:id="16"/>
      <w:bookmarkEnd w:id="18"/>
      <w:r>
        <w:rPr>
          <w:sz w:val="24"/>
          <w:szCs w:val="24"/>
          <w:lang w:val="ru-RU"/>
        </w:rPr>
        <w:t>оказания услуг</w:t>
      </w:r>
      <w:bookmarkEnd w:id="14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5"/>
        <w:gridCol w:w="3005"/>
        <w:gridCol w:w="2983"/>
        <w:gridCol w:w="3112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ОКПД2 45.20.11.</w:t>
            </w:r>
            <w:r>
              <w:rPr>
                <w:rFonts w:eastAsia="Calibri"/>
                <w:sz w:val="24"/>
                <w:szCs w:val="24"/>
                <w:lang w:eastAsia="x-none"/>
              </w:rPr>
              <w:t>1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00. </w:t>
            </w:r>
            <w:r>
              <w:rPr>
                <w:sz w:val="24"/>
                <w:szCs w:val="24"/>
              </w:rPr>
              <w:t>Услуги по техническому обслуживанию и сопутствующему ремонту негарантийных автомобилей марки TOYOTA, Lexus нужд Саяно-Шушенского участка Саяно-Шушенского филиала АО "ТК РусГидро"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момента заключения договора</w:t>
            </w:r>
            <w:r>
              <w:rPr>
                <w:bCs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19" w:name="_Toc46743510"/>
            <w:r>
              <w:rPr>
                <w:bCs/>
                <w:sz w:val="24"/>
                <w:szCs w:val="24"/>
              </w:rPr>
              <w:t>по 31.12.202</w:t>
            </w:r>
            <w:r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г.</w:t>
            </w:r>
            <w:bookmarkEnd w:id="19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24576"/>
        </w:sectPr>
      </w:pPr>
    </w:p>
    <w:p>
      <w:pPr>
        <w:pStyle w:val="Heading4"/>
        <w:numPr>
          <w:ilvl w:val="1"/>
          <w:numId w:val="3"/>
        </w:numPr>
        <w:rPr/>
      </w:pPr>
      <w:bookmarkStart w:id="20" w:name="_Toc51339698"/>
      <w:bookmarkStart w:id="21" w:name="_Toc46743511"/>
      <w:r>
        <w:rPr/>
        <w:t xml:space="preserve">Требования к </w:t>
      </w:r>
      <w:bookmarkEnd w:id="21"/>
      <w:r>
        <w:rPr>
          <w:lang w:val="ru-RU"/>
        </w:rPr>
        <w:t>качеству услуг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22" w:name="_Toc220575407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0"/>
      <w:r>
        <w:rPr>
          <w:sz w:val="24"/>
          <w:szCs w:val="24"/>
          <w:lang w:val="ru-RU"/>
        </w:rPr>
        <w:t>качеству услуг</w:t>
      </w:r>
      <w:bookmarkEnd w:id="22"/>
      <w:r>
        <w:rPr>
          <w:sz w:val="24"/>
          <w:szCs w:val="24"/>
        </w:rPr>
        <w:t xml:space="preserve"> </w:t>
      </w:r>
    </w:p>
    <w:p>
      <w:pPr>
        <w:pStyle w:val="Normal"/>
        <w:rPr>
          <w:bCs/>
          <w:i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 услуг (все позиции Таблицы 2): </w:t>
      </w:r>
      <w:r>
        <w:rPr>
          <w:rFonts w:eastAsia="Calibri"/>
          <w:sz w:val="24"/>
          <w:szCs w:val="24"/>
          <w:lang w:eastAsia="x-none"/>
        </w:rPr>
        <w:t>ОКПД2 45.20.11.</w:t>
      </w:r>
      <w:r>
        <w:rPr>
          <w:rFonts w:eastAsia="Calibri"/>
          <w:sz w:val="24"/>
          <w:szCs w:val="24"/>
          <w:lang w:eastAsia="x-none"/>
        </w:rPr>
        <w:t>1</w:t>
      </w:r>
      <w:r>
        <w:rPr>
          <w:rFonts w:eastAsia="Calibri"/>
          <w:sz w:val="24"/>
          <w:szCs w:val="24"/>
          <w:lang w:eastAsia="x-none"/>
        </w:rPr>
        <w:t xml:space="preserve">00. </w:t>
      </w:r>
      <w:r>
        <w:rPr>
          <w:sz w:val="24"/>
          <w:szCs w:val="24"/>
        </w:rPr>
        <w:t>Услуги по техническому обслуживанию и сопутствующему ремонту негарантийных автомобилей марки TOYOTA, Lexus нужд Саяно-Шушенского участка Саяно-Шушенского филиала АО "ТК РусГидро"</w:t>
      </w:r>
      <w:r>
        <w:rPr>
          <w:bCs/>
        </w:rPr>
        <w:t>.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rStyle w:val="Style7"/>
          <w:b w:val="false"/>
          <w:iCs/>
          <w:sz w:val="24"/>
          <w:szCs w:val="24"/>
        </w:rPr>
        <w:t xml:space="preserve"> </w:t>
      </w:r>
    </w:p>
    <w:tbl>
      <w:tblPr>
        <w:tblStyle w:val="affff8"/>
        <w:tblW w:w="1440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266"/>
        <w:gridCol w:w="5982"/>
        <w:gridCol w:w="2579"/>
        <w:gridCol w:w="2729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98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3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98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7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3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3"/>
          </w:p>
        </w:tc>
        <w:tc>
          <w:tcPr>
            <w:tcW w:w="22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7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0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824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7" w:hanging="37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Услуги по проведению работ по техническому обслуживанию не может превышать более 1 (одних) суток и срок проведения работ по ремонту не может превышать более 30 суток с момента сдачи ТС исполнителю. При невозможности проведения работ по ТО менее 1 (одних) суток и ремонта менее 30 суток с момента сдачи ТС, исполнитель дополнительно согласовывает с заказчиком сроки проведения работ и предоставляет бесплатное хранение ТС на охраняемой территории на время ожидания работ и их проведения.</w:t>
            </w:r>
          </w:p>
        </w:tc>
        <w:tc>
          <w:tcPr>
            <w:tcW w:w="2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4" w:name="_Toc220575408"/>
            <w:bookmarkStart w:id="25" w:name="_Toc219988619"/>
            <w:bookmarkStart w:id="26" w:name="_Toc181254704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24"/>
            <w:bookmarkEnd w:id="25"/>
            <w:bookmarkEnd w:id="26"/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0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824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ТС прошедшие техническое обслуживание и ремонт должны отвечать требованиям, регламентирующим техническое состояние и оборудование ТС, участвующих в дорожном движении, в части, относящейся к обеспечению безопасности дорожного движения (Постановление правительства РФ от 23.10.1993 №1090 «О правилах дорожного движения» 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(ред. от 16.07.2025)).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5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0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сдачи автотранспорта более чем на одни сутки сервисная организация оформляет приемо-сдаточный акт по форме, предусмотренной организацией Заказчика, который подписывают представители обеих сторон. В исключительных случаях осмотр автотранспорта может осуществляться на территории Заказчика.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0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7740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При проведении работ по ТО и/или текущему ремонту преимущественно применение оригинальных запасных частей и расходных материалов, рекомендованных заводом-изготовителем. Услуги оказываются в полном объеме согласно регламенту и требованиям завода-изготовителя автомобилей.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0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7740" w:leader="none"/>
              </w:tabs>
              <w:suppressAutoHyphens w:val="true"/>
              <w:spacing w:before="0" w:after="0"/>
              <w:ind w:left="28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Запасные части, детали и расходные материалы, установленные на ТС в ходе оказания услуг и на которые в установленном порядке Заказчиком оформлена рекламация (претензия к качеству, функционированию), подлежат обязательной замене за счет средств Исполнителя в течение 5 (пяти) рабочих дней.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1.3.3.</w:t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7" w:hanging="0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 случае если в ходе проведения технических воздействий выявлена, необходимость замены как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ой-либо детали, узла или агрегата стоимость, которой или стоимость работы по замене которой превышает 5000 (Пять тысяч) рублей без НДС, Исполнитель обязан провести дополнит</w:t>
            </w:r>
            <w:r>
              <w:rPr>
                <w:rFonts w:cs="Times New Roman"/>
                <w:kern w:val="0"/>
                <w:lang w:val="ru-RU" w:eastAsia="ru-RU" w:bidi="ar-SA"/>
              </w:rPr>
              <w:t>ельное согласование с Заказчиком о необходимости и порядке выполнения данной работы.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1201" w:hRule="atLeast"/>
        </w:trPr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1.3.4.</w:t>
            </w:r>
          </w:p>
        </w:tc>
        <w:tc>
          <w:tcPr>
            <w:tcW w:w="824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240"/>
              <w:ind w:left="37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 требованию Заказчика Исполнитель обязан предоставить сертификат качества на замененные в процессе ремонта запасные части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по требованию заказчика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57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57" w:firstLine="113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240"/>
              <w:ind w:left="37" w:hanging="14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1.3.5.</w:t>
            </w:r>
          </w:p>
        </w:tc>
        <w:tc>
          <w:tcPr>
            <w:tcW w:w="8248" w:type="dxa"/>
            <w:gridSpan w:val="2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7" w:hanging="0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Все расходные материалы, замененные в процессе проведения технического обслуживания и ремонта ТС Заказчика, переходят в собственность Исполнителя, и утилизируются его силами.</w:t>
            </w:r>
          </w:p>
        </w:tc>
        <w:tc>
          <w:tcPr>
            <w:tcW w:w="25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0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качестве предпочтения устанавливаются требования о наличие квалифицированного персонала по обучению программы сервисного обслуживания марок автомобилей, указанных в Таблице №2 – не менее 3 человек.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0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предоставить попозиционный расчет трудозатрат в нормо-часах на произведенный текущий ремонт автомобилей марки «Toyota» или «Lexus» с подтверждением норм трудозатрат в нормо-часах из специализированных информационных систем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27" w:name="_Toc220575409"/>
            <w:bookmarkStart w:id="28" w:name="_Toc219988620"/>
            <w:bookmarkStart w:id="29" w:name="_Toc181254705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27"/>
            <w:bookmarkEnd w:id="28"/>
            <w:bookmarkEnd w:id="29"/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0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Допуск представителей для контроля процесса.</w:t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по требованию Заказчика допускать его представителей для контроля процесса выполнения технологических и ремонтных операций, качества и полноты оказания услуг и в целом выполнения договорных обязательств непосредственно к местам производства работ.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0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Передача автотранспорта после выполнения оказанных услуг</w:t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После выполнения оказанных услуг Исполнитель информирует Заказчика о готовности автотранспорта и передает его по приемо-сдаточному акту. Исполнитель предоставляет Заказчику бесплатное хранение транспортных средств на охраняемой территории на время ожидания работ и их проведения в течение 30 суток.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4.1.1.</w:t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60" w:after="60"/>
              <w:ind w:left="0" w:hanging="0"/>
              <w:contextualSpacing w:val="false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обязан предоставить гарантии на установленные узлы, агрегаты и запасные части согласно срокам, установленных заводом-изготовителем, а на оказанные услуги по текущему ремонту не менее 12 месяцев при условии эксплуатации транспортного средства согласно руководству по эксплуатации.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4.1.2.</w:t>
            </w:r>
          </w:p>
        </w:tc>
        <w:tc>
          <w:tcPr>
            <w:tcW w:w="824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 на проведенные работы по ТО транспортных средств должна составлять не менее 6 месяцев или 10000 км. пробега, что наступит ранее.</w:t>
            </w:r>
          </w:p>
        </w:tc>
        <w:tc>
          <w:tcPr>
            <w:tcW w:w="25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824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579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0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24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Участник должен иметь не менее одной собственной (либо в аренде) производственной базы для проведения ТО и ремонта транспортных средств, площадью не менее 100 м2.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Договор аренды или свидетельство о праве собственности</w:t>
            </w:r>
          </w:p>
        </w:tc>
      </w:tr>
    </w:tbl>
    <w:p>
      <w:pPr>
        <w:sectPr>
          <w:headerReference w:type="default" r:id="rId5"/>
          <w:headerReference w:type="first" r:id="rId6"/>
          <w:footerReference w:type="default" r:id="rId7"/>
          <w:footerReference w:type="first" r:id="rId8"/>
          <w:type w:val="nextPage"/>
          <w:pgSz w:orient="landscape" w:w="16838" w:h="11906"/>
          <w:pgMar w:left="992" w:right="567" w:gutter="0" w:header="680" w:top="851" w:footer="381" w:bottom="851"/>
          <w:pgNumType w:fmt="decimal"/>
          <w:formProt w:val="false"/>
          <w:titlePg/>
          <w:textDirection w:val="lrTb"/>
          <w:docGrid w:type="default" w:linePitch="381" w:charSpace="24576"/>
        </w:sectPr>
      </w:pP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0" w:name="_Toc220575410"/>
      <w:bookmarkStart w:id="31" w:name="_Toc53393312"/>
      <w:bookmarkStart w:id="32" w:name="_Toc53395937"/>
      <w:r>
        <w:rPr>
          <w:lang w:val="ru-RU"/>
        </w:rPr>
        <w:t>Требования к документации по ценообразованию</w:t>
      </w:r>
      <w:bookmarkEnd w:id="31"/>
      <w:bookmarkEnd w:id="32"/>
      <w:r>
        <w:rPr>
          <w:lang w:val="ru-RU"/>
        </w:rPr>
        <w:t xml:space="preserve"> на этапе закупки</w:t>
      </w:r>
      <w:bookmarkEnd w:id="30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коэффициента).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3.2.  Дополнительные документы по ценообразованию (сметная документация) в состав заявки Участника не включаются».</w:t>
      </w:r>
    </w:p>
    <w:p>
      <w:pPr>
        <w:pStyle w:val="Normal"/>
        <w:ind w:right="-2" w:hanging="0"/>
        <w:jc w:val="both"/>
        <w:rPr/>
      </w:pPr>
      <w:r>
        <w:rPr/>
      </w:r>
    </w:p>
    <w:p>
      <w:pPr>
        <w:pStyle w:val="Normal"/>
        <w:ind w:right="-2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Heading1"/>
        <w:keepLines/>
        <w:ind w:left="0" w:hanging="0"/>
        <w:jc w:val="center"/>
        <w:rPr/>
      </w:pPr>
      <w:bookmarkStart w:id="33" w:name="__RefHeading___Toc15026_4083542239"/>
      <w:bookmarkStart w:id="34" w:name="_Toc220575411"/>
      <w:bookmarkEnd w:id="33"/>
      <w:r>
        <w:rPr/>
        <w:t>4 . Приложения</w:t>
      </w:r>
      <w:bookmarkEnd w:id="34"/>
    </w:p>
    <w:p>
      <w:pPr>
        <w:pStyle w:val="Heading1"/>
        <w:keepLines/>
        <w:tabs>
          <w:tab w:val="clear" w:pos="0"/>
        </w:tabs>
        <w:ind w:left="0" w:hanging="0"/>
        <w:rPr>
          <w:rFonts w:eastAsia="Times New Roman"/>
          <w:b w:val="false"/>
          <w:sz w:val="24"/>
          <w:szCs w:val="24"/>
        </w:rPr>
      </w:pPr>
      <w:bookmarkStart w:id="35" w:name="_Toc220575413"/>
      <w:bookmarkStart w:id="36" w:name="_Toc219988626"/>
      <w:r>
        <w:rPr>
          <w:rFonts w:eastAsia="Times New Roman"/>
          <w:b w:val="false"/>
          <w:bCs/>
          <w:iCs/>
          <w:sz w:val="24"/>
          <w:szCs w:val="24"/>
        </w:rPr>
        <w:t>Приложение №4 - Регламент технического обслуживания</w:t>
      </w:r>
      <w:bookmarkEnd w:id="35"/>
      <w:bookmarkEnd w:id="36"/>
    </w:p>
    <w:p>
      <w:pPr>
        <w:pStyle w:val="NoSpacing"/>
        <w:jc w:val="both"/>
        <w:rPr>
          <w:szCs w:val="22"/>
        </w:rPr>
      </w:pPr>
      <w:r>
        <w:rPr>
          <w:szCs w:val="22"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  <w:bookmarkStart w:id="37" w:name="_Toc46743519"/>
      <w:bookmarkStart w:id="38" w:name="_Toc51339699"/>
      <w:bookmarkStart w:id="39" w:name="_Toc46743519"/>
      <w:bookmarkStart w:id="40" w:name="_Toc51339699"/>
      <w:bookmarkEnd w:id="39"/>
      <w:bookmarkEnd w:id="40"/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/>
      </w:pPr>
      <w:r>
        <w:rPr/>
        <w:t>Начальник СШТУ</w:t>
      </w:r>
      <w:r>
        <w:rPr/>
        <w:tab/>
        <w:tab/>
        <w:tab/>
        <w:tab/>
        <w:tab/>
        <w:tab/>
        <w:tab/>
        <w:tab/>
        <w:tab/>
        <w:t>А.А. Сулеков</w:t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sectPr>
          <w:headerReference w:type="default" r:id="rId9"/>
          <w:headerReference w:type="first" r:id="rId10"/>
          <w:footerReference w:type="default" r:id="rId11"/>
          <w:footerReference w:type="first" r:id="rId1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24576"/>
        </w:sect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  <w:r>
        <w:br w:type="page"/>
      </w:r>
    </w:p>
    <w:p>
      <w:pPr>
        <w:pStyle w:val="Normal"/>
        <w:jc w:val="right"/>
        <w:rPr/>
      </w:pPr>
      <w:r>
        <w:rPr>
          <w:sz w:val="24"/>
          <w:szCs w:val="24"/>
        </w:rPr>
        <w:t>Приложение №1 к Техническим требованиям</w:t>
      </w:r>
    </w:p>
    <w:p>
      <w:pPr>
        <w:pStyle w:val="Normal"/>
        <w:jc w:val="center"/>
        <w:rPr>
          <w:b/>
        </w:rPr>
      </w:pPr>
      <w:bookmarkStart w:id="41" w:name="_GoBack"/>
      <w:bookmarkEnd w:id="41"/>
      <w:r>
        <w:rPr>
          <w:b/>
        </w:rPr>
        <w:t>РЕГЛАМЕНТ ТЕХНИЧЕСКОГО ОБСЛУЖИВАНИЯ</w:t>
      </w:r>
    </w:p>
    <w:p>
      <w:pPr>
        <w:pStyle w:val="Heading1"/>
        <w:tabs>
          <w:tab w:val="clear" w:pos="0"/>
          <w:tab w:val="left" w:pos="1224" w:leader="none"/>
        </w:tabs>
        <w:ind w:left="0" w:hanging="0"/>
        <w:rPr>
          <w:color w:val="333333"/>
          <w:sz w:val="18"/>
          <w:szCs w:val="18"/>
        </w:rPr>
      </w:pPr>
      <w:bookmarkStart w:id="42" w:name="_Toc220575414"/>
      <w:bookmarkStart w:id="43" w:name="_Toc219988627"/>
      <w:r>
        <w:rPr>
          <w:b w:val="false"/>
          <w:color w:val="333333"/>
          <w:sz w:val="18"/>
          <w:szCs w:val="18"/>
        </w:rPr>
        <w:t>РЕГЛАМЕНТ ТО ДЛЯ LS 460</w:t>
      </w:r>
      <w:bookmarkEnd w:id="42"/>
      <w:bookmarkEnd w:id="43"/>
    </w:p>
    <w:tbl>
      <w:tblPr>
        <w:tblW w:w="10318" w:type="dxa"/>
        <w:jc w:val="left"/>
        <w:tblInd w:w="-35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 w:noVBand="1" w:noHBand="0" w:lastColumn="0" w:firstColumn="1" w:lastRow="0" w:firstRow="1"/>
      </w:tblPr>
      <w:tblGrid>
        <w:gridCol w:w="8356"/>
        <w:gridCol w:w="1961"/>
      </w:tblGrid>
      <w:tr>
        <w:trPr>
          <w:trHeight w:val="462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18"/>
                <w:szCs w:val="18"/>
              </w:rPr>
              <w:t>Периодичность обслуживания (пробег, тыс. км)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>0</w:t>
            </w:r>
            <w:r>
              <w:rPr>
                <w:rStyle w:val="Strong"/>
                <w:sz w:val="18"/>
                <w:szCs w:val="18"/>
              </w:rPr>
              <w:t xml:space="preserve"> т. км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Двигатель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Проверка, регулировка приводных ремней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Моторное масло, масляный фильтр двигателя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охлаждающей жидкости двигателя, блока управления мощностью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Радиатор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Герметичность системы выпуска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Свечи зажигания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Топливная система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кондиционирования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Топливопровод и заливная горловина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Топливный фильтр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Воздушный фильтр двигателя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Трансмиссия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Жидкость для АКПП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 заднего дифференциала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Ходовая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ШРУСы (приводных валов), пыльники валов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Ступичные подшипники, шарниры подвески, пыльникм шарниров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управления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Люфт, состояние пыльников, течь жидкости ГУР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Тормозная система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Тормозные колодки, суппорты, диски, шланги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Стояночный тормоз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Тормозная жидкость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35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Внутрисалонный фильтр</w:t>
            </w:r>
          </w:p>
        </w:tc>
        <w:tc>
          <w:tcPr>
            <w:tcW w:w="1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35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Системы кондиционирования — проверка работы и давления в системе хладагента</w:t>
            </w:r>
          </w:p>
        </w:tc>
        <w:tc>
          <w:tcPr>
            <w:tcW w:w="1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П/Дозаправка</w:t>
            </w:r>
          </w:p>
        </w:tc>
      </w:tr>
    </w:tbl>
    <w:p>
      <w:pPr>
        <w:pStyle w:val="BodyText"/>
        <w:rPr/>
      </w:pPr>
      <w:r>
        <w:rPr>
          <w:rStyle w:val="Strong"/>
          <w:b w:val="false"/>
          <w:bCs w:val="false"/>
          <w:sz w:val="18"/>
          <w:szCs w:val="18"/>
        </w:rPr>
        <w:t> </w:t>
      </w:r>
      <w:r>
        <w:rPr>
          <w:rStyle w:val="Strong"/>
          <w:b w:val="false"/>
          <w:bCs w:val="false"/>
          <w:sz w:val="18"/>
          <w:szCs w:val="18"/>
        </w:rPr>
        <w:t>* П - проверка,   З — замена</w:t>
      </w:r>
    </w:p>
    <w:p>
      <w:pPr>
        <w:pStyle w:val="Heading1"/>
        <w:tabs>
          <w:tab w:val="clear" w:pos="0"/>
          <w:tab w:val="left" w:pos="1224" w:leader="none"/>
        </w:tabs>
        <w:ind w:left="0" w:hanging="0"/>
        <w:rPr>
          <w:color w:val="333333"/>
          <w:sz w:val="18"/>
          <w:szCs w:val="18"/>
        </w:rPr>
      </w:pPr>
      <w:bookmarkStart w:id="44" w:name="_Toc220575415"/>
      <w:bookmarkStart w:id="45" w:name="_Toc219988628"/>
      <w:r>
        <w:rPr>
          <w:b w:val="false"/>
          <w:color w:val="333333"/>
          <w:sz w:val="18"/>
          <w:szCs w:val="18"/>
        </w:rPr>
        <w:t>РЕГЛАМЕНТ ТО ДЛЯ LS 500</w:t>
      </w:r>
      <w:bookmarkEnd w:id="44"/>
      <w:bookmarkEnd w:id="45"/>
    </w:p>
    <w:tbl>
      <w:tblPr>
        <w:tblW w:w="10318" w:type="dxa"/>
        <w:jc w:val="left"/>
        <w:tblInd w:w="-35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 w:noVBand="1" w:noHBand="0" w:lastColumn="0" w:firstColumn="1" w:lastRow="0" w:firstRow="1"/>
      </w:tblPr>
      <w:tblGrid>
        <w:gridCol w:w="8356"/>
        <w:gridCol w:w="1961"/>
      </w:tblGrid>
      <w:tr>
        <w:trPr>
          <w:trHeight w:val="462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18"/>
                <w:szCs w:val="18"/>
              </w:rPr>
              <w:t>Периодичность обслуживания (пробег, тыс. км)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18"/>
                <w:szCs w:val="18"/>
              </w:rPr>
              <w:t>23</w:t>
            </w:r>
            <w:r>
              <w:rPr>
                <w:b/>
                <w:sz w:val="18"/>
                <w:szCs w:val="18"/>
              </w:rPr>
              <w:t>0</w:t>
            </w:r>
            <w:r>
              <w:rPr>
                <w:rStyle w:val="Strong"/>
                <w:sz w:val="18"/>
                <w:szCs w:val="18"/>
              </w:rPr>
              <w:t xml:space="preserve"> т. км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Двигатель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Проверка, регулировка приводных ремней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Моторное масло, масляный фильтр двигателя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охлаждающей жидкости двигателя, блока управления мощностью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Радиатор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Герметичность системы выпуска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Свечи зажигания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Топливная система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кондиционирования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Топливопровод и заливная горловина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Топливный фильтр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Воздушный фильтр двигателя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Трансмиссия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Жидкость для АКПП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 заднего дифференциала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Ходовая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ШРУСы (приводных валов), пыльники валов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Ступичные подшипники, шарниры подвески, пыльникм шарниров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управления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Люфт, состояние пыльников, течь жидкости ГУР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Тормозная система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Тормозные колодки, суппорты, диски, шланги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Стояночный тормоз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Тормозная жидкость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35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Внутрисалонный фильтр</w:t>
            </w:r>
          </w:p>
        </w:tc>
        <w:tc>
          <w:tcPr>
            <w:tcW w:w="1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89" w:hRule="atLeast"/>
        </w:trPr>
        <w:tc>
          <w:tcPr>
            <w:tcW w:w="8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/>
              <w:t>Системы кондиционирования — проверка работы и давления в системе хладагента</w:t>
            </w:r>
          </w:p>
        </w:tc>
        <w:tc>
          <w:tcPr>
            <w:tcW w:w="1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Дозаправка</w:t>
            </w:r>
          </w:p>
        </w:tc>
      </w:tr>
    </w:tbl>
    <w:p>
      <w:pPr>
        <w:pStyle w:val="BodyText"/>
        <w:rPr/>
      </w:pPr>
      <w:r>
        <w:rPr>
          <w:rStyle w:val="Strong"/>
          <w:b w:val="false"/>
          <w:bCs w:val="false"/>
          <w:sz w:val="18"/>
          <w:szCs w:val="18"/>
        </w:rPr>
        <w:t> </w:t>
      </w:r>
      <w:r>
        <w:rPr>
          <w:rStyle w:val="Strong"/>
          <w:b w:val="false"/>
          <w:bCs w:val="false"/>
          <w:sz w:val="18"/>
          <w:szCs w:val="18"/>
        </w:rPr>
        <w:t>* П - проверка,   З - замена</w:t>
      </w:r>
    </w:p>
    <w:p>
      <w:pPr>
        <w:pStyle w:val="BodyText"/>
        <w:rPr>
          <w:lang w:val="en-US"/>
        </w:rPr>
      </w:pPr>
      <w:r>
        <w:rPr>
          <w:rStyle w:val="Strong"/>
          <w:b w:val="false"/>
          <w:bCs w:val="false"/>
          <w:lang w:val="en-US"/>
        </w:rPr>
        <w:t> </w:t>
      </w:r>
      <w:r>
        <w:rPr>
          <w:sz w:val="18"/>
          <w:szCs w:val="18"/>
        </w:rPr>
        <w:t>РЕГЛАМЕНТ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ТО</w:t>
      </w:r>
      <w:r>
        <w:rPr>
          <w:sz w:val="18"/>
          <w:szCs w:val="18"/>
          <w:lang w:val="en-US"/>
        </w:rPr>
        <w:t xml:space="preserve"> TOYOTA LAND CRUISER 200</w:t>
      </w:r>
      <w:r>
        <w:br w:type="page"/>
      </w:r>
    </w:p>
    <w:tbl>
      <w:tblPr>
        <w:tblW w:w="14613" w:type="dxa"/>
        <w:jc w:val="left"/>
        <w:tblInd w:w="-35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 w:noVBand="1" w:noHBand="0" w:lastColumn="0" w:firstColumn="1" w:lastRow="0" w:firstRow="1"/>
      </w:tblPr>
      <w:tblGrid>
        <w:gridCol w:w="9313"/>
        <w:gridCol w:w="1137"/>
        <w:gridCol w:w="1163"/>
        <w:gridCol w:w="1412"/>
        <w:gridCol w:w="1588"/>
      </w:tblGrid>
      <w:tr>
        <w:trPr>
          <w:trHeight w:val="184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jc w:val="center"/>
              <w:rPr/>
            </w:pPr>
            <w:r>
              <w:rPr>
                <w:b/>
                <w:sz w:val="18"/>
                <w:szCs w:val="18"/>
              </w:rPr>
              <w:t>Периодичность обслуживания (пробег, тыс. км)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0 т. км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0 т. км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0 т. км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>0 т. км</w:t>
            </w:r>
          </w:p>
        </w:tc>
      </w:tr>
      <w:tr>
        <w:trPr>
          <w:trHeight w:val="437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Приводные ремни — проверка, регулировка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396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Моторное масло, масляный фильтр двигателя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З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396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Охлаждающая жидкость двигателя, гидроусилителя руля, омывателей стёкол и фар — проверка уровня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461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Узлы и агрегаты автомобиля — проверка на предмет утечек и внешних повреждений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450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Радиатор — проверка чистоты, проверка соединений шлангов и их правильного расположения, наличия коррозии и т.п.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333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Системы выпуска отработавших газов — проверка на герметичность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Свечи зажигания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25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Топливный фильтр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З 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З 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З 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 </w:t>
            </w:r>
          </w:p>
        </w:tc>
      </w:tr>
      <w:tr>
        <w:trPr>
          <w:trHeight w:val="225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Воздушный фильтр (включая проверку устройства предварительной очистки воздуха, если установлено)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З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89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Топливопроводов — проверка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25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Адсорбер паров топлива — проверка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631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Тормозная система — проверка педали тормоза, состояния тормозных колодок, дисков, суппортов, хода рычага стояночного тормоза, отсутствия утечек, состояния трубопроводов, шлангов, соединений, цилиндров, очистка и смазка тормозных механизмов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15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Стояночный тормоз — проверка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34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Тормозная жидкость — проверка, замена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450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Рулевое управление — проверка отсутствия утечек, люфтов, состояния пыльников, лёгкости вращения рулевого колеса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25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Смазка карданных валов и проверка момента затяжки болтов карданных валов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С/Р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С/Р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С/Р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с/р</w:t>
            </w:r>
          </w:p>
        </w:tc>
      </w:tr>
      <w:tr>
        <w:trPr>
          <w:trHeight w:val="225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Приводные валы и пыльники приводных валов — проверка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89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Шарниры подвесок, пыльники шарниров, люфты ступичных подшипников — проверка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79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Автоматическая трансмиссия (АКПП) — проверка жидкости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25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масла раздаточной коробки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36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Проверка, замена масла переднего дифференциала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25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Проверка, замена масла заднего дифференциала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П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513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Наружные и внутренние световые приборы, звуковые сигналы, стеклоочистители и омыватели — проверка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</w:tr>
      <w:tr>
        <w:trPr>
          <w:trHeight w:val="215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Внутрисалонный фильтр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</w:p>
        </w:tc>
      </w:tr>
      <w:tr>
        <w:trPr>
          <w:trHeight w:val="263" w:hRule="atLeast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Системы кондиционирования — проверка работы и давления в системе хладагента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Дозаправка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Дозаправка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Дозаправка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Дозаправка</w:t>
            </w:r>
          </w:p>
        </w:tc>
      </w:tr>
    </w:tbl>
    <w:p>
      <w:pPr>
        <w:pStyle w:val="BodyText"/>
        <w:rPr/>
      </w:pPr>
      <w:r>
        <w:rPr>
          <w:rStyle w:val="Strong"/>
          <w:b w:val="false"/>
          <w:bCs w:val="false"/>
          <w:sz w:val="18"/>
          <w:szCs w:val="18"/>
        </w:rPr>
        <w:t> </w:t>
      </w:r>
      <w:r>
        <w:rPr>
          <w:rStyle w:val="Strong"/>
          <w:b w:val="false"/>
          <w:bCs w:val="false"/>
          <w:sz w:val="18"/>
          <w:szCs w:val="18"/>
        </w:rPr>
        <w:t>* П - проверка,   З — замена</w:t>
      </w:r>
    </w:p>
    <w:p>
      <w:pPr>
        <w:pStyle w:val="BodyText"/>
        <w:rPr>
          <w:rStyle w:val="Strong"/>
          <w:b w:val="false"/>
          <w:bCs w:val="false"/>
          <w:sz w:val="18"/>
          <w:szCs w:val="18"/>
        </w:rPr>
      </w:pPr>
      <w:r>
        <w:rPr>
          <w:b w:val="false"/>
          <w:bCs w:val="false"/>
          <w:sz w:val="18"/>
          <w:szCs w:val="18"/>
        </w:rPr>
      </w:r>
    </w:p>
    <w:p>
      <w:pPr>
        <w:pStyle w:val="BodyText"/>
        <w:spacing w:before="0" w:after="120"/>
        <w:rPr/>
      </w:pPr>
      <w:r>
        <w:rPr>
          <w:rStyle w:val="Strong"/>
          <w:b w:val="false"/>
          <w:bCs w:val="false"/>
          <w:sz w:val="18"/>
          <w:szCs w:val="18"/>
        </w:rPr>
        <w:t> </w:t>
      </w:r>
    </w:p>
    <w:sectPr>
      <w:headerReference w:type="default" r:id="rId13"/>
      <w:headerReference w:type="first" r:id="rId14"/>
      <w:footerReference w:type="default" r:id="rId15"/>
      <w:footerReference w:type="first" r:id="rId16"/>
      <w:type w:val="nextPage"/>
      <w:pgSz w:orient="landscape" w:w="16838" w:h="11906"/>
      <w:pgMar w:left="1135" w:right="992" w:gutter="0" w:header="1134" w:top="1417" w:footer="0" w:bottom="426"/>
      <w:pgNumType w:fmt="decimal"/>
      <w:formProt w:val="false"/>
      <w:textDirection w:val="lrTb"/>
      <w:docGrid w:type="default" w:linePitch="600" w:charSpace="4915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51474D8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1474D8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1" w:customStyle="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7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22"/>
    <w:qFormat/>
    <w:locked/>
    <w:rsid w:val="00d22f6d"/>
    <w:rPr>
      <w:sz w:val="28"/>
    </w:rPr>
  </w:style>
  <w:style w:type="character" w:styleId="Style4" w:customStyle="1">
    <w:name w:val="Текст сноски Знак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5" w:customStyle="1">
    <w:name w:val="УРОВЕНЬ_1. Знак"/>
    <w:link w:val="111"/>
    <w:qFormat/>
    <w:rsid w:val="004a17ae"/>
    <w:rPr>
      <w:rFonts w:eastAsia="Calibri"/>
      <w:caps/>
      <w:sz w:val="28"/>
      <w:szCs w:val="28"/>
      <w:lang w:eastAsia="en-US"/>
    </w:rPr>
  </w:style>
  <w:style w:type="character" w:styleId="Style12" w:customStyle="1">
    <w:name w:val="Ссылка указателя"/>
    <w:qFormat/>
    <w:rPr/>
  </w:style>
  <w:style w:type="character" w:styleId="Style13" w:customStyle="1">
    <w:name w:val="Символ нумерации"/>
    <w:qFormat/>
    <w:rPr/>
  </w:style>
  <w:style w:type="character" w:styleId="Hyperlink">
    <w:name w:val="Hyperlink"/>
    <w:basedOn w:val="DefaultParagraphFont"/>
    <w:uiPriority w:val="99"/>
    <w:unhideWhenUsed/>
    <w:rsid w:val="00d71ea8"/>
    <w:rPr>
      <w:color w:val="0563C1" w:themeColor="hyperlink"/>
      <w:u w:val="single"/>
    </w:rPr>
  </w:style>
  <w:style w:type="character" w:styleId="Style14" w:customStyle="1">
    <w:name w:val="Символ сноски"/>
    <w:semiHidden/>
    <w:unhideWhenUsed/>
    <w:qFormat/>
    <w:rsid w:val="008d571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rsid w:val="00d561d9"/>
    <w:pPr/>
    <w:rPr/>
  </w:style>
  <w:style w:type="paragraph" w:styleId="16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 w:customStyle="1">
    <w:name w:val="Название1"/>
    <w:basedOn w:val="Normal"/>
    <w:link w:val="Style"/>
    <w:uiPriority w:val="10"/>
    <w:qFormat/>
    <w:rsid w:val="00bd4014"/>
    <w:pPr>
      <w:jc w:val="center"/>
    </w:pPr>
    <w:rPr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</w:rPr>
  </w:style>
  <w:style w:type="paragraph" w:styleId="Style22" w:customStyle="1">
    <w:name w:val="Подпункт"/>
    <w:basedOn w:val="Normal"/>
    <w:link w:val="13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/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</w:rPr>
  </w:style>
  <w:style w:type="paragraph" w:styleId="19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/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1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32037998941" w:customStyle="1">
    <w:name w:val="32037998941"/>
    <w:qFormat/>
  </w:style>
  <w:style w:type="numbering" w:styleId="41355696861" w:customStyle="1">
    <w:name w:val="4135569686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5A551-9300-43BC-9514-13B17E35C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Application>AlterOffice/3.4.0.9$Linux_X86_64 LibreOffice_project/b8daf9e823b1a5463a2f48435ddc2e8696e7d4fc</Application>
  <AppVersion>15.0000</AppVersion>
  <Pages>13</Pages>
  <Words>2021</Words>
  <Characters>12600</Characters>
  <CharactersWithSpaces>14200</CharactersWithSpaces>
  <Paragraphs>534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2024-10-31T06:51:00Z</dcterms:created>
  <dc:creator>Быстров Олег Геннадьевич</dc:creator>
  <dc:description/>
  <dc:language>ru-RU</dc:language>
  <cp:lastModifiedBy>sulekovaa@corp.gidroogk.com</cp:lastModifiedBy>
  <cp:lastPrinted>2026-09-10T10:38:38Z</cp:lastPrinted>
  <dcterms:modified xsi:type="dcterms:W3CDTF">2026-09-10T11:16:37Z</dcterms:modified>
  <cp:revision>28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