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bookmarkStart w:id="0" w:name="тз"/>
      <w:r>
        <w:rPr>
          <w:rFonts w:ascii="Times New Roman" w:hAnsi="Times New Roman"/>
          <w:b/>
          <w:sz w:val="26"/>
        </w:rPr>
        <w:t>ТЕХНИЧЕСКОЕ ЗАДАНИЕ</w:t>
      </w:r>
      <w:bookmarkEnd w:id="0"/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на </w:t>
      </w:r>
      <w:r>
        <w:rPr>
          <w:rFonts w:ascii="Times New Roman" w:hAnsi="Times New Roman"/>
          <w:b/>
          <w:sz w:val="26"/>
        </w:rPr>
        <w:t>оказани</w:t>
      </w:r>
      <w:r>
        <w:rPr>
          <w:rFonts w:ascii="Times New Roman" w:hAnsi="Times New Roman"/>
          <w:b/>
          <w:sz w:val="26"/>
        </w:rPr>
        <w:t>е</w:t>
      </w:r>
      <w:r>
        <w:rPr>
          <w:rFonts w:ascii="Times New Roman" w:hAnsi="Times New Roman"/>
          <w:b/>
          <w:sz w:val="26"/>
        </w:rPr>
        <w:t xml:space="preserve"> Услуг по обслуживанию инфраструктуры Регионального сегмента Единой государственной информационной системы здравоохранения Забайкальского края в составе защищенной сети передачи данных №2351 (СКЗИ) на объектах клиентов юридических лиц и государственных клиентов Заказчика</w:t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2026</w:t>
      </w:r>
    </w:p>
    <w:p>
      <w:pPr>
        <w:pStyle w:val="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ListParagraph2"/>
        <w:numPr>
          <w:ilvl w:val="6"/>
          <w:numId w:val="1"/>
        </w:numPr>
        <w:ind w:firstLine="709" w:start="0"/>
        <w:rPr/>
      </w:pPr>
      <w:r>
        <w:rPr>
          <w:b/>
          <w:bCs/>
        </w:rPr>
        <w:t>Требования к оказанию</w:t>
      </w:r>
      <w:r>
        <w:rPr/>
        <w:t xml:space="preserve"> Услуг по обслуживанию инфраструктуры Регионального сегмента Единой государственной информационной системы здравоохранения Забайкальского края в составе защищенной сети передачи данных №2351 (СКЗИ) на объектах клиентов юридических лиц и государственных клиентов Заказчика. </w:t>
      </w:r>
    </w:p>
    <w:p>
      <w:pPr>
        <w:pStyle w:val="Normal"/>
        <w:ind w:firstLine="709"/>
        <w:rPr>
          <w:rFonts w:ascii="Times New Roman" w:hAnsi="Times New Roman"/>
          <w:spacing w:val="3"/>
        </w:rPr>
      </w:pPr>
      <w:r>
        <w:rPr>
          <w:rFonts w:ascii="Times New Roman" w:hAnsi="Times New Roman"/>
          <w:spacing w:val="3"/>
        </w:rPr>
        <w:t>«Исполнитель» гарантирует качественное оказание Услуг по обслуживанию сети Vipnet №2351 в составе:</w:t>
      </w:r>
    </w:p>
    <w:p>
      <w:pPr>
        <w:pStyle w:val="Normal"/>
        <w:ind w:firstLine="709"/>
        <w:rPr>
          <w:rFonts w:ascii="Times New Roman" w:hAnsi="Times New Roman"/>
          <w:spacing w:val="3"/>
        </w:rPr>
      </w:pPr>
      <w:r>
        <w:rPr>
          <w:rFonts w:ascii="Times New Roman" w:hAnsi="Times New Roman"/>
          <w:spacing w:val="3"/>
        </w:rPr>
        <w:t>- разворачивание базы данных ЦУС, УКЦ (backup) сети ЗСПД 2351 Забайкальского края для развертывания на мощностях Исполнителя;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  <w:lang w:val="en-US"/>
        </w:rPr>
        <w:t xml:space="preserve">- </w:t>
      </w:r>
      <w:r>
        <w:rPr>
          <w:rFonts w:ascii="Times New Roman" w:hAnsi="Times New Roman"/>
          <w:spacing w:val="3"/>
          <w:shd w:fill="auto" w:val="clear"/>
        </w:rPr>
        <w:t>переход</w:t>
      </w:r>
      <w:r>
        <w:rPr>
          <w:rFonts w:ascii="Times New Roman" w:hAnsi="Times New Roman"/>
          <w:spacing w:val="3"/>
          <w:shd w:fill="auto" w:val="clear"/>
          <w:lang w:val="en-US"/>
        </w:rPr>
        <w:t xml:space="preserve"> </w:t>
      </w:r>
      <w:r>
        <w:rPr>
          <w:rFonts w:ascii="Times New Roman" w:hAnsi="Times New Roman"/>
          <w:spacing w:val="3"/>
          <w:shd w:fill="auto" w:val="clear"/>
        </w:rPr>
        <w:t>с</w:t>
      </w:r>
      <w:r>
        <w:rPr>
          <w:rFonts w:ascii="Times New Roman" w:hAnsi="Times New Roman"/>
          <w:spacing w:val="3"/>
          <w:shd w:fill="auto" w:val="clear"/>
          <w:lang w:val="en-US"/>
        </w:rPr>
        <w:t xml:space="preserve"> ViPNet Administrator </w:t>
      </w:r>
      <w:r>
        <w:rPr>
          <w:rFonts w:ascii="Times New Roman" w:hAnsi="Times New Roman"/>
          <w:spacing w:val="3"/>
          <w:shd w:fill="auto" w:val="clear"/>
        </w:rPr>
        <w:t>на</w:t>
      </w:r>
      <w:r>
        <w:rPr>
          <w:rFonts w:ascii="Times New Roman" w:hAnsi="Times New Roman"/>
          <w:spacing w:val="3"/>
          <w:shd w:fill="auto" w:val="clear"/>
          <w:lang w:val="en-US"/>
        </w:rPr>
        <w:t xml:space="preserve"> ViPNet Prime;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обновление программного обеспечения ПАК ViPNet Coordinator HW до версии 5;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настройка межсетевого</w:t>
      </w:r>
      <w:r>
        <w:rPr>
          <w:rFonts w:ascii="Times New Roman" w:hAnsi="Times New Roman"/>
          <w:color w:val="000000"/>
          <w:spacing w:val="3"/>
          <w:shd w:fill="auto" w:val="clear"/>
        </w:rPr>
        <w:t xml:space="preserve"> взаимодействия между доверенными сетями, с которыми было настроено взаимодействие </w:t>
      </w:r>
      <w:r>
        <w:rPr>
          <w:rFonts w:ascii="Times New Roman" w:hAnsi="Times New Roman"/>
          <w:color w:val="000000"/>
          <w:spacing w:val="3"/>
          <w:shd w:fill="auto" w:val="clear"/>
        </w:rPr>
        <w:t>прежней верисии ЦУС</w:t>
      </w:r>
      <w:r>
        <w:rPr>
          <w:rFonts w:ascii="Times New Roman" w:hAnsi="Times New Roman"/>
          <w:color w:val="000000"/>
          <w:spacing w:val="3"/>
          <w:shd w:fill="auto" w:val="clear"/>
        </w:rPr>
        <w:t xml:space="preserve">  ViPNet Administrator;</w:t>
      </w:r>
    </w:p>
    <w:p>
      <w:pPr>
        <w:pStyle w:val="Normal"/>
        <w:ind w:firstLine="709"/>
        <w:rPr>
          <w:color w:val="000000"/>
          <w:highlight w:val="none"/>
          <w:shd w:fill="auto" w:val="clear"/>
        </w:rPr>
      </w:pPr>
      <w:r>
        <w:rPr>
          <w:rFonts w:ascii="Times New Roman" w:hAnsi="Times New Roman"/>
          <w:color w:val="000000"/>
          <w:spacing w:val="3"/>
          <w:shd w:fill="auto" w:val="clear"/>
        </w:rPr>
        <w:t>-</w:t>
      </w:r>
      <w:r>
        <w:rPr>
          <w:rFonts w:ascii="Times New Roman" w:hAnsi="Times New Roman"/>
          <w:color w:val="000000"/>
          <w:spacing w:val="3"/>
          <w:shd w:fill="auto" w:val="clear"/>
        </w:rPr>
        <w:t xml:space="preserve"> 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pacing w:val="3"/>
          <w:shd w:fill="auto" w:val="clear"/>
        </w:rPr>
        <w:t>- администрирование и со</w:t>
      </w:r>
      <w:r>
        <w:rPr>
          <w:rFonts w:ascii="Times New Roman" w:hAnsi="Times New Roman"/>
          <w:spacing w:val="3"/>
          <w:shd w:fill="auto" w:val="clear"/>
        </w:rPr>
        <w:t>провождение защищенной сети №2351;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 xml:space="preserve">- мониторинг узлов защищенной сети №2351 (ПАК ViPNet Coordinator HW»). 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 xml:space="preserve">- разбор заявок клиентов в части касающейся оборудования СКЗИ, диагностика неисправности, выдача рекомендаций по </w:t>
      </w:r>
      <w:r>
        <w:rPr>
          <w:rFonts w:ascii="Times New Roman" w:hAnsi="Times New Roman"/>
          <w:color w:themeColor="dark1" w:val="000000"/>
          <w:spacing w:val="3"/>
          <w:shd w:fill="auto" w:val="clear"/>
        </w:rPr>
        <w:t>устранению неисправности криптоканалов. Перенаправление в соответствии с рекомендациями через представителя Заказчика заявок на подразделение, в чьей зоне ответственности находится неисправность;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color w:themeColor="dark1" w:val="000000"/>
          <w:spacing w:val="3"/>
          <w:shd w:fill="auto" w:val="clear"/>
        </w:rPr>
        <w:t>- настройка маршрутизации в защищенной сети №2351 Забайкальского края в случае получения заявок от клиентов о необходимости связать смежные узлы;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настройка связности медицинских учреждений Забайкальского края и Vipnet клиентов в защищенной сети №2351 с ресурсами Региональной медицинской информационной системы Забайкальского края и другими</w:t>
      </w:r>
      <w:r>
        <w:rPr>
          <w:rFonts w:ascii="Times New Roman" w:hAnsi="Times New Roman"/>
          <w:color w:val="FF0000"/>
          <w:spacing w:val="3"/>
          <w:shd w:fill="auto" w:val="clear"/>
        </w:rPr>
        <w:t xml:space="preserve"> </w:t>
      </w:r>
      <w:r>
        <w:rPr>
          <w:rFonts w:ascii="Times New Roman" w:hAnsi="Times New Roman"/>
          <w:spacing w:val="3"/>
          <w:shd w:fill="auto" w:val="clear"/>
        </w:rPr>
        <w:t>сервисами Министерства здравоохранения Забайкальского края, Государственного учреждения здравоохранения «Медицинский информационно-аналитический центр» (ГУЗ «МИАЦ»), расположенного в региональном ЦОДе;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настройка связности медицинских учреждений Забайкальского края в защищенной сети №2351 с федеральными сервисами ЕГИСЗ, с другими сервисами Минздрава, расположенными в НОП, ГЕОП, ФЦОД, РЦОД ЕГИСЗ и сервисами на других площадках;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инсталляция нового Центра управления сетями (далее – ЦУС) на сервере Исполнителя, организация связности ЦУС со всеми узлами (ПАК и клиентами);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инсталляция нового мониторинга, организация связности мониторинга со всех медицинских учреждений Забайкальского края;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обновление программного обеспечения ПАК, VipnetClient при необходимости;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восстановление работы  ПАК в случае их неисправности, перенос ключей на ПАК из ЗИП, восстановление криптоканалов после замены криптошлюзов, диагностика каналов после восстановления;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выполнение мероприятий по поддержании сети №2351 в исправном состоянии, выдача рекомендаций Заказчику по составу оборудования для замены, в случае необходимости;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настройка оборудования после замены устаревшего оборудования на новое;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оказание услуг будет осуществляться с 8:00 до 17:00 по МСК ежедневно по заявкам Заказчика. В случае</w:t>
      </w:r>
      <w:r>
        <w:rPr>
          <w:rFonts w:ascii="Times New Roman" w:hAnsi="Times New Roman"/>
          <w:color w:val="000000"/>
          <w:spacing w:val="3"/>
          <w:shd w:fill="auto" w:val="clear"/>
        </w:rPr>
        <w:t xml:space="preserve"> </w:t>
      </w:r>
      <w:r>
        <w:rPr>
          <w:rFonts w:ascii="Times New Roman" w:hAnsi="Times New Roman"/>
          <w:color w:val="000000"/>
          <w:spacing w:val="3"/>
          <w:shd w:fill="auto" w:val="clear"/>
        </w:rPr>
        <w:t xml:space="preserve">возникновения критических инцидентов, </w:t>
      </w:r>
      <w:r>
        <w:rPr>
          <w:rFonts w:ascii="Times New Roman" w:hAnsi="Times New Roman"/>
          <w:color w:val="000000"/>
          <w:spacing w:val="3"/>
          <w:shd w:fill="auto" w:val="clear"/>
        </w:rPr>
        <w:t>р</w:t>
      </w:r>
      <w:r>
        <w:rPr>
          <w:rFonts w:ascii="Times New Roman" w:hAnsi="Times New Roman"/>
          <w:spacing w:val="3"/>
          <w:shd w:fill="auto" w:val="clear"/>
        </w:rPr>
        <w:t>аботы по устранению будут осуществляются в вечернее и/или ночное время (при крайней необходимости).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администрирование ЦУС и удостоверя</w:t>
      </w:r>
      <w:bookmarkStart w:id="1" w:name="_GoBack"/>
      <w:bookmarkEnd w:id="1"/>
      <w:r>
        <w:rPr>
          <w:rFonts w:ascii="Times New Roman" w:hAnsi="Times New Roman"/>
          <w:spacing w:val="3"/>
          <w:shd w:fill="auto" w:val="clear"/>
        </w:rPr>
        <w:t>ющего ключевого центра (далее – УКЦ), регулярная замена ключей, смена паролей, мастер ключей;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регистрация ключей и учет криптооборудования в соответствии с требованиями регулятора;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-организация межсетевых взаимодействий с родственными криптосетями, в случае необходимости;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работы в медицинских учреждениях Забайкальского края будут проводиться удаленно при поддержке системных администраторов медицинских учреждений Забайкальского края;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запуск нового оборудования и vipnet клиентов в эксплуатацию по заявкам Заказчика;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оказание помощи системным администраторам медицинских учреждениях Забайкальского края в случае необходимости по проверке связности через криптоканалы. Проведений диагностики прохождения трафика через устройства СКЗИ;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 подготовка заявок для организации связности из защищенной сети Забайкальского края с ресурсами Минздрава РФ;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pacing w:val="3"/>
          <w:shd w:fill="auto" w:val="clear"/>
        </w:rPr>
        <w:t>-взаимодействие с вендором компании ООО «Инфотекс» в- части решения проблем конфигурации, настройки и восстановления работоспособности оборудования в сложных случаях.</w:t>
      </w:r>
    </w:p>
    <w:tbl>
      <w:tblPr>
        <w:tblW w:w="9369" w:type="dxa"/>
        <w:jc w:val="start"/>
        <w:tblInd w:w="32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740"/>
        <w:gridCol w:w="1970"/>
        <w:gridCol w:w="2679"/>
        <w:gridCol w:w="2480"/>
        <w:gridCol w:w="1500"/>
      </w:tblGrid>
      <w:tr>
        <w:trPr>
          <w:trHeight w:val="417" w:hRule="atLeast"/>
        </w:trPr>
        <w:tc>
          <w:tcPr>
            <w:tcW w:w="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№</w:t>
            </w:r>
          </w:p>
        </w:tc>
        <w:tc>
          <w:tcPr>
            <w:tcW w:w="1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Наименование услуги</w:t>
            </w:r>
          </w:p>
        </w:tc>
        <w:tc>
          <w:tcPr>
            <w:tcW w:w="26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Содержание услуги, описание действий Исполнителя при оказании услуги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Результат оказания услуги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Предельный срок исполнения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1.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Настройка Программного комплекса ViPNet Client для рабочих станций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Инсталляция и изменение конфигураций программного обеспечения Программного комплекса ViPNet Client для рабочих станций Исполнителем на АРМ клиента Заказчика.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 xml:space="preserve">Создание и восстановление защищенного соединения на объектах клиентов юридических лиц и государственных клиентов 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2 дня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2.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НастройкаПАК</w:t>
            </w: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  <w:lang w:val="en-US"/>
              </w:rPr>
              <w:t xml:space="preserve"> ViPNet Coordinator HW 100, HW 1000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Изменение конфигураций программного обеспечения ПАКViPNetCoordinatorHW Исполнителем.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 xml:space="preserve">Создание и восстановление защищенного соединения на объектах клиентов юридических лиц и государственных клиентов 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2 дня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3.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Выявление причин неисправности ViPNetCoordinator HW 100, HW 1000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Практические действия Исполнителя, направленные на определение причины нарушения в работе  ПАК ViPNetCoordinatorHW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Определение причин неисправностей, вызвавших нарушения в работе ПАК ViPNetCoordinatorHW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2 дня.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5.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ДиагностикаПАК ViPNet Coordinator HW 100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Практические действия Исполнителя направленные на определение неисправного компонента  ПАК ViPNetCoordinatorHW 100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 xml:space="preserve">Определение неисправного компонентаПАК ViPNetCoordinatorHW 100 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3 дня.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6.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Перепрошивка ПО ПАК ViPNetCoordinatorHW 100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Переустановка программного обеспечения Исполнителем на ПАК ViPNetCoordinatorHW 100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Восстановление работоспособности ПАК ViPNetCoordinatorHW 100»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2 дня.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7.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ДиагностикаПАК ViPNet Coordinator HW 1000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Практические действия Исполнителя направленные на определение неисправного компонента  ПАК ViPNetCoordinatorHW 1000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Определение неисправного компонентаПАК ViPNetCoordinatorHW 1000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2 дня.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8.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576" w:leader="none"/>
              </w:tabs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Перепрошивка ПО ПАК ViPNet Coordinator HW 1000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Переустановка программного обеспечения Исполнителем на ПАК ViPNetCoordinatorHW 1000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Восстановление работоспособности ПАК ViPNetCoordinatorHW 1000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2 дня.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9.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Организация «ЦУС ViPNet»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9.1.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Перенос «ЦУС ViPNet»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Перенос данных сети ViPNet на предварительно подготовленный сервер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Работоспособная сеть ViPNet с управлением из нового центра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3 дня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9.2.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Установка и настройка системы мониторинга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Установка и настройка комплексной системы мониторинга с графиками и сигнализацией об аварийных ситуациях, с подключением к ней новых и имеющихся серверов, коммутаторов, ИБП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Работоспособный комплексный мониторинг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7 дней</w:t>
            </w:r>
          </w:p>
        </w:tc>
      </w:tr>
      <w:tr>
        <w:trPr>
          <w:trHeight w:val="191" w:hRule="atLeast"/>
        </w:trPr>
        <w:tc>
          <w:tcPr>
            <w:tcW w:w="7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10.</w:t>
            </w:r>
          </w:p>
        </w:tc>
        <w:tc>
          <w:tcPr>
            <w:tcW w:w="19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Техническая поддержка защищённой сети</w:t>
            </w:r>
          </w:p>
        </w:tc>
        <w:tc>
          <w:tcPr>
            <w:tcW w:w="26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 xml:space="preserve">Мониторинг и поддержание защищённой сети регионального сегмента ЕГИСЗ в работоспособном состоянии, обновление справочников и ключевой информации, изменение конфигурации и правил доступа по заявкам пользователей. </w:t>
            </w:r>
          </w:p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Детализация состава услуг указана в разделе 2. Технического задания</w:t>
            </w:r>
          </w:p>
        </w:tc>
        <w:tc>
          <w:tcPr>
            <w:tcW w:w="24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Работоспособная защищённая сеть</w:t>
            </w:r>
          </w:p>
        </w:tc>
        <w:tc>
          <w:tcPr>
            <w:tcW w:w="150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Ежедневно</w:t>
            </w:r>
          </w:p>
        </w:tc>
      </w:tr>
    </w:tbl>
    <w:p>
      <w:pPr>
        <w:pStyle w:val="Normal"/>
        <w:ind w:firstLine="709"/>
        <w:jc w:val="end"/>
        <w:rPr>
          <w:rFonts w:ascii="Times New Roman" w:hAnsi="Times New Roman"/>
          <w:b/>
          <w:color w:themeColor="dark1" w:val="000000"/>
          <w:highlight w:val="none"/>
          <w:shd w:fill="auto" w:val="clear"/>
        </w:rPr>
      </w:pPr>
      <w:r>
        <w:rPr>
          <w:rFonts w:ascii="Times New Roman" w:hAnsi="Times New Roman"/>
          <w:b/>
          <w:color w:themeColor="dark1" w:val="000000"/>
          <w:shd w:fill="auto" w:val="clear"/>
        </w:rPr>
      </w:r>
    </w:p>
    <w:p>
      <w:pPr>
        <w:pStyle w:val="ListParagraph2"/>
        <w:numPr>
          <w:ilvl w:val="6"/>
          <w:numId w:val="1"/>
        </w:numPr>
        <w:ind w:firstLine="709" w:start="0"/>
        <w:rPr>
          <w:b/>
          <w:bCs/>
          <w:highlight w:val="none"/>
          <w:shd w:fill="auto" w:val="clear"/>
        </w:rPr>
      </w:pPr>
      <w:r>
        <w:rPr>
          <w:b/>
          <w:bCs/>
          <w:color w:themeColor="dark1" w:val="000000"/>
          <w:shd w:fill="auto" w:val="clear"/>
        </w:rPr>
        <w:t>Детализация состава услуг по Технической поддержке защищённой сети:</w:t>
      </w:r>
    </w:p>
    <w:p>
      <w:pPr>
        <w:pStyle w:val="ListParagraph2"/>
        <w:ind w:start="709"/>
        <w:rPr>
          <w:color w:themeColor="dark1" w:val="000000"/>
          <w:highlight w:val="none"/>
          <w:shd w:fill="auto" w:val="clear"/>
        </w:rPr>
      </w:pPr>
      <w:r>
        <w:rPr>
          <w:color w:themeColor="dark1" w:val="000000"/>
          <w:shd w:fill="auto" w:val="clear"/>
        </w:rPr>
      </w:r>
    </w:p>
    <w:p>
      <w:pPr>
        <w:pStyle w:val="ListParagraph2"/>
        <w:numPr>
          <w:ilvl w:val="1"/>
          <w:numId w:val="2"/>
        </w:numPr>
        <w:rPr>
          <w:b/>
          <w:bCs/>
          <w:highlight w:val="none"/>
          <w:shd w:fill="auto" w:val="clear"/>
        </w:rPr>
      </w:pPr>
      <w:r>
        <w:rPr>
          <w:b/>
          <w:bCs/>
          <w:color w:themeColor="dark1" w:val="000000"/>
          <w:shd w:fill="auto" w:val="clear"/>
        </w:rPr>
        <w:t xml:space="preserve">Состав услуги </w:t>
      </w:r>
    </w:p>
    <w:p>
      <w:pPr>
        <w:pStyle w:val="ListParagraph2"/>
        <w:ind w:start="1069"/>
        <w:rPr>
          <w:color w:themeColor="dark1" w:val="000000"/>
          <w:highlight w:val="none"/>
          <w:shd w:fill="auto" w:val="clear"/>
        </w:rPr>
      </w:pPr>
      <w:r>
        <w:rPr>
          <w:color w:themeColor="dark1" w:val="000000"/>
          <w:shd w:fill="auto" w:val="clear"/>
        </w:rPr>
      </w:r>
    </w:p>
    <w:tbl>
      <w:tblPr>
        <w:tblW w:w="9899" w:type="dxa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743"/>
        <w:gridCol w:w="9156"/>
      </w:tblGrid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№</w:t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Перечень услуг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Услуги по обеспечению работоспособности защищенной сети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ind w:hanging="360" w:start="0"/>
              <w:jc w:val="center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Обеспечение функционирования защищенной сети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ind w:hanging="187" w:start="0"/>
              <w:jc w:val="center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Решение возникающих инцидентов.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ind w:hanging="187" w:start="0"/>
              <w:jc w:val="center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Осуществление мониторинга доступности защищенной сети для своевременного предотвращения и решения инцидентов.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i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color w:themeColor="dark1" w:val="000000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themeColor="dark1" w:val="000000"/>
                <w:kern w:val="0"/>
                <w:szCs w:val="20"/>
                <w:shd w:fill="auto" w:val="clear"/>
              </w:rPr>
              <w:t>Услуги по конфигурированию защищенной сети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ind w:hanging="187" w:start="0"/>
              <w:jc w:val="center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Изменение списка туннелируемых узлов и протоколов (портов) по запросу Заказчика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ind w:hanging="187" w:start="0"/>
              <w:jc w:val="center"/>
              <w:rPr>
                <w:rFonts w:ascii="Times New Roman" w:hAnsi="Times New Roman"/>
                <w:color w:themeColor="dark1"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themeColor="dark1" w:val="000000"/>
                <w:kern w:val="0"/>
                <w:szCs w:val="20"/>
                <w:shd w:fill="auto" w:val="clear"/>
              </w:rPr>
              <w:t>Изменение настроек IP маршрутизации защищенной сети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i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Консультационные услуги по защищенной сети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ind w:hanging="187" w:start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9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Консультирование Заказчика по вопросам функционирования защищенной сети</w:t>
            </w:r>
          </w:p>
        </w:tc>
      </w:tr>
      <w:tr>
        <w:trPr/>
        <w:tc>
          <w:tcPr>
            <w:tcW w:w="989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 xml:space="preserve">Услуги по обновлению сети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  <w:lang w:val="en-US"/>
              </w:rPr>
              <w:t>Vipnet</w:t>
            </w: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 xml:space="preserve"> до версии 5</w:t>
            </w:r>
          </w:p>
        </w:tc>
      </w:tr>
    </w:tbl>
    <w:p>
      <w:pPr>
        <w:pStyle w:val="ListParagraph2"/>
        <w:ind w:start="1069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2"/>
        <w:numPr>
          <w:ilvl w:val="1"/>
          <w:numId w:val="2"/>
        </w:numPr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Количественные показатели услуги </w:t>
      </w:r>
    </w:p>
    <w:tbl>
      <w:tblPr>
        <w:tblW w:w="9759" w:type="dxa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51"/>
        <w:gridCol w:w="5482"/>
        <w:gridCol w:w="1873"/>
        <w:gridCol w:w="1853"/>
      </w:tblGrid>
      <w:tr>
        <w:trPr>
          <w:tblHeader w:val="true"/>
        </w:trPr>
        <w:tc>
          <w:tcPr>
            <w:tcW w:w="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п/п</w:t>
            </w:r>
          </w:p>
        </w:tc>
        <w:tc>
          <w:tcPr>
            <w:tcW w:w="5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Условие/ограничение</w:t>
            </w:r>
          </w:p>
        </w:tc>
        <w:tc>
          <w:tcPr>
            <w:tcW w:w="1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Единица измерения</w:t>
            </w:r>
          </w:p>
        </w:tc>
        <w:tc>
          <w:tcPr>
            <w:tcW w:w="1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Параметр</w:t>
            </w:r>
          </w:p>
        </w:tc>
      </w:tr>
      <w:tr>
        <w:trPr/>
        <w:tc>
          <w:tcPr>
            <w:tcW w:w="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1</w:t>
            </w:r>
          </w:p>
        </w:tc>
        <w:tc>
          <w:tcPr>
            <w:tcW w:w="5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Доступность защищенной сети (совокупный показатель по всем объектам предоставления услуги)</w:t>
            </w:r>
          </w:p>
        </w:tc>
        <w:tc>
          <w:tcPr>
            <w:tcW w:w="1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%/месяц</w:t>
            </w:r>
          </w:p>
        </w:tc>
        <w:tc>
          <w:tcPr>
            <w:tcW w:w="1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Не менее 98%</w:t>
            </w:r>
          </w:p>
        </w:tc>
      </w:tr>
    </w:tbl>
    <w:p>
      <w:pPr>
        <w:pStyle w:val="ListParagraph2"/>
        <w:numPr>
          <w:ilvl w:val="1"/>
          <w:numId w:val="2"/>
        </w:numPr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Регламент оказания услуги</w:t>
      </w:r>
    </w:p>
    <w:p>
      <w:pPr>
        <w:pStyle w:val="ListParagraph2"/>
        <w:numPr>
          <w:ilvl w:val="2"/>
          <w:numId w:val="2"/>
        </w:numPr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предоставления услуг</w:t>
      </w:r>
    </w:p>
    <w:p>
      <w:pPr>
        <w:pStyle w:val="Normal"/>
        <w:ind w:firstLine="54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Обращения, связанные с недоступностью ЗСПД или консультациями по ее функционированию, в службу технической поддержки Оператора ЗСПД - называются сервисными запросами. 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Сервисные запросы принимаются по телефонам _______________ и электронной почте ____________ круглосуточно. </w:t>
      </w:r>
    </w:p>
    <w:p>
      <w:pPr>
        <w:pStyle w:val="Normal"/>
        <w:ind w:firstLine="54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При невозможности решения запросов, зависимых от Заказчика, эскалация на Заказчика производится по следующим телефонам ________________ и электронной почте __________________ круглосуточно.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Исполнитель имеет право вносить изменения и уточнения в регламент взаимодействия, письменно уведомив об этом Заказчика не менее чем за 5 (пять) рабочих дней.</w:t>
      </w:r>
    </w:p>
    <w:p>
      <w:pPr>
        <w:pStyle w:val="Normal"/>
        <w:ind w:firstLine="54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Все сервисные запросы на оказание услуг технической поддержки регистрируются в базе данных системы учета сервисных запросов, далее по тексту СУЗ. 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Для установления степени важности обработки сервисных запросов каждому запросу присваивается приоритет. 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Описание приоритетов</w:t>
      </w:r>
    </w:p>
    <w:tbl>
      <w:tblPr>
        <w:tblW w:w="9759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381"/>
        <w:gridCol w:w="1378"/>
      </w:tblGrid>
      <w:tr>
        <w:trPr>
          <w:tblHeader w:val="true"/>
          <w:trHeight w:val="138" w:hRule="atLeast"/>
        </w:trPr>
        <w:tc>
          <w:tcPr>
            <w:tcW w:w="8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Влияние сервисного запроса на работу ЗСПД</w:t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Приоритет</w:t>
            </w:r>
          </w:p>
        </w:tc>
      </w:tr>
      <w:tr>
        <w:trPr>
          <w:trHeight w:val="525" w:hRule="atLeast"/>
        </w:trPr>
        <w:tc>
          <w:tcPr>
            <w:tcW w:w="8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Аварийная внештатная ситуация, связанная с полной потерей доступности сервисов ЗСПД на всех или одном объекте, в том числе пропадание сетевой связности между узлами ЗСПД</w:t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1</w:t>
            </w:r>
          </w:p>
        </w:tc>
      </w:tr>
      <w:tr>
        <w:trPr>
          <w:trHeight w:val="54" w:hRule="atLeast"/>
        </w:trPr>
        <w:tc>
          <w:tcPr>
            <w:tcW w:w="8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Неисправность, частичная потеря работоспособности оборудования ЗСПД. Возникновение предаварийной ситуации, выявление нестабильной работы оборудования ЗСПД.</w:t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2</w:t>
            </w:r>
          </w:p>
        </w:tc>
      </w:tr>
      <w:tr>
        <w:trPr>
          <w:trHeight w:val="54" w:hRule="atLeast"/>
        </w:trPr>
        <w:tc>
          <w:tcPr>
            <w:tcW w:w="8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Невозможность выполнения вспомогательных функций ЗСПД, проблема оказывает минимальное влияние на выполнение основных функций ЗСПД.</w:t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8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Запрос на изменение конфигурации ЗСПД. Консультация.</w:t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4</w:t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Приоритет сервисного запроса определяется представителем Исполнителя. Пользователь, подавший сервисный запрос, далее по тексту Инициатор. 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В случае установки приоритета сервисного запроса 1 или 2, инженер 1-ой линии СУЗ Оператора ЗСПД может потребовать дополнительное подтверждение соответствия реальной ситуации формальному описанию, приведенному в таблице, а также запроса дополнительной информации. 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В случае успешного решения сервисного запроса инженер 1-ой линии СУЗа Оператора сети доступа к ЗСПД связывается с Инициатором и запрашивает подтверждение на его закрытие. Заказчик обязан проверить решение запроса и сообщить результат решения Исполнителю, в случае неполучения подтверждения решения от Инициатора/Заказчика в течение 3 (трех) рабочих дней с даты его направления запрос (инцидент) считается решенным и подлежит закрытию. 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Независимо от срочности и критичности, следующим группам запросов устанавливается Приоритет 4: </w:t>
      </w:r>
    </w:p>
    <w:p>
      <w:pPr>
        <w:pStyle w:val="Normal"/>
        <w:numPr>
          <w:ilvl w:val="0"/>
          <w:numId w:val="4"/>
        </w:numPr>
        <w:ind w:firstLine="709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запросы, связанные с изменениями конфигурации ЗСПД – списка туннелируемых ресурсов и IP-маршрутизации;</w:t>
      </w:r>
    </w:p>
    <w:p>
      <w:pPr>
        <w:pStyle w:val="Normal"/>
        <w:numPr>
          <w:ilvl w:val="0"/>
          <w:numId w:val="4"/>
        </w:numPr>
        <w:ind w:firstLine="709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консультации по вопросам функционирования ЗСПД.</w:t>
      </w:r>
    </w:p>
    <w:p>
      <w:pPr>
        <w:pStyle w:val="Normal"/>
        <w:ind w:start="709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ListParagraph2"/>
        <w:numPr>
          <w:ilvl w:val="2"/>
          <w:numId w:val="2"/>
        </w:numPr>
        <w:spacing w:before="240" w:after="120"/>
        <w:ind w:hanging="720" w:start="72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Время Реагирования</w:t>
      </w:r>
    </w:p>
    <w:p>
      <w:pPr>
        <w:pStyle w:val="ListParagraph2"/>
        <w:ind w:start="72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Время Реагирования определяется как временной интервал с момента регистрации обращения Инициатора в системе СУЗ Оператора ЗСПД, до момента, когда специалист Оператора сообщит о решении запроса его Инициатору.</w:t>
      </w:r>
    </w:p>
    <w:p>
      <w:pPr>
        <w:pStyle w:val="ListParagraph2"/>
        <w:numPr>
          <w:ilvl w:val="2"/>
          <w:numId w:val="2"/>
        </w:numPr>
        <w:spacing w:before="240" w:after="120"/>
        <w:ind w:hanging="720" w:start="72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Время Восстановления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Время Восстановления определяется как временной интервал, необходимый специалистам Исполнителя для временного восстановления критичного (основного) функционала ЗСПД. В случаях, когда для восстановления возникает необходимость в доступе специалистов Исполнителя на объекты Заказчика, время восстановления не включает в себя время согласования Заказчиком пропусков для допуска.</w:t>
      </w:r>
    </w:p>
    <w:p>
      <w:pPr>
        <w:pStyle w:val="ListParagraph2"/>
        <w:numPr>
          <w:ilvl w:val="2"/>
          <w:numId w:val="2"/>
        </w:numPr>
        <w:spacing w:before="240" w:after="120"/>
        <w:ind w:hanging="720" w:start="72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Время Решения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Время Решения определяется как временной интервал, необходимый специалистам Оператора ЗСПД для предоставления окончательного решения проблемы. В случаях, когда для решения сервисного запроса возникает необходимость в доступе специалистов Исполнителя на объекты Заказчика, время решения не включает в себя время согласования Заказчиком пропусков для допуска.</w:t>
      </w:r>
    </w:p>
    <w:p>
      <w:pPr>
        <w:pStyle w:val="ListParagraph2"/>
        <w:numPr>
          <w:ilvl w:val="2"/>
          <w:numId w:val="2"/>
        </w:numPr>
        <w:spacing w:before="240" w:after="120"/>
        <w:ind w:hanging="720" w:start="72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Временные интервалы</w:t>
      </w:r>
    </w:p>
    <w:tbl>
      <w:tblPr>
        <w:tblW w:w="9661" w:type="dxa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334"/>
        <w:gridCol w:w="2510"/>
        <w:gridCol w:w="1397"/>
        <w:gridCol w:w="1761"/>
        <w:gridCol w:w="1659"/>
      </w:tblGrid>
      <w:tr>
        <w:trPr>
          <w:trHeight w:val="351" w:hRule="atLeast"/>
        </w:trPr>
        <w:tc>
          <w:tcPr>
            <w:tcW w:w="23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6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Параметр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Приоритет</w:t>
            </w:r>
          </w:p>
        </w:tc>
      </w:tr>
      <w:tr>
        <w:trPr>
          <w:trHeight w:val="457" w:hRule="atLeast"/>
        </w:trPr>
        <w:tc>
          <w:tcPr>
            <w:tcW w:w="23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6" w:space="0" w:color="000000"/>
            </w:tcBorders>
            <w:shd w:color="auto" w:fill="BFBFBF" w:val="clear"/>
            <w:vAlign w:val="center"/>
          </w:tcPr>
          <w:p>
            <w:pPr>
              <w:pStyle w:val="Normal"/>
              <w:rPr>
                <w:rFonts w:ascii="XO Thames" w:hAnsi="XO Thames"/>
                <w:color w:val="000000"/>
                <w:kern w:val="0"/>
                <w:szCs w:val="20"/>
                <w:highlight w:val="none"/>
                <w:shd w:fill="auto" w:val="clear"/>
              </w:rPr>
            </w:pPr>
            <w:r>
              <w:rPr>
                <w:rFonts w:ascii="XO Thames" w:hAnsi="XO Thames"/>
                <w:color w:val="000000"/>
                <w:kern w:val="0"/>
                <w:szCs w:val="20"/>
                <w:shd w:fill="auto" w:val="clear"/>
              </w:rPr>
            </w:r>
          </w:p>
        </w:tc>
        <w:tc>
          <w:tcPr>
            <w:tcW w:w="2510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  <w:shd w:fill="auto" w:val="clear"/>
              </w:rPr>
              <w:t>4</w:t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Прием запросов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365 дней в году, 24 часа в сутки, 7 дней в неделю, включая выходные и праздничные дни</w:t>
            </w:r>
          </w:p>
        </w:tc>
      </w:tr>
      <w:tr>
        <w:trPr>
          <w:trHeight w:val="191" w:hRule="atLeast"/>
        </w:trPr>
        <w:tc>
          <w:tcPr>
            <w:tcW w:w="233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Режим обслуживания</w:t>
            </w:r>
          </w:p>
        </w:tc>
        <w:tc>
          <w:tcPr>
            <w:tcW w:w="7327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В рабочие дни, в рабочие часы, с 08-00 до 17-00 по московскому времени</w:t>
            </w:r>
          </w:p>
        </w:tc>
      </w:tr>
      <w:tr>
        <w:trPr>
          <w:trHeight w:val="301" w:hRule="atLeast"/>
        </w:trPr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Время реагирования</w:t>
            </w:r>
          </w:p>
        </w:tc>
        <w:tc>
          <w:tcPr>
            <w:tcW w:w="25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30 минут</w:t>
            </w:r>
          </w:p>
        </w:tc>
        <w:tc>
          <w:tcPr>
            <w:tcW w:w="13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30 минут</w:t>
            </w:r>
          </w:p>
        </w:tc>
        <w:tc>
          <w:tcPr>
            <w:tcW w:w="1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30 минут</w:t>
            </w:r>
          </w:p>
        </w:tc>
        <w:tc>
          <w:tcPr>
            <w:tcW w:w="16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30 минут</w:t>
            </w:r>
          </w:p>
        </w:tc>
      </w:tr>
      <w:tr>
        <w:trPr>
          <w:trHeight w:val="345" w:hRule="atLeast"/>
        </w:trPr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Время восстановления</w:t>
            </w:r>
          </w:p>
        </w:tc>
        <w:tc>
          <w:tcPr>
            <w:tcW w:w="25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4 рабочих часа</w:t>
            </w:r>
          </w:p>
        </w:tc>
        <w:tc>
          <w:tcPr>
            <w:tcW w:w="13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12 рабочих часов</w:t>
            </w:r>
          </w:p>
        </w:tc>
        <w:tc>
          <w:tcPr>
            <w:tcW w:w="1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12 рабочих часа</w:t>
            </w:r>
          </w:p>
        </w:tc>
        <w:tc>
          <w:tcPr>
            <w:tcW w:w="16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48 рабочих часов</w:t>
            </w:r>
          </w:p>
        </w:tc>
      </w:tr>
      <w:tr>
        <w:trPr/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Время решения</w:t>
            </w:r>
          </w:p>
        </w:tc>
        <w:tc>
          <w:tcPr>
            <w:tcW w:w="2510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Не применимо</w:t>
            </w:r>
          </w:p>
        </w:tc>
        <w:tc>
          <w:tcPr>
            <w:tcW w:w="1397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2 дня</w:t>
            </w:r>
          </w:p>
        </w:tc>
        <w:tc>
          <w:tcPr>
            <w:tcW w:w="1761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2 дня</w:t>
            </w:r>
          </w:p>
        </w:tc>
        <w:tc>
          <w:tcPr>
            <w:tcW w:w="165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shd w:fill="auto" w:val="clear"/>
              </w:rPr>
              <w:t>По согласованию с Заказчиком</w:t>
            </w:r>
          </w:p>
        </w:tc>
      </w:tr>
    </w:tbl>
    <w:p>
      <w:pPr>
        <w:pStyle w:val="ListParagraph2"/>
        <w:numPr>
          <w:ilvl w:val="2"/>
          <w:numId w:val="2"/>
        </w:numPr>
        <w:spacing w:before="240" w:after="120"/>
        <w:ind w:hanging="720" w:start="72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 xml:space="preserve">Плановые регламентные и неотложные ремонтные мероприятия по поддержанию бесперебойного ЗСПД. 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О проведении работ и/или возникновении проблем на стороне Заказчика, которые приведут или могут повлечь сбои в оказании услуг Исполнителем, или обращение персонала Заказчика в связи с невозможностью им воспользоваться услугами Исполнителя, Заказчик обязан не менее чем за 2 (два) рабочих часа сообщить о таких ситуациях Исполнителю и оповестить свой (заказчика) персонал. </w:t>
      </w:r>
    </w:p>
    <w:p>
      <w:pPr>
        <w:pStyle w:val="ListParagraph2"/>
        <w:numPr>
          <w:ilvl w:val="2"/>
          <w:numId w:val="2"/>
        </w:numPr>
        <w:spacing w:before="240" w:after="120"/>
        <w:ind w:hanging="720" w:start="72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взаимодействия Сторон при проведении плановых регламентных мероприятий, проводимых Исполнителем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Плановое регламентное обслуживание оборудования и ПО, не связанное с риском возникновения перерыва функционирования ИС или сервиса, проводится Исполнителем в любое время по усмотрению Исполнителя без уведомления Заказчика.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 случае вероятности риска возникновения перерыва функционирования ИС или сервиса при проведении плановых регламентных мероприятий, Исполнитель электронной почтой уведомляет об этом Заказчика не позднее, чем за 8 часов до начала проведения плановых регламентных мероприятий.</w:t>
      </w:r>
    </w:p>
    <w:p>
      <w:pPr>
        <w:pStyle w:val="Normal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 уведомлении должно быть указано:</w:t>
      </w:r>
    </w:p>
    <w:p>
      <w:pPr>
        <w:pStyle w:val="Normal"/>
        <w:numPr>
          <w:ilvl w:val="0"/>
          <w:numId w:val="4"/>
        </w:numPr>
        <w:ind w:firstLine="709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время, дата и продолжительность проведения плановых регламентных мероприятий;</w:t>
      </w:r>
    </w:p>
    <w:p>
      <w:pPr>
        <w:pStyle w:val="Normal"/>
        <w:numPr>
          <w:ilvl w:val="0"/>
          <w:numId w:val="4"/>
        </w:numPr>
        <w:ind w:firstLine="709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предполагаемая продолжительность недоступности Услуги или ее составляющих;</w:t>
      </w:r>
    </w:p>
    <w:p>
      <w:pPr>
        <w:pStyle w:val="Normal"/>
        <w:numPr>
          <w:ilvl w:val="0"/>
          <w:numId w:val="4"/>
        </w:numPr>
        <w:ind w:firstLine="709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контактные данные лица, ответственного за предоставление информации о проводимых мероприятиях.</w:t>
      </w:r>
    </w:p>
    <w:p>
      <w:pPr>
        <w:pStyle w:val="ListParagraph2"/>
        <w:numPr>
          <w:ilvl w:val="2"/>
          <w:numId w:val="2"/>
        </w:numPr>
        <w:ind w:hanging="720" w:start="72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взаимодействия сторон при возникновении аварийных ситуаций и проведении неотложных ремонтных мероприятий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При возникновении аварийных нештатных ситуаций в работе ЗСПД, вызывающих полную потерю доступности, стороны обязуются незамедлительно уведомлять конкретных лиц или группы персонала Исполнителя и/или Заказчика, если устранение неисправности находится в зоне его ответственности, всеми доступными способами оповещения, прежде всего, путем оповещения по телефону.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Стороны обязуются уведомлять друг друга о проведении неотложных ремонтных мероприятиях, находящихся в зоне их ответственности, не позднее, чем за 2 часа до начала проведения неотложных ремонтных мероприятий.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 уведомлении должно быть указано:</w:t>
      </w:r>
    </w:p>
    <w:p>
      <w:pPr>
        <w:pStyle w:val="Normal"/>
        <w:numPr>
          <w:ilvl w:val="0"/>
          <w:numId w:val="4"/>
        </w:numPr>
        <w:ind w:hanging="0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время, дата и продолжительность проведения неотложных ремонтных мероприятий;</w:t>
      </w:r>
    </w:p>
    <w:p>
      <w:pPr>
        <w:pStyle w:val="Normal"/>
        <w:numPr>
          <w:ilvl w:val="0"/>
          <w:numId w:val="4"/>
        </w:numPr>
        <w:ind w:hanging="0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предполагаемая продолжительность недоступности всей/части ЗСПД;</w:t>
      </w:r>
    </w:p>
    <w:p>
      <w:pPr>
        <w:pStyle w:val="Normal"/>
        <w:numPr>
          <w:ilvl w:val="0"/>
          <w:numId w:val="4"/>
        </w:numPr>
        <w:ind w:hanging="0" w:start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контактные данные лица, ответственного за предоставление информации о проводимых мероприятиях.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При нахождении причины инцидента полностью или частично в зоне влияния Заказчика время решения инцидента приостанавливается, а Заказчик обязан оказать все возможное содействие Исполнителю для решения инцидента.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Переписка по поступившей заявке по электронной почте, должна осуществляться Сторонами в режиме ответных писем для возможности отслеживания истории переписки, при этом в теме письма должен быть указан регистрационный номер заявки.</w:t>
      </w:r>
    </w:p>
    <w:p>
      <w:pPr>
        <w:pStyle w:val="Normal"/>
        <w:rPr>
          <w:rFonts w:ascii="Times New Roman" w:hAnsi="Times New Roman"/>
          <w:b/>
          <w:bCs/>
          <w:highlight w:val="none"/>
          <w:shd w:fill="auto" w:val="clear"/>
        </w:rPr>
      </w:pPr>
      <w:r>
        <w:rPr>
          <w:rFonts w:ascii="Times New Roman" w:hAnsi="Times New Roman"/>
          <w:b/>
          <w:bCs/>
          <w:shd w:fill="auto" w:val="clear"/>
        </w:rPr>
      </w:r>
    </w:p>
    <w:p>
      <w:pPr>
        <w:pStyle w:val="Normal"/>
        <w:rPr>
          <w:rFonts w:ascii="Times New Roman" w:hAnsi="Times New Roman"/>
          <w:b/>
          <w:bCs/>
          <w:highlight w:val="none"/>
          <w:shd w:fill="auto" w:val="clear"/>
        </w:rPr>
      </w:pPr>
      <w:r>
        <w:rPr>
          <w:rFonts w:ascii="Times New Roman" w:hAnsi="Times New Roman"/>
          <w:b/>
          <w:bCs/>
          <w:shd w:fill="auto" w:val="clear"/>
        </w:rPr>
        <w:t>3. Дополнительная информация.</w:t>
      </w:r>
    </w:p>
    <w:p>
      <w:pPr>
        <w:pStyle w:val="Normal"/>
        <w:rPr/>
      </w:pPr>
      <w:r>
        <w:rPr>
          <w:rFonts w:ascii="Times New Roman" w:hAnsi="Times New Roman"/>
          <w:shd w:fill="auto" w:val="clear"/>
        </w:rPr>
        <w:t>По имеющейся информации, в сети № 2351 эксплуатируется большое количество криптографических шлюзов с недействующим сертификатом соответствия ФСБ России. Заказчик обязуется предпринять меры по замене устаревшего, с недействующим сертификатом соответствия ФСБ России, оборудования на оборудование с действующем сертификатом соответствия ФСБ России.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2204" w:hanging="360"/>
      </w:pPr>
      <w:rPr>
        <w:rFonts w:ascii="Times New Roman" w:hAnsi="Times New Roman"/>
        <w:b w:val="false"/>
        <w:i w:val="false"/>
        <w:color w:val="000000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8015" w:hanging="360"/>
      </w:pPr>
      <w:rPr>
        <w:rFonts w:ascii="Times New Roman" w:hAnsi="Times New Roman"/>
        <w:i w:val="false"/>
        <w:color w:val="000000"/>
        <w:sz w:val="26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2">
    <w:lvl w:ilvl="0">
      <w:start w:val="2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1069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2138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2847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3916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4985" w:hanging="144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5694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6763" w:hanging="180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7472" w:hanging="180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643" w:hanging="360"/>
      </w:pPr>
      <w:rPr/>
    </w:lvl>
    <w:lvl w:ilvl="1">
      <w:start w:val="4"/>
      <w:numFmt w:val="decimal"/>
      <w:lvlText w:val="%1.%2."/>
      <w:lvlJc w:val="start"/>
      <w:pPr>
        <w:tabs>
          <w:tab w:val="num" w:pos="0"/>
        </w:tabs>
        <w:ind w:start="1392" w:hanging="540"/>
      </w:pPr>
      <w:rPr/>
    </w:lvl>
    <w:lvl w:ilvl="2">
      <w:start w:val="6"/>
      <w:numFmt w:val="decimal"/>
      <w:lvlText w:val="%1.%2.%3."/>
      <w:lvlJc w:val="start"/>
      <w:pPr>
        <w:tabs>
          <w:tab w:val="num" w:pos="0"/>
        </w:tabs>
        <w:ind w:start="213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71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639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208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137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706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6635" w:hanging="1800"/>
      </w:pPr>
      <w:rPr/>
    </w:lvl>
  </w:abstractNum>
  <w:abstractNum w:abstractNumId="4">
    <w:lvl w:ilvl="0">
      <w:start w:val="1"/>
      <w:numFmt w:val="bullet"/>
      <w:lvlText w:val="–"/>
      <w:lvlJc w:val="start"/>
      <w:pPr>
        <w:tabs>
          <w:tab w:val="num" w:pos="0"/>
        </w:tabs>
        <w:ind w:star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2" w:customStyle="1">
    <w:name w:val="List Paragraph2"/>
    <w:basedOn w:val="Normal"/>
    <w:qFormat/>
    <w:pPr>
      <w:ind w:start="708"/>
    </w:pPr>
    <w:rPr>
      <w:rFonts w:ascii="Times New Roman" w:hAnsi="Times New Roman"/>
    </w:rPr>
  </w:style>
  <w:style w:type="paragraph" w:styleId="Default1">
    <w:name w:val="Default1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auto"/>
      <w:kern w:val="2"/>
      <w:sz w:val="24"/>
      <w:szCs w:val="24"/>
      <w:lang w:val="ru-RU" w:eastAsia="zh-CN" w:bidi="hi-IN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LibreOffice/25.8.7.3$Linux_X86_64 LibreOffice_project/30742500f2d3eb4366ac312fa33d3dcabdb3eba5</Application>
  <AppVersion>15.0000</AppVersion>
  <Pages>8</Pages>
  <Words>1850</Words>
  <Characters>13366</Characters>
  <CharactersWithSpaces>15027</CharactersWithSpaces>
  <Paragraphs>195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2026-08-31T09:55:00Z</dcterms:created>
  <dc:creator>vasiliy</dc:creator>
  <dc:description/>
  <dc:language>ru-RU</dc:language>
  <cp:lastModifiedBy/>
  <dcterms:modified xsi:type="dcterms:W3CDTF">2026-09-01T17:09:28Z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