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keepLines/>
        <w:bidi w:val="0"/>
        <w:spacing w:lineRule="auto" w:line="240" w:before="0" w:after="0"/>
        <w:ind w:firstLine="709"/>
        <w:jc w:val="center"/>
        <w:rPr>
          <w:rFonts w:ascii="Times New Roman" w:hAnsi="Times New Roman" w:cs="Times New Roman"/>
          <w:b/>
          <w:bCs/>
          <w:sz w:val="26"/>
          <w:szCs w:val="26"/>
          <w:lang w:eastAsia="ru-RU"/>
        </w:rPr>
      </w:pPr>
      <w:bookmarkStart w:id="0" w:name="тз"/>
      <w:r>
        <w:rPr>
          <w:rFonts w:cs="Times New Roman" w:ascii="Times New Roman" w:hAnsi="Times New Roman"/>
          <w:b/>
          <w:bCs/>
          <w:sz w:val="26"/>
          <w:szCs w:val="26"/>
          <w:lang w:eastAsia="ru-RU"/>
        </w:rPr>
        <w:t>ТЕХНИЧЕСКОЕ ЗАДАНИЕ</w:t>
      </w:r>
      <w:bookmarkEnd w:id="0"/>
    </w:p>
    <w:p>
      <w:pPr>
        <w:pStyle w:val="Normal"/>
        <w:keepNext w:val="true"/>
        <w:keepLines/>
        <w:widowControl w:val="false"/>
        <w:bidi w:val="0"/>
        <w:jc w:val="center"/>
        <w:rPr>
          <w:rFonts w:ascii="Times New Roman" w:hAnsi="Times New Roman" w:cs="Times New Roman"/>
          <w:b/>
          <w:bCs/>
          <w:sz w:val="24"/>
          <w:szCs w:val="24"/>
        </w:rPr>
      </w:pPr>
      <w:r>
        <w:rPr>
          <w:rFonts w:cs="Times New Roman" w:ascii="Times New Roman" w:hAnsi="Times New Roman"/>
          <w:b/>
          <w:bCs/>
          <w:sz w:val="24"/>
          <w:szCs w:val="24"/>
        </w:rPr>
        <w:t>на оказание услуг по поддержке компонентов РС ЕГИСЗ Забайкальского края для медицинских учреждений Забайкальского края</w:t>
      </w:r>
    </w:p>
    <w:p>
      <w:pPr>
        <w:pStyle w:val="Normal"/>
        <w:keepNext w:val="true"/>
        <w:keepLines/>
        <w:numPr>
          <w:ilvl w:val="0"/>
          <w:numId w:val="1"/>
        </w:numPr>
        <w:suppressAutoHyphens w:val="true"/>
        <w:bidi w:val="0"/>
        <w:spacing w:lineRule="auto" w:line="240" w:before="0" w:after="0"/>
        <w:ind w:hanging="357" w:start="714" w:end="-6"/>
        <w:jc w:val="start"/>
        <w:rPr>
          <w:rFonts w:ascii="Times New Roman" w:hAnsi="Times New Roman" w:cs="Times New Roman"/>
          <w:b/>
          <w:sz w:val="24"/>
          <w:szCs w:val="24"/>
        </w:rPr>
      </w:pPr>
      <w:r>
        <w:rPr>
          <w:rFonts w:cs="Times New Roman" w:ascii="Times New Roman" w:hAnsi="Times New Roman"/>
          <w:b/>
          <w:sz w:val="24"/>
          <w:szCs w:val="24"/>
        </w:rPr>
        <w:t>Общие положения</w:t>
      </w:r>
    </w:p>
    <w:p>
      <w:pPr>
        <w:pStyle w:val="Normal"/>
        <w:keepNext w:val="true"/>
        <w:keepLines/>
        <w:suppressAutoHyphens w:val="true"/>
        <w:bidi w:val="0"/>
        <w:ind w:end="-6"/>
        <w:jc w:val="start"/>
        <w:rPr>
          <w:rFonts w:ascii="Times New Roman" w:hAnsi="Times New Roman" w:cs="Times New Roman"/>
          <w:sz w:val="24"/>
          <w:szCs w:val="24"/>
        </w:rPr>
      </w:pPr>
      <w:r>
        <w:rPr>
          <w:rFonts w:cs="Times New Roman" w:ascii="Times New Roman" w:hAnsi="Times New Roman"/>
          <w:sz w:val="24"/>
          <w:szCs w:val="24"/>
        </w:rPr>
      </w:r>
    </w:p>
    <w:p>
      <w:pPr>
        <w:pStyle w:val="Normal"/>
        <w:keepNext w:val="true"/>
        <w:keepLines/>
        <w:suppressAutoHyphens w:val="true"/>
        <w:bidi w:val="0"/>
        <w:ind w:end="-6"/>
        <w:jc w:val="both"/>
        <w:rPr>
          <w:rFonts w:ascii="Times New Roman" w:hAnsi="Times New Roman" w:cs="Times New Roman"/>
          <w:sz w:val="24"/>
          <w:szCs w:val="24"/>
        </w:rPr>
      </w:pPr>
      <w:r>
        <w:rPr>
          <w:rFonts w:cs="Times New Roman" w:ascii="Times New Roman" w:hAnsi="Times New Roman"/>
          <w:sz w:val="24"/>
          <w:szCs w:val="24"/>
        </w:rPr>
        <w:tab/>
        <w:t>Настоящее Приложение является неотъемлемой частью Договора (далее – Договор) и устанавливает состав услуг по поддержке компонентов интеграционной шины в составе инфраструктуры Регионального сегмента Единой государственной информационной системы здравоохранения (далее – РС ЕГИСЗ) Забайкальского края (далее – «Услуги»), а также иные требования к оказываемым Услугам, необходимые для исполнения настоящего Договора.</w:t>
      </w:r>
    </w:p>
    <w:p>
      <w:pPr>
        <w:pStyle w:val="Normal"/>
        <w:keepNext w:val="true"/>
        <w:keepLines/>
        <w:numPr>
          <w:ilvl w:val="0"/>
          <w:numId w:val="1"/>
        </w:numPr>
        <w:suppressAutoHyphens w:val="true"/>
        <w:bidi w:val="0"/>
        <w:spacing w:lineRule="auto" w:line="240" w:before="0" w:after="0"/>
        <w:ind w:hanging="357" w:start="714" w:end="-6"/>
        <w:jc w:val="start"/>
        <w:rPr>
          <w:rFonts w:ascii="Times New Roman" w:hAnsi="Times New Roman" w:cs="Times New Roman"/>
          <w:b/>
          <w:sz w:val="24"/>
          <w:szCs w:val="24"/>
        </w:rPr>
      </w:pPr>
      <w:r>
        <w:rPr>
          <w:rFonts w:cs="Times New Roman" w:ascii="Times New Roman" w:hAnsi="Times New Roman"/>
          <w:b/>
          <w:sz w:val="24"/>
          <w:szCs w:val="24"/>
        </w:rPr>
        <w:t>Термины, определения и обозначения</w:t>
      </w:r>
    </w:p>
    <w:p>
      <w:pPr>
        <w:pStyle w:val="Normal"/>
        <w:keepNext w:val="true"/>
        <w:keepLines/>
        <w:suppressAutoHyphens w:val="true"/>
        <w:bidi w:val="0"/>
        <w:ind w:start="714" w:end="-6"/>
        <w:jc w:val="start"/>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r>
    </w:p>
    <w:p>
      <w:pPr>
        <w:pStyle w:val="Normal"/>
        <w:keepNext w:val="true"/>
        <w:keepLines/>
        <w:bidi w:val="0"/>
        <w:ind w:firstLine="709"/>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color w:val="000000"/>
          <w:sz w:val="24"/>
          <w:szCs w:val="24"/>
          <w:lang w:eastAsia="ru-RU"/>
        </w:rPr>
        <w:t>Заказчик</w:t>
      </w:r>
      <w:r>
        <w:rPr>
          <w:rFonts w:eastAsia="Times New Roman" w:cs="Times New Roman" w:ascii="Times New Roman" w:hAnsi="Times New Roman"/>
          <w:color w:val="000000"/>
          <w:sz w:val="24"/>
          <w:szCs w:val="24"/>
          <w:lang w:eastAsia="ru-RU"/>
        </w:rPr>
        <w:t xml:space="preserve"> – Организация, потребляющая услуги по поддержке компонентов интеграционной шины в составе РС ЕГИСЗ Забайкальского края на основании и в объёме заключенного Договора.</w:t>
      </w:r>
    </w:p>
    <w:p>
      <w:pPr>
        <w:pStyle w:val="Normal"/>
        <w:keepNext w:val="true"/>
        <w:keepLines/>
        <w:bidi w:val="0"/>
        <w:ind w:firstLine="709"/>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color w:val="000000"/>
          <w:sz w:val="24"/>
          <w:szCs w:val="24"/>
          <w:lang w:eastAsia="ru-RU"/>
        </w:rPr>
        <w:t>Генеральный Заказчик</w:t>
      </w:r>
      <w:r>
        <w:rPr>
          <w:rFonts w:eastAsia="Times New Roman" w:cs="Times New Roman" w:ascii="Times New Roman" w:hAnsi="Times New Roman"/>
          <w:color w:val="000000"/>
          <w:sz w:val="24"/>
          <w:szCs w:val="24"/>
          <w:lang w:eastAsia="ru-RU"/>
        </w:rPr>
        <w:t xml:space="preserve"> -</w:t>
        <w:tab/>
        <w:t>Медицинские организации, потребляющая услуги по основаниям и в объёме заключенного Государственного контракта/Договора.</w:t>
      </w:r>
    </w:p>
    <w:p>
      <w:pPr>
        <w:pStyle w:val="Normal"/>
        <w:keepNext w:val="true"/>
        <w:keepLines/>
        <w:bidi w:val="0"/>
        <w:ind w:firstLine="709"/>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color w:val="000000"/>
          <w:sz w:val="24"/>
          <w:szCs w:val="24"/>
          <w:lang w:eastAsia="ru-RU"/>
        </w:rPr>
        <w:t>Исполнитель</w:t>
      </w:r>
      <w:r>
        <w:rPr>
          <w:rFonts w:eastAsia="Times New Roman" w:cs="Times New Roman" w:ascii="Times New Roman" w:hAnsi="Times New Roman"/>
          <w:color w:val="000000"/>
          <w:sz w:val="24"/>
          <w:szCs w:val="24"/>
          <w:lang w:eastAsia="ru-RU"/>
        </w:rPr>
        <w:t xml:space="preserve"> - Организация, предоставляющая услуги по технической поддержке компонентов интеграционной шины на основании и в объёме заключенного Договора.</w:t>
      </w:r>
    </w:p>
    <w:p>
      <w:pPr>
        <w:pStyle w:val="Normal"/>
        <w:keepNext w:val="true"/>
        <w:keepLines/>
        <w:bidi w:val="0"/>
        <w:ind w:firstLine="709"/>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color w:val="000000"/>
          <w:sz w:val="24"/>
          <w:szCs w:val="24"/>
          <w:lang w:eastAsia="ru-RU"/>
        </w:rPr>
        <w:t>МО</w:t>
      </w:r>
      <w:r>
        <w:rPr>
          <w:rFonts w:eastAsia="Times New Roman" w:cs="Times New Roman" w:ascii="Times New Roman" w:hAnsi="Times New Roman"/>
          <w:color w:val="000000"/>
          <w:sz w:val="24"/>
          <w:szCs w:val="24"/>
          <w:lang w:eastAsia="ru-RU"/>
        </w:rPr>
        <w:t xml:space="preserve"> -</w:t>
        <w:tab/>
        <w:t>Медицинская организация.</w:t>
      </w:r>
    </w:p>
    <w:p>
      <w:pPr>
        <w:pStyle w:val="Normal"/>
        <w:keepNext w:val="true"/>
        <w:keepLines/>
        <w:bidi w:val="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color w:val="000000"/>
          <w:sz w:val="24"/>
          <w:szCs w:val="24"/>
          <w:lang w:eastAsia="ru-RU"/>
        </w:rPr>
        <w:t xml:space="preserve">РС ЕГИСЗ </w:t>
      </w:r>
      <w:r>
        <w:rPr>
          <w:rFonts w:eastAsia="Times New Roman" w:cs="Times New Roman" w:ascii="Times New Roman" w:hAnsi="Times New Roman"/>
          <w:color w:val="000000"/>
          <w:sz w:val="24"/>
          <w:szCs w:val="24"/>
          <w:lang w:eastAsia="ru-RU"/>
        </w:rPr>
        <w:t xml:space="preserve">– Региональный сегмент Единой государственной информационной системы в сфере </w:t>
      </w:r>
      <w:r>
        <w:rPr>
          <w:rFonts w:eastAsia="Times New Roman" w:cs="Times New Roman" w:ascii="Times New Roman" w:hAnsi="Times New Roman"/>
          <w:sz w:val="24"/>
          <w:szCs w:val="24"/>
          <w:lang w:eastAsia="ru-RU"/>
        </w:rPr>
        <w:t xml:space="preserve">здравоохранения </w:t>
      </w:r>
    </w:p>
    <w:p>
      <w:pPr>
        <w:pStyle w:val="Normal"/>
        <w:keepNext w:val="true"/>
        <w:keepLines/>
        <w:bidi w:val="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Прикладные компоненты</w:t>
      </w:r>
      <w:r>
        <w:rPr>
          <w:rFonts w:eastAsia="Times New Roman" w:cs="Times New Roman" w:ascii="Times New Roman" w:hAnsi="Times New Roman"/>
          <w:sz w:val="24"/>
          <w:szCs w:val="24"/>
          <w:lang w:eastAsia="ru-RU"/>
        </w:rPr>
        <w:t xml:space="preserve"> – компоненты, которые предназначены для решения конкретных задач пользователя и организации вычислительного процесса информационной системы в целом</w:t>
      </w:r>
    </w:p>
    <w:p>
      <w:pPr>
        <w:pStyle w:val="Normal"/>
        <w:keepNext w:val="true"/>
        <w:keepLines/>
        <w:bidi w:val="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Обеспечивающие компоненты</w:t>
      </w:r>
      <w:r>
        <w:rPr>
          <w:rFonts w:eastAsia="Times New Roman" w:cs="Times New Roman" w:ascii="Times New Roman" w:hAnsi="Times New Roman"/>
          <w:sz w:val="24"/>
          <w:szCs w:val="24"/>
          <w:lang w:eastAsia="ru-RU"/>
        </w:rPr>
        <w:t xml:space="preserve"> – компоненты, обеспечивающие непосредственно обработку и взаимодействие пользователя с ИС</w:t>
      </w:r>
    </w:p>
    <w:p>
      <w:pPr>
        <w:pStyle w:val="Normal"/>
        <w:keepNext w:val="true"/>
        <w:keepLines/>
        <w:numPr>
          <w:ilvl w:val="0"/>
          <w:numId w:val="1"/>
        </w:numPr>
        <w:suppressAutoHyphens w:val="true"/>
        <w:bidi w:val="0"/>
        <w:spacing w:lineRule="auto" w:line="240" w:before="0" w:after="0"/>
        <w:ind w:hanging="360" w:start="644" w:end="-6"/>
        <w:jc w:val="start"/>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t>Цель оказания Услуг</w:t>
      </w:r>
    </w:p>
    <w:p>
      <w:pPr>
        <w:pStyle w:val="Normal"/>
        <w:keepNext w:val="true"/>
        <w:keepLines/>
        <w:bidi w:val="0"/>
        <w:ind w:firstLine="284"/>
        <w:jc w:val="both"/>
        <w:rPr>
          <w:rFonts w:ascii="Times New Roman" w:hAnsi="Times New Roman" w:cs="Times New Roman"/>
          <w:sz w:val="24"/>
          <w:szCs w:val="24"/>
        </w:rPr>
      </w:pPr>
      <w:r>
        <w:rPr>
          <w:rFonts w:cs="Times New Roman" w:ascii="Times New Roman" w:hAnsi="Times New Roman"/>
          <w:sz w:val="24"/>
          <w:szCs w:val="24"/>
        </w:rPr>
      </w:r>
    </w:p>
    <w:p>
      <w:pPr>
        <w:pStyle w:val="Normal"/>
        <w:keepNext w:val="true"/>
        <w:keepLines/>
        <w:bidi w:val="0"/>
        <w:ind w:firstLine="284"/>
        <w:jc w:val="both"/>
        <w:rPr>
          <w:rFonts w:ascii="Times New Roman" w:hAnsi="Times New Roman" w:cs="Times New Roman"/>
          <w:sz w:val="24"/>
          <w:szCs w:val="24"/>
        </w:rPr>
      </w:pPr>
      <w:r>
        <w:rPr>
          <w:rFonts w:cs="Times New Roman" w:ascii="Times New Roman" w:hAnsi="Times New Roman"/>
          <w:sz w:val="24"/>
          <w:szCs w:val="24"/>
        </w:rPr>
        <w:t>Целью оказания Услуг по поддержке компонентов интеграционной шины (программного комплекса «N3.Здравоохранение» (</w:t>
      </w:r>
      <w:hyperlink r:id="rId2">
        <w:r>
          <w:rPr>
            <w:rStyle w:val="Style9"/>
            <w:rFonts w:cs="Times New Roman" w:ascii="Times New Roman" w:hAnsi="Times New Roman"/>
            <w:color w:themeColor="hyperlink" w:val="0000FF"/>
            <w:sz w:val="24"/>
            <w:szCs w:val="24"/>
            <w:u w:val="single"/>
          </w:rPr>
          <w:t>https://reestr.digital.gov.ru/reestr/308143/?sphrase_id=2861856</w:t>
        </w:r>
      </w:hyperlink>
      <w:r>
        <w:rPr>
          <w:rFonts w:cs="Times New Roman" w:ascii="Times New Roman" w:hAnsi="Times New Roman"/>
          <w:sz w:val="24"/>
          <w:szCs w:val="24"/>
        </w:rPr>
        <w:t xml:space="preserve">  )  </w:t>
      </w:r>
    </w:p>
    <w:p>
      <w:pPr>
        <w:pStyle w:val="Normal"/>
        <w:keepNext w:val="true"/>
        <w:keepLines/>
        <w:bidi w:val="0"/>
        <w:ind w:firstLine="284"/>
        <w:jc w:val="both"/>
        <w:rPr>
          <w:rFonts w:ascii="Times New Roman" w:hAnsi="Times New Roman" w:cs="Times New Roman"/>
          <w:color w:themeColor="text1" w:val="000000"/>
          <w:sz w:val="24"/>
          <w:szCs w:val="24"/>
        </w:rPr>
      </w:pPr>
      <w:r>
        <w:rPr>
          <w:rFonts w:cs="Times New Roman" w:ascii="Times New Roman" w:hAnsi="Times New Roman"/>
          <w:sz w:val="24"/>
          <w:szCs w:val="24"/>
        </w:rPr>
        <w:t xml:space="preserve">(Запись в реестре от 09.06.2020 №6793) в составе инфраструктуры Регионального сегмента Единой государственной информационной системы здравоохранения Забайкальского края является повышение качества оказываемых </w:t>
      </w:r>
      <w:r>
        <w:rPr>
          <w:rFonts w:cs="Times New Roman" w:ascii="Times New Roman" w:hAnsi="Times New Roman"/>
          <w:sz w:val="24"/>
          <w:szCs w:val="24"/>
          <w:u w:val="single"/>
        </w:rPr>
        <w:t>Генеральному заказчику</w:t>
      </w:r>
      <w:r>
        <w:rPr>
          <w:rFonts w:cs="Times New Roman" w:ascii="Times New Roman" w:hAnsi="Times New Roman"/>
          <w:sz w:val="24"/>
          <w:szCs w:val="24"/>
        </w:rPr>
        <w:t xml:space="preserve"> услуг унифицированных отлаженных процессов оказания услуг, улучшения качества оказываемой медицинской помощи за счет увеличения преемственности медицинской помощи посредством улучшения информационного взаимодействия между медицинскими организациями, подведомственными Министерству здравоохранения Забайкальского края, оказывающими первичную медико-санитарную помощь, и единой государственной информационной системой в сфере здравоохранения в части обмена структурированной медицинской </w:t>
      </w:r>
      <w:r>
        <w:rPr>
          <w:rFonts w:cs="Times New Roman" w:ascii="Times New Roman" w:hAnsi="Times New Roman"/>
          <w:color w:themeColor="text1" w:val="000000"/>
          <w:sz w:val="24"/>
          <w:szCs w:val="24"/>
        </w:rPr>
        <w:t>документацией в форме электронных документов.</w:t>
      </w:r>
    </w:p>
    <w:p>
      <w:pPr>
        <w:pStyle w:val="Normal"/>
        <w:keepNext w:val="true"/>
        <w:keepLines/>
        <w:numPr>
          <w:ilvl w:val="0"/>
          <w:numId w:val="1"/>
        </w:numPr>
        <w:suppressAutoHyphens w:val="true"/>
        <w:bidi w:val="0"/>
        <w:spacing w:lineRule="auto" w:line="240" w:before="0" w:after="0"/>
        <w:ind w:hanging="360" w:start="644" w:end="-6"/>
        <w:jc w:val="start"/>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t>Состав и назначение оказываемых Услуг</w:t>
      </w:r>
    </w:p>
    <w:p>
      <w:pPr>
        <w:pStyle w:val="Normal"/>
        <w:keepNext w:val="true"/>
        <w:keepLines/>
        <w:suppressAutoHyphens w:val="true"/>
        <w:bidi w:val="0"/>
        <w:ind w:end="-6"/>
        <w:jc w:val="start"/>
        <w:rPr>
          <w:rFonts w:ascii="Times New Roman" w:hAnsi="Times New Roman" w:cs="Times New Roman"/>
          <w:b/>
          <w:color w:themeColor="text1" w:val="000000"/>
          <w:sz w:val="24"/>
          <w:szCs w:val="24"/>
        </w:rPr>
      </w:pPr>
      <w:r>
        <w:rPr>
          <w:rFonts w:cs="Times New Roman" w:ascii="Times New Roman" w:hAnsi="Times New Roman"/>
          <w:b/>
          <w:color w:themeColor="text1" w:val="000000"/>
          <w:sz w:val="24"/>
          <w:szCs w:val="24"/>
        </w:rPr>
      </w:r>
    </w:p>
    <w:p>
      <w:pPr>
        <w:pStyle w:val="Normal"/>
        <w:keepNext w:val="true"/>
        <w:keepLines/>
        <w:suppressAutoHyphens w:val="true"/>
        <w:bidi w:val="0"/>
        <w:ind w:end="-6"/>
        <w:jc w:val="both"/>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tab/>
        <w:t>Перечень компонентов интеграционной шины приведен в Таблице 1 «Перечень компонентов».</w:t>
      </w:r>
    </w:p>
    <w:p>
      <w:pPr>
        <w:pStyle w:val="Normal"/>
        <w:keepNext w:val="true"/>
        <w:keepLines/>
        <w:suppressAutoHyphens w:val="true"/>
        <w:bidi w:val="0"/>
        <w:ind w:end="-6"/>
        <w:jc w:val="both"/>
        <w:rPr>
          <w:rFonts w:ascii="Times New Roman" w:hAnsi="Times New Roman" w:cs="Times New Roman"/>
          <w:b/>
          <w:sz w:val="24"/>
          <w:szCs w:val="24"/>
        </w:rPr>
      </w:pPr>
      <w:r>
        <w:rPr>
          <w:rFonts w:cs="Times New Roman" w:ascii="Times New Roman" w:hAnsi="Times New Roman"/>
          <w:color w:themeColor="text1" w:val="000000"/>
          <w:sz w:val="24"/>
          <w:szCs w:val="24"/>
        </w:rPr>
        <w:tab/>
      </w:r>
      <w:r>
        <w:rPr>
          <w:rFonts w:cs="Times New Roman" w:ascii="Times New Roman" w:hAnsi="Times New Roman"/>
          <w:b/>
          <w:sz w:val="24"/>
          <w:szCs w:val="24"/>
        </w:rPr>
        <w:t>Описание сервиса компонента интеграционной шины «Поддержка компонентов РС ЕГИСЗ Забайкальского края».</w:t>
      </w:r>
    </w:p>
    <w:p>
      <w:pPr>
        <w:pStyle w:val="Normal"/>
        <w:keepNext w:val="true"/>
        <w:keepLines/>
        <w:widowControl w:val="false"/>
        <w:bidi w:val="0"/>
        <w:spacing w:lineRule="auto" w:line="240" w:before="0" w:after="0"/>
        <w:ind w:firstLineChars="470" w:start="0" w:end="0"/>
        <w:jc w:val="both"/>
        <w:rPr>
          <w:rFonts w:ascii="Times New Roman" w:hAnsi="Times New Roman" w:eastAsia="Arial" w:cs="Times New Roman"/>
          <w:b/>
          <w:sz w:val="24"/>
          <w:szCs w:val="24"/>
          <w:lang w:eastAsia="ru-RU"/>
        </w:rPr>
      </w:pPr>
      <w:r>
        <w:rPr>
          <w:rFonts w:eastAsia="Arial" w:cs="Times New Roman" w:ascii="Times New Roman" w:hAnsi="Times New Roman"/>
          <w:b/>
          <w:sz w:val="24"/>
          <w:szCs w:val="24"/>
          <w:lang w:eastAsia="ru-RU"/>
        </w:rPr>
      </w:r>
    </w:p>
    <w:p>
      <w:pPr>
        <w:pStyle w:val="Normal"/>
        <w:keepNext w:val="true"/>
        <w:keepLines/>
        <w:widowControl w:val="false"/>
        <w:bidi w:val="0"/>
        <w:spacing w:lineRule="auto" w:line="240" w:before="0" w:after="0"/>
        <w:ind w:firstLineChars="354" w:start="0" w:end="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bCs/>
          <w:sz w:val="24"/>
          <w:szCs w:val="24"/>
          <w:lang w:eastAsia="ru-RU"/>
        </w:rPr>
        <w:t xml:space="preserve">Сервис </w:t>
      </w:r>
      <w:r>
        <w:rPr>
          <w:rFonts w:eastAsia="Arial" w:cs="Times New Roman" w:ascii="Times New Roman" w:hAnsi="Times New Roman"/>
          <w:bCs/>
          <w:color w:val="000000"/>
          <w:sz w:val="24"/>
          <w:szCs w:val="24"/>
          <w:lang w:eastAsia="ru-RU" w:bidi="ru-RU"/>
        </w:rPr>
        <w:t xml:space="preserve">включает в </w:t>
      </w:r>
      <w:r>
        <w:rPr>
          <w:rFonts w:eastAsia="Arial" w:cs="Times New Roman" w:ascii="Times New Roman" w:hAnsi="Times New Roman"/>
          <w:color w:val="000000"/>
          <w:sz w:val="24"/>
          <w:szCs w:val="24"/>
          <w:lang w:eastAsia="ru-RU" w:bidi="ru-RU"/>
        </w:rPr>
        <w:t>себя обеспечивающие программные компоненты, реализующие ИТ-инфраструктуру</w:t>
      </w:r>
      <w:r>
        <w:rPr>
          <w:rFonts w:eastAsia="Arial" w:cs="Times New Roman" w:ascii="Times New Roman" w:hAnsi="Times New Roman"/>
          <w:sz w:val="24"/>
          <w:szCs w:val="24"/>
          <w:lang w:eastAsia="ru-RU" w:bidi="ru-RU"/>
        </w:rPr>
        <w:t xml:space="preserve">, и прикладные компоненты. </w:t>
      </w:r>
      <w:r>
        <w:rPr>
          <w:rFonts w:eastAsia="Arial" w:cs="Times New Roman" w:ascii="Times New Roman" w:hAnsi="Times New Roman"/>
          <w:color w:val="000000"/>
          <w:sz w:val="24"/>
          <w:szCs w:val="24"/>
          <w:lang w:eastAsia="ru-RU" w:bidi="ru-RU"/>
        </w:rPr>
        <w:t>Прикладные компоненты платформы обеспечивают исполнение сквозных процессов здравоохранения, сбор и обработку данных из разных источников, автоматизированное формирование отчетности.</w:t>
      </w:r>
    </w:p>
    <w:p>
      <w:pPr>
        <w:pStyle w:val="Normal"/>
        <w:keepNext w:val="true"/>
        <w:keepLines/>
        <w:widowControl w:val="false"/>
        <w:bidi w:val="0"/>
        <w:spacing w:lineRule="auto" w:line="240" w:before="0" w:after="0"/>
        <w:ind w:firstLineChars="470" w:start="0" w:end="0"/>
        <w:jc w:val="end"/>
        <w:rPr>
          <w:rFonts w:ascii="Times New Roman" w:hAnsi="Times New Roman" w:eastAsia="Arial" w:cs="Times New Roman"/>
          <w:sz w:val="24"/>
          <w:szCs w:val="24"/>
          <w:lang w:eastAsia="ru-RU"/>
        </w:rPr>
      </w:pPr>
      <w:r>
        <w:rPr>
          <w:rFonts w:eastAsia="Arial" w:cs="Times New Roman" w:ascii="Times New Roman" w:hAnsi="Times New Roman"/>
          <w:color w:val="000000"/>
          <w:sz w:val="24"/>
          <w:szCs w:val="24"/>
          <w:lang w:eastAsia="ru-RU" w:bidi="ru-RU"/>
        </w:rPr>
        <w:t>Таблица №1</w:t>
      </w:r>
    </w:p>
    <w:tbl>
      <w:tblPr>
        <w:tblpPr w:vertAnchor="text" w:horzAnchor="margin" w:tblpXSpec="right" w:leftFromText="180" w:rightFromText="180" w:tblpY="116"/>
        <w:tblOverlap w:val="never"/>
        <w:tblW w:w="10116" w:type="dxa"/>
        <w:jc w:val="end"/>
        <w:tblInd w:w="0" w:type="dxa"/>
        <w:tblLayout w:type="fixed"/>
        <w:tblCellMar>
          <w:top w:w="0" w:type="dxa"/>
          <w:start w:w="10" w:type="dxa"/>
          <w:bottom w:w="0" w:type="dxa"/>
          <w:end w:w="10" w:type="dxa"/>
        </w:tblCellMar>
        <w:tblLook w:val="04a0" w:noHBand="0" w:noVBand="1" w:firstColumn="1" w:lastRow="0" w:lastColumn="0" w:firstRow="1"/>
      </w:tblPr>
      <w:tblGrid>
        <w:gridCol w:w="5985"/>
        <w:gridCol w:w="4131"/>
      </w:tblGrid>
      <w:tr>
        <w:trPr>
          <w:trHeight w:val="578" w:hRule="exact"/>
        </w:trPr>
        <w:tc>
          <w:tcPr>
            <w:tcW w:w="598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hanging="2" w:start="142"/>
              <w:jc w:val="center"/>
              <w:rPr>
                <w:rFonts w:ascii="Times New Roman" w:hAnsi="Times New Roman" w:eastAsia="Arial" w:cs="Times New Roman"/>
                <w:sz w:val="24"/>
                <w:szCs w:val="24"/>
                <w:lang w:eastAsia="ru-RU"/>
              </w:rPr>
            </w:pPr>
            <w:r>
              <w:rPr>
                <w:rFonts w:eastAsia="Arial" w:cs="Times New Roman" w:ascii="Times New Roman" w:hAnsi="Times New Roman"/>
                <w:b/>
                <w:bCs/>
                <w:color w:val="000000"/>
                <w:sz w:val="24"/>
                <w:szCs w:val="24"/>
                <w:shd w:fill="FFFFFF" w:val="clear"/>
                <w:lang w:eastAsia="ru-RU" w:bidi="ru-RU"/>
              </w:rPr>
              <w:t>Прикладные компоненты</w:t>
            </w:r>
          </w:p>
        </w:tc>
        <w:tc>
          <w:tcPr>
            <w:tcW w:w="4131"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start="100"/>
              <w:jc w:val="center"/>
              <w:rPr>
                <w:rFonts w:ascii="Times New Roman" w:hAnsi="Times New Roman" w:eastAsia="Arial" w:cs="Times New Roman"/>
                <w:sz w:val="24"/>
                <w:szCs w:val="24"/>
                <w:lang w:eastAsia="ru-RU"/>
              </w:rPr>
            </w:pPr>
            <w:r>
              <w:rPr>
                <w:rFonts w:eastAsia="Arial" w:cs="Times New Roman" w:ascii="Times New Roman" w:hAnsi="Times New Roman"/>
                <w:b/>
                <w:bCs/>
                <w:color w:val="000000"/>
                <w:sz w:val="24"/>
                <w:szCs w:val="24"/>
                <w:shd w:fill="FFFFFF" w:val="clear"/>
                <w:lang w:eastAsia="ru-RU" w:bidi="ru-RU"/>
              </w:rPr>
              <w:t>Обеспечивающие компоненты</w:t>
            </w:r>
          </w:p>
        </w:tc>
      </w:tr>
      <w:tr>
        <w:trPr>
          <w:trHeight w:val="986" w:hRule="exact"/>
        </w:trPr>
        <w:tc>
          <w:tcPr>
            <w:tcW w:w="598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hanging="2" w:start="142"/>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shd w:fill="FFFFFF" w:val="clear"/>
                <w:lang w:eastAsia="ru-RU" w:bidi="ru-RU"/>
              </w:rPr>
              <w:t xml:space="preserve">Запись на приём к врачу </w:t>
            </w:r>
          </w:p>
        </w:tc>
        <w:tc>
          <w:tcPr>
            <w:tcW w:w="4131"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60"/>
              <w:ind w:start="100"/>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shd w:fill="FFFFFF" w:val="clear"/>
                <w:lang w:eastAsia="ru-RU" w:bidi="ru-RU"/>
              </w:rPr>
              <w:t>Аналитика</w:t>
            </w:r>
          </w:p>
          <w:p>
            <w:pPr>
              <w:pStyle w:val="Normal"/>
              <w:keepNext w:val="true"/>
              <w:keepLines/>
              <w:widowControl w:val="false"/>
              <w:bidi w:val="0"/>
              <w:spacing w:lineRule="auto" w:line="240" w:before="0" w:after="120"/>
              <w:ind w:start="100"/>
              <w:jc w:val="center"/>
              <w:rPr>
                <w:rFonts w:ascii="Times New Roman" w:hAnsi="Times New Roman" w:eastAsia="Arial" w:cs="Times New Roman"/>
                <w:color w:themeColor="text1" w:val="000000"/>
                <w:sz w:val="24"/>
                <w:szCs w:val="24"/>
                <w:shd w:fill="FFFFFF" w:val="clear"/>
                <w:lang w:eastAsia="ru-RU" w:bidi="ru-RU"/>
              </w:rPr>
            </w:pPr>
            <w:r>
              <w:rPr>
                <w:rFonts w:eastAsia="Arial" w:cs="Times New Roman" w:ascii="Times New Roman" w:hAnsi="Times New Roman"/>
                <w:color w:themeColor="text1" w:val="000000"/>
                <w:sz w:val="24"/>
                <w:szCs w:val="24"/>
                <w:shd w:fill="FFFFFF" w:val="clear"/>
                <w:lang w:eastAsia="ru-RU" w:bidi="ru-RU"/>
              </w:rPr>
              <w:t>Управление нормативно-справочной информацией</w:t>
            </w:r>
          </w:p>
          <w:p>
            <w:pPr>
              <w:pStyle w:val="Normal"/>
              <w:keepNext w:val="true"/>
              <w:keepLines/>
              <w:widowControl w:val="false"/>
              <w:bidi w:val="0"/>
              <w:spacing w:lineRule="auto" w:line="240" w:before="0" w:after="120"/>
              <w:ind w:start="100"/>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shd w:fill="FFFFFF" w:val="clear"/>
                <w:lang w:eastAsia="ru-RU" w:bidi="ru-RU"/>
              </w:rPr>
              <w:t xml:space="preserve"> </w:t>
            </w:r>
            <w:r>
              <w:rPr>
                <w:rFonts w:eastAsia="Arial" w:cs="Times New Roman" w:ascii="Times New Roman" w:hAnsi="Times New Roman"/>
                <w:color w:themeColor="text1" w:val="000000"/>
                <w:sz w:val="24"/>
                <w:szCs w:val="24"/>
                <w:shd w:fill="FFFFFF" w:val="clear"/>
                <w:lang w:eastAsia="ru-RU" w:bidi="ru-RU"/>
              </w:rPr>
              <w:t>информацией информацией</w:t>
            </w:r>
          </w:p>
          <w:p>
            <w:pPr>
              <w:pStyle w:val="Normal"/>
              <w:keepNext w:val="true"/>
              <w:keepLines/>
              <w:widowControl w:val="false"/>
              <w:bidi w:val="0"/>
              <w:spacing w:lineRule="auto" w:line="240" w:before="0" w:after="0"/>
              <w:ind w:start="100"/>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lang w:eastAsia="ru-RU"/>
              </w:rPr>
            </w:r>
          </w:p>
        </w:tc>
      </w:tr>
      <w:tr>
        <w:trPr>
          <w:trHeight w:val="601" w:hRule="exact"/>
        </w:trPr>
        <w:tc>
          <w:tcPr>
            <w:tcW w:w="598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hanging="2" w:start="142"/>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shd w:fill="FFFFFF" w:val="clear"/>
                <w:lang w:eastAsia="ru-RU" w:bidi="ru-RU"/>
              </w:rPr>
              <w:t>Интегрированная электронная медицинская карта</w:t>
            </w:r>
          </w:p>
        </w:tc>
        <w:tc>
          <w:tcPr>
            <w:tcW w:w="4131"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start="100"/>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shd w:fill="FFFFFF" w:val="clear"/>
                <w:lang w:eastAsia="ru-RU" w:bidi="ru-RU"/>
              </w:rPr>
              <w:t>Сервис аудита</w:t>
            </w:r>
          </w:p>
        </w:tc>
      </w:tr>
      <w:tr>
        <w:trPr>
          <w:trHeight w:val="1115" w:hRule="exact"/>
        </w:trPr>
        <w:tc>
          <w:tcPr>
            <w:tcW w:w="598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hanging="2" w:start="142"/>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shd w:fill="FFFFFF" w:val="clear"/>
                <w:lang w:eastAsia="ru-RU" w:bidi="ru-RU"/>
              </w:rPr>
              <w:t xml:space="preserve">Управление очередями </w:t>
            </w:r>
          </w:p>
        </w:tc>
        <w:tc>
          <w:tcPr>
            <w:tcW w:w="4131"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120"/>
              <w:ind w:start="100"/>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shd w:fill="FFFFFF" w:val="clear"/>
                <w:lang w:eastAsia="ru-RU" w:bidi="ru-RU"/>
              </w:rPr>
              <w:t xml:space="preserve">Система управления доступом </w:t>
            </w:r>
          </w:p>
        </w:tc>
      </w:tr>
      <w:tr>
        <w:trPr>
          <w:trHeight w:val="722" w:hRule="exact"/>
        </w:trPr>
        <w:tc>
          <w:tcPr>
            <w:tcW w:w="598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hanging="2" w:start="142"/>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shd w:fill="FFFFFF" w:val="clear"/>
                <w:lang w:eastAsia="ru-RU" w:bidi="ru-RU"/>
              </w:rPr>
              <w:t>Обмен данных лабораторных исследований</w:t>
            </w:r>
          </w:p>
        </w:tc>
        <w:tc>
          <w:tcPr>
            <w:tcW w:w="4131"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120" w:after="0"/>
              <w:ind w:start="100"/>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lang w:eastAsia="ru-RU"/>
              </w:rPr>
            </w:r>
          </w:p>
        </w:tc>
      </w:tr>
      <w:tr>
        <w:trPr>
          <w:trHeight w:val="560" w:hRule="exact"/>
        </w:trPr>
        <w:tc>
          <w:tcPr>
            <w:tcW w:w="598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hanging="2" w:start="142"/>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shd w:fill="FFFFFF" w:val="clear"/>
                <w:lang w:eastAsia="ru-RU" w:bidi="ru-RU"/>
              </w:rPr>
              <w:t>Обмен данных инструментальных исследований</w:t>
            </w:r>
          </w:p>
        </w:tc>
        <w:tc>
          <w:tcPr>
            <w:tcW w:w="4131"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start="100"/>
              <w:jc w:val="center"/>
              <w:rPr>
                <w:rFonts w:ascii="Times New Roman" w:hAnsi="Times New Roman" w:eastAsia="Arial" w:cs="Times New Roman"/>
                <w:color w:themeColor="text1" w:val="000000"/>
                <w:sz w:val="24"/>
                <w:szCs w:val="24"/>
                <w:lang w:eastAsia="ru-RU"/>
              </w:rPr>
            </w:pPr>
            <w:r>
              <w:rPr>
                <w:rFonts w:eastAsia="Arial" w:cs="Times New Roman" w:ascii="Times New Roman" w:hAnsi="Times New Roman"/>
                <w:color w:themeColor="text1" w:val="000000"/>
                <w:sz w:val="24"/>
                <w:szCs w:val="24"/>
                <w:lang w:eastAsia="ru-RU"/>
              </w:rPr>
            </w:r>
          </w:p>
        </w:tc>
      </w:tr>
      <w:tr>
        <w:trPr>
          <w:trHeight w:val="560" w:hRule="exact"/>
        </w:trPr>
        <w:tc>
          <w:tcPr>
            <w:tcW w:w="598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shd w:val="clear" w:color="auto" w:fill="FFFFFF"/>
              <w:bidi w:val="0"/>
              <w:spacing w:lineRule="exact" w:line="206" w:before="60" w:after="0"/>
              <w:ind w:hanging="2" w:start="142"/>
              <w:jc w:val="center"/>
              <w:rPr>
                <w:rFonts w:ascii="Times New Roman" w:hAnsi="Times New Roman" w:eastAsia="Arial" w:cs="Times New Roman"/>
                <w:color w:themeColor="text1" w:val="000000"/>
                <w:sz w:val="24"/>
                <w:szCs w:val="24"/>
                <w:shd w:fill="FFFFFF" w:val="clear"/>
                <w:lang w:eastAsia="ru-RU" w:bidi="ru-RU"/>
              </w:rPr>
            </w:pPr>
            <w:r>
              <w:rPr>
                <w:rFonts w:eastAsia="Arial" w:cs="Times New Roman" w:ascii="Times New Roman" w:hAnsi="Times New Roman"/>
                <w:color w:themeColor="text1" w:val="000000"/>
                <w:sz w:val="24"/>
                <w:szCs w:val="24"/>
                <w:shd w:fill="FFFFFF" w:val="clear"/>
                <w:lang w:eastAsia="ru-RU" w:bidi="ru-RU"/>
              </w:rPr>
              <w:t>Сервис прикрепления</w:t>
            </w:r>
          </w:p>
          <w:p>
            <w:pPr>
              <w:pStyle w:val="Normal"/>
              <w:keepNext w:val="true"/>
              <w:keepLines/>
              <w:widowControl w:val="false"/>
              <w:bidi w:val="0"/>
              <w:spacing w:lineRule="auto" w:line="240" w:before="0" w:after="0"/>
              <w:ind w:hanging="2" w:start="142"/>
              <w:jc w:val="center"/>
              <w:rPr>
                <w:rFonts w:ascii="Times New Roman" w:hAnsi="Times New Roman" w:eastAsia="Arial" w:cs="Times New Roman"/>
                <w:color w:themeColor="text1" w:val="000000"/>
                <w:sz w:val="24"/>
                <w:szCs w:val="24"/>
                <w:shd w:fill="FFFFFF" w:val="clear"/>
                <w:lang w:eastAsia="ru-RU" w:bidi="ru-RU"/>
              </w:rPr>
            </w:pPr>
            <w:r>
              <w:rPr>
                <w:rFonts w:eastAsia="Arial" w:cs="Times New Roman" w:ascii="Times New Roman" w:hAnsi="Times New Roman"/>
                <w:color w:themeColor="text1" w:val="000000"/>
                <w:sz w:val="24"/>
                <w:szCs w:val="24"/>
                <w:shd w:fill="FFFFFF" w:val="clear"/>
                <w:lang w:eastAsia="ru-RU" w:bidi="ru-RU"/>
              </w:rPr>
            </w:r>
          </w:p>
        </w:tc>
        <w:tc>
          <w:tcPr>
            <w:tcW w:w="4131"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start="100"/>
              <w:jc w:val="center"/>
              <w:rPr>
                <w:rFonts w:ascii="Times New Roman" w:hAnsi="Times New Roman" w:eastAsia="Arial" w:cs="Times New Roman"/>
                <w:color w:themeColor="text1" w:val="000000"/>
                <w:sz w:val="24"/>
                <w:szCs w:val="24"/>
                <w:shd w:fill="FFFFFF" w:val="clear"/>
                <w:lang w:eastAsia="ru-RU" w:bidi="ru-RU"/>
              </w:rPr>
            </w:pPr>
            <w:r>
              <w:rPr>
                <w:rFonts w:eastAsia="Arial" w:cs="Times New Roman" w:ascii="Times New Roman" w:hAnsi="Times New Roman"/>
                <w:color w:themeColor="text1" w:val="000000"/>
                <w:sz w:val="24"/>
                <w:szCs w:val="24"/>
                <w:shd w:fill="FFFFFF" w:val="clear"/>
                <w:lang w:eastAsia="ru-RU" w:bidi="ru-RU"/>
              </w:rPr>
            </w:r>
          </w:p>
        </w:tc>
      </w:tr>
      <w:tr>
        <w:trPr>
          <w:trHeight w:val="560" w:hRule="exact"/>
        </w:trPr>
        <w:tc>
          <w:tcPr>
            <w:tcW w:w="598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shd w:val="clear" w:color="auto" w:fill="FFFFFF"/>
              <w:bidi w:val="0"/>
              <w:spacing w:lineRule="exact" w:line="206" w:before="60" w:after="0"/>
              <w:ind w:hanging="2" w:start="142"/>
              <w:jc w:val="center"/>
              <w:rPr>
                <w:rFonts w:ascii="Times New Roman" w:hAnsi="Times New Roman" w:eastAsia="Arial" w:cs="Times New Roman"/>
                <w:color w:themeColor="text1" w:val="000000"/>
                <w:sz w:val="24"/>
                <w:szCs w:val="24"/>
                <w:shd w:fill="FFFFFF" w:val="clear"/>
                <w:lang w:eastAsia="ru-RU" w:bidi="ru-RU"/>
              </w:rPr>
            </w:pPr>
            <w:r>
              <w:rPr>
                <w:rFonts w:eastAsia="Arial" w:cs="Times New Roman" w:ascii="Times New Roman" w:hAnsi="Times New Roman"/>
                <w:color w:themeColor="text1" w:val="000000"/>
                <w:sz w:val="24"/>
                <w:szCs w:val="24"/>
                <w:shd w:fill="FFFFFF" w:val="clear"/>
                <w:lang w:eastAsia="ru-RU" w:bidi="ru-RU"/>
              </w:rPr>
              <w:t>Запись на медицинские осмотры (диспансеризацию)</w:t>
            </w:r>
          </w:p>
          <w:p>
            <w:pPr>
              <w:pStyle w:val="Normal"/>
              <w:keepNext w:val="true"/>
              <w:keepLines/>
              <w:widowControl w:val="false"/>
              <w:bidi w:val="0"/>
              <w:spacing w:lineRule="auto" w:line="240" w:before="0" w:after="0"/>
              <w:ind w:hanging="2" w:start="142"/>
              <w:jc w:val="center"/>
              <w:rPr>
                <w:rFonts w:ascii="Times New Roman" w:hAnsi="Times New Roman" w:eastAsia="Arial" w:cs="Times New Roman"/>
                <w:color w:themeColor="text1" w:val="000000"/>
                <w:sz w:val="24"/>
                <w:szCs w:val="24"/>
                <w:shd w:fill="FFFFFF" w:val="clear"/>
                <w:lang w:eastAsia="ru-RU" w:bidi="ru-RU"/>
              </w:rPr>
            </w:pPr>
            <w:r>
              <w:rPr>
                <w:rFonts w:eastAsia="Arial" w:cs="Times New Roman" w:ascii="Times New Roman" w:hAnsi="Times New Roman"/>
                <w:color w:themeColor="text1" w:val="000000"/>
                <w:sz w:val="24"/>
                <w:szCs w:val="24"/>
                <w:shd w:fill="FFFFFF" w:val="clear"/>
                <w:lang w:eastAsia="ru-RU" w:bidi="ru-RU"/>
              </w:rPr>
            </w:r>
          </w:p>
        </w:tc>
        <w:tc>
          <w:tcPr>
            <w:tcW w:w="4131"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start="100"/>
              <w:jc w:val="center"/>
              <w:rPr>
                <w:rFonts w:ascii="Times New Roman" w:hAnsi="Times New Roman" w:eastAsia="Arial" w:cs="Times New Roman"/>
                <w:color w:themeColor="text1" w:val="000000"/>
                <w:sz w:val="24"/>
                <w:szCs w:val="24"/>
                <w:shd w:fill="FFFFFF" w:val="clear"/>
                <w:lang w:eastAsia="ru-RU" w:bidi="ru-RU"/>
              </w:rPr>
            </w:pPr>
            <w:r>
              <w:rPr>
                <w:rFonts w:eastAsia="Arial" w:cs="Times New Roman" w:ascii="Times New Roman" w:hAnsi="Times New Roman"/>
                <w:color w:themeColor="text1" w:val="000000"/>
                <w:sz w:val="24"/>
                <w:szCs w:val="24"/>
                <w:shd w:fill="FFFFFF" w:val="clear"/>
                <w:lang w:eastAsia="ru-RU" w:bidi="ru-RU"/>
              </w:rPr>
            </w:r>
          </w:p>
        </w:tc>
      </w:tr>
      <w:tr>
        <w:trPr>
          <w:trHeight w:val="560" w:hRule="exact"/>
        </w:trPr>
        <w:tc>
          <w:tcPr>
            <w:tcW w:w="598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hanging="2" w:start="142"/>
              <w:jc w:val="center"/>
              <w:rPr>
                <w:rFonts w:ascii="Times New Roman" w:hAnsi="Times New Roman" w:eastAsia="Arial" w:cs="Times New Roman"/>
                <w:color w:themeColor="text1" w:val="000000"/>
                <w:sz w:val="24"/>
                <w:szCs w:val="24"/>
                <w:shd w:fill="FFFFFF" w:val="clear"/>
                <w:lang w:eastAsia="ru-RU" w:bidi="ru-RU"/>
              </w:rPr>
            </w:pPr>
            <w:r>
              <w:rPr>
                <w:rFonts w:eastAsia="Arial" w:cs="Times New Roman" w:ascii="Times New Roman" w:hAnsi="Times New Roman"/>
                <w:color w:themeColor="text1" w:val="000000"/>
                <w:sz w:val="24"/>
                <w:szCs w:val="24"/>
                <w:shd w:fill="FFFFFF" w:val="clear"/>
                <w:lang w:eastAsia="ru-RU" w:bidi="ru-RU"/>
              </w:rPr>
              <w:t>Обмен данными рецептов</w:t>
            </w:r>
          </w:p>
        </w:tc>
        <w:tc>
          <w:tcPr>
            <w:tcW w:w="4131"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keepNext w:val="true"/>
              <w:keepLines/>
              <w:widowControl w:val="false"/>
              <w:bidi w:val="0"/>
              <w:spacing w:lineRule="auto" w:line="240" w:before="0" w:after="0"/>
              <w:ind w:start="100"/>
              <w:jc w:val="center"/>
              <w:rPr>
                <w:rFonts w:ascii="Times New Roman" w:hAnsi="Times New Roman" w:eastAsia="Arial" w:cs="Times New Roman"/>
                <w:color w:themeColor="text1" w:val="000000"/>
                <w:sz w:val="24"/>
                <w:szCs w:val="24"/>
                <w:shd w:fill="FFFFFF" w:val="clear"/>
                <w:lang w:eastAsia="ru-RU" w:bidi="ru-RU"/>
              </w:rPr>
            </w:pPr>
            <w:r>
              <w:rPr>
                <w:rFonts w:eastAsia="Arial" w:cs="Times New Roman" w:ascii="Times New Roman" w:hAnsi="Times New Roman"/>
                <w:color w:themeColor="text1" w:val="000000"/>
                <w:sz w:val="24"/>
                <w:szCs w:val="24"/>
                <w:shd w:fill="FFFFFF" w:val="clear"/>
                <w:lang w:eastAsia="ru-RU" w:bidi="ru-RU"/>
              </w:rPr>
            </w:r>
          </w:p>
        </w:tc>
      </w:tr>
    </w:tbl>
    <w:p>
      <w:pPr>
        <w:pStyle w:val="Normal"/>
        <w:keepNext w:val="true"/>
        <w:keepLines/>
        <w:widowControl w:val="false"/>
        <w:bidi w:val="0"/>
        <w:spacing w:lineRule="auto" w:line="240" w:before="0" w:after="0"/>
        <w:ind w:firstLineChars="354" w:start="0" w:end="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r>
    </w:p>
    <w:p>
      <w:pPr>
        <w:pStyle w:val="Normal"/>
        <w:keepNext w:val="true"/>
        <w:keepLines/>
        <w:widowControl w:val="false"/>
        <w:bidi w:val="0"/>
        <w:spacing w:lineRule="auto" w:line="240" w:before="0" w:after="0"/>
        <w:ind w:firstLineChars="354" w:start="0" w:end="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t>Сервис обеспечивает обмен данными между информационными системами разных уровней: системами медицинских организа</w:t>
        <w:softHyphen/>
        <w:t>ций, региональными системами разных разработчиков, в том числе, «облачными МИС», нозологическими регистрами и реестрами, а также системами федерального уровня. Благодаря использованию протоколов обмена данными информа</w:t>
        <w:softHyphen/>
        <w:t>ция может передаваться в электронном виде в системы смежных ведомств.</w:t>
      </w:r>
    </w:p>
    <w:p>
      <w:pPr>
        <w:pStyle w:val="Normal"/>
        <w:keepNext w:val="true"/>
        <w:keepLines/>
        <w:widowControl w:val="false"/>
        <w:bidi w:val="0"/>
        <w:spacing w:lineRule="auto" w:line="240" w:before="0" w:after="0"/>
        <w:ind w:firstLineChars="354" w:start="0" w:end="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r>
    </w:p>
    <w:p>
      <w:pPr>
        <w:pStyle w:val="Normal"/>
        <w:keepNext w:val="true"/>
        <w:keepLines/>
        <w:widowControl w:val="false"/>
        <w:bidi w:val="0"/>
        <w:spacing w:lineRule="auto" w:line="240" w:before="0" w:after="0"/>
        <w:ind w:firstLineChars="354" w:start="0" w:end="0"/>
        <w:jc w:val="both"/>
        <w:rPr>
          <w:rFonts w:ascii="Times New Roman" w:hAnsi="Times New Roman" w:eastAsia="Arial" w:cs="Times New Roman"/>
          <w:sz w:val="24"/>
          <w:szCs w:val="24"/>
          <w:lang w:eastAsia="ru-RU" w:bidi="ru-RU"/>
        </w:rPr>
      </w:pPr>
      <w:r>
        <w:rPr>
          <w:rFonts w:eastAsia="Arial" w:cs="Times New Roman" w:ascii="Times New Roman" w:hAnsi="Times New Roman"/>
          <w:color w:val="000000"/>
          <w:sz w:val="24"/>
          <w:szCs w:val="24"/>
          <w:lang w:eastAsia="ru-RU" w:bidi="ru-RU"/>
        </w:rPr>
        <w:t xml:space="preserve">В рамках оказания услуг по поддержке компонентов интеграционной шины в составе инфраструктуры Регионального сегмента Единой государственной информационной системы здравоохранения Исполнитель должен обеспечить мониторинг доступности следующих компонент, расположенных на серверах </w:t>
      </w:r>
      <w:r>
        <w:rPr>
          <w:rFonts w:eastAsia="Arial" w:cs="Times New Roman" w:ascii="Times New Roman" w:hAnsi="Times New Roman"/>
          <w:sz w:val="24"/>
          <w:szCs w:val="24"/>
          <w:lang w:eastAsia="ru-RU" w:bidi="ru-RU"/>
        </w:rPr>
        <w:t>ГУЗ «МИАЦ» Забайкальского края (Таблица 2):</w:t>
      </w:r>
    </w:p>
    <w:p>
      <w:pPr>
        <w:pStyle w:val="Normal"/>
        <w:keepNext w:val="true"/>
        <w:keepLines/>
        <w:widowControl w:val="false"/>
        <w:bidi w:val="0"/>
        <w:spacing w:lineRule="auto" w:line="240" w:before="0" w:after="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r>
    </w:p>
    <w:p>
      <w:pPr>
        <w:pStyle w:val="Normal"/>
        <w:keepNext w:val="true"/>
        <w:keepLines/>
        <w:widowControl w:val="false"/>
        <w:bidi w:val="0"/>
        <w:spacing w:lineRule="auto" w:line="240" w:before="0" w:after="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t>1. Запись на прием к врачу в электронном виде.</w:t>
      </w:r>
    </w:p>
    <w:p>
      <w:pPr>
        <w:pStyle w:val="Normal"/>
        <w:keepNext w:val="true"/>
        <w:keepLines/>
        <w:widowControl w:val="false"/>
        <w:bidi w:val="0"/>
        <w:spacing w:lineRule="auto" w:line="240" w:before="0" w:after="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t>2. Интегрированная электронная медицинская карта.</w:t>
      </w:r>
    </w:p>
    <w:p>
      <w:pPr>
        <w:pStyle w:val="Normal"/>
        <w:keepNext w:val="true"/>
        <w:keepLines/>
        <w:widowControl w:val="false"/>
        <w:bidi w:val="0"/>
        <w:spacing w:lineRule="auto" w:line="240" w:before="0" w:after="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t>3. Управление очередями на оказание медицинской помощи.</w:t>
      </w:r>
    </w:p>
    <w:p>
      <w:pPr>
        <w:pStyle w:val="Normal"/>
        <w:widowControl w:val="false"/>
        <w:bidi w:val="0"/>
        <w:spacing w:lineRule="auto" w:line="240" w:before="0" w:after="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r>
    </w:p>
    <w:p>
      <w:pPr>
        <w:pStyle w:val="Normal"/>
        <w:widowControl w:val="false"/>
        <w:bidi w:val="0"/>
        <w:spacing w:lineRule="auto" w:line="240" w:before="0" w:after="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r>
    </w:p>
    <w:p>
      <w:pPr>
        <w:pStyle w:val="Normal"/>
        <w:keepNext w:val="true"/>
        <w:keepLines/>
        <w:widowControl w:val="false"/>
        <w:bidi w:val="0"/>
        <w:spacing w:lineRule="auto" w:line="240" w:before="0" w:after="0"/>
        <w:ind w:firstLineChars="354" w:start="0" w:end="0"/>
        <w:jc w:val="end"/>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t>Таблица №2</w:t>
      </w:r>
    </w:p>
    <w:tbl>
      <w:tblPr>
        <w:tblW w:w="10250" w:type="dxa"/>
        <w:jc w:val="center"/>
        <w:tblInd w:w="0" w:type="dxa"/>
        <w:tblLayout w:type="fixed"/>
        <w:tblCellMar>
          <w:top w:w="0" w:type="dxa"/>
          <w:start w:w="108" w:type="dxa"/>
          <w:bottom w:w="0" w:type="dxa"/>
          <w:end w:w="108" w:type="dxa"/>
        </w:tblCellMar>
        <w:tblLook w:val="04a0" w:noHBand="0" w:noVBand="1" w:firstColumn="1" w:lastRow="0" w:lastColumn="0" w:firstRow="1"/>
      </w:tblPr>
      <w:tblGrid>
        <w:gridCol w:w="3352"/>
        <w:gridCol w:w="3460"/>
        <w:gridCol w:w="3438"/>
      </w:tblGrid>
      <w:tr>
        <w:trPr>
          <w:trHeight w:val="866" w:hRule="atLeast"/>
        </w:trPr>
        <w:tc>
          <w:tcPr>
            <w:tcW w:w="3352" w:type="dxa"/>
            <w:tcBorders>
              <w:top w:val="single" w:sz="4" w:space="0" w:color="000000"/>
              <w:start w:val="single" w:sz="4" w:space="0" w:color="000000"/>
              <w:bottom w:val="single" w:sz="4" w:space="0" w:color="000000"/>
              <w:end w:val="single" w:sz="4" w:space="0" w:color="000000"/>
            </w:tcBorders>
            <w:vAlign w:val="center"/>
          </w:tcPr>
          <w:p>
            <w:pPr>
              <w:pStyle w:val="Normal"/>
              <w:keepNext w:val="true"/>
              <w:keepLines/>
              <w:widowControl w:val="false"/>
              <w:bidi w:val="0"/>
              <w:spacing w:lineRule="auto" w:line="240" w:before="0" w:after="0"/>
              <w:jc w:val="center"/>
              <w:rPr>
                <w:rFonts w:ascii="Times New Roman" w:hAnsi="Times New Roman" w:eastAsia="Arial" w:cs="Times New Roman"/>
                <w:b/>
                <w:bCs/>
                <w:color w:val="000000"/>
                <w:sz w:val="24"/>
                <w:szCs w:val="24"/>
                <w:lang w:eastAsia="ru-RU" w:bidi="ru-RU"/>
              </w:rPr>
            </w:pPr>
            <w:r>
              <w:rPr>
                <w:rFonts w:eastAsia="Arial" w:cs="Times New Roman" w:ascii="Times New Roman" w:hAnsi="Times New Roman"/>
                <w:b/>
                <w:bCs/>
                <w:color w:val="000000"/>
                <w:sz w:val="24"/>
                <w:szCs w:val="24"/>
                <w:lang w:eastAsia="ru-RU" w:bidi="ru-RU"/>
              </w:rPr>
              <w:t>Адрес сервиса в ЗСПД Забайкальского края</w:t>
            </w:r>
          </w:p>
        </w:tc>
        <w:tc>
          <w:tcPr>
            <w:tcW w:w="3460" w:type="dxa"/>
            <w:tcBorders>
              <w:top w:val="single" w:sz="4" w:space="0" w:color="000000"/>
              <w:start w:val="single" w:sz="4" w:space="0" w:color="000000"/>
              <w:bottom w:val="single" w:sz="4" w:space="0" w:color="000000"/>
              <w:end w:val="single" w:sz="4" w:space="0" w:color="000000"/>
            </w:tcBorders>
            <w:vAlign w:val="center"/>
          </w:tcPr>
          <w:p>
            <w:pPr>
              <w:pStyle w:val="Normal"/>
              <w:keepNext w:val="true"/>
              <w:keepLines/>
              <w:widowControl w:val="false"/>
              <w:bidi w:val="0"/>
              <w:spacing w:lineRule="auto" w:line="240" w:before="0" w:after="0"/>
              <w:jc w:val="center"/>
              <w:rPr>
                <w:rFonts w:ascii="Times New Roman" w:hAnsi="Times New Roman" w:eastAsia="Arial" w:cs="Times New Roman"/>
                <w:b/>
                <w:bCs/>
                <w:color w:val="000000"/>
                <w:sz w:val="24"/>
                <w:szCs w:val="24"/>
                <w:lang w:eastAsia="ru-RU" w:bidi="ru-RU"/>
              </w:rPr>
            </w:pPr>
            <w:r>
              <w:rPr>
                <w:rFonts w:eastAsia="Arial" w:cs="Times New Roman" w:ascii="Times New Roman" w:hAnsi="Times New Roman"/>
                <w:b/>
                <w:bCs/>
                <w:color w:val="000000"/>
                <w:sz w:val="24"/>
                <w:szCs w:val="24"/>
                <w:lang w:eastAsia="ru-RU" w:bidi="ru-RU"/>
              </w:rPr>
              <w:t>Адрес сервиса в ЗСПД ПАО «Ростелеком»</w:t>
            </w:r>
          </w:p>
        </w:tc>
        <w:tc>
          <w:tcPr>
            <w:tcW w:w="3438" w:type="dxa"/>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keepNext w:val="true"/>
              <w:keepLines/>
              <w:widowControl w:val="false"/>
              <w:bidi w:val="0"/>
              <w:spacing w:lineRule="auto" w:line="240" w:before="0" w:after="0"/>
              <w:jc w:val="center"/>
              <w:rPr>
                <w:rFonts w:ascii="Times New Roman" w:hAnsi="Times New Roman" w:eastAsia="Arial" w:cs="Times New Roman"/>
                <w:b/>
                <w:bCs/>
                <w:color w:val="000000"/>
                <w:sz w:val="24"/>
                <w:szCs w:val="24"/>
                <w:lang w:eastAsia="ru-RU" w:bidi="ru-RU"/>
              </w:rPr>
            </w:pPr>
            <w:r>
              <w:rPr>
                <w:rFonts w:eastAsia="Arial" w:cs="Times New Roman" w:ascii="Times New Roman" w:hAnsi="Times New Roman"/>
                <w:b/>
                <w:bCs/>
                <w:color w:val="000000"/>
                <w:sz w:val="24"/>
                <w:szCs w:val="24"/>
                <w:lang w:eastAsia="ru-RU" w:bidi="ru-RU"/>
              </w:rPr>
              <w:t>Компонента</w:t>
            </w:r>
          </w:p>
          <w:p>
            <w:pPr>
              <w:pStyle w:val="Normal"/>
              <w:keepNext w:val="true"/>
              <w:keepLines/>
              <w:widowControl w:val="false"/>
              <w:bidi w:val="0"/>
              <w:spacing w:lineRule="auto" w:line="240" w:before="0" w:after="0"/>
              <w:ind w:firstLineChars="354" w:start="0" w:end="0"/>
              <w:jc w:val="center"/>
              <w:rPr>
                <w:rFonts w:ascii="Times New Roman" w:hAnsi="Times New Roman" w:eastAsia="Arial" w:cs="Times New Roman"/>
                <w:b/>
                <w:bCs/>
                <w:color w:val="000000"/>
                <w:sz w:val="24"/>
                <w:szCs w:val="24"/>
                <w:lang w:eastAsia="ru-RU" w:bidi="ru-RU"/>
              </w:rPr>
            </w:pPr>
            <w:r>
              <w:rPr>
                <w:rFonts w:eastAsia="Arial" w:cs="Times New Roman" w:ascii="Times New Roman" w:hAnsi="Times New Roman"/>
                <w:b/>
                <w:bCs/>
                <w:color w:val="000000"/>
                <w:sz w:val="24"/>
                <w:szCs w:val="24"/>
                <w:lang w:eastAsia="ru-RU" w:bidi="ru-RU"/>
              </w:rPr>
            </w:r>
          </w:p>
        </w:tc>
      </w:tr>
      <w:tr>
        <w:trPr>
          <w:trHeight w:val="573" w:hRule="atLeast"/>
        </w:trPr>
        <w:tc>
          <w:tcPr>
            <w:tcW w:w="3352" w:type="dxa"/>
            <w:tcBorders>
              <w:top w:val="single" w:sz="4" w:space="0" w:color="000000"/>
              <w:start w:val="single" w:sz="4" w:space="0" w:color="000000"/>
              <w:bottom w:val="single" w:sz="4" w:space="0" w:color="000000"/>
              <w:end w:val="single" w:sz="4" w:space="0" w:color="000000"/>
            </w:tcBorders>
          </w:tcPr>
          <w:p>
            <w:pPr>
              <w:pStyle w:val="Normal"/>
              <w:keepNext w:val="true"/>
              <w:keepLines/>
              <w:widowControl w:val="false"/>
              <w:bidi w:val="0"/>
              <w:spacing w:lineRule="auto" w:line="240" w:before="0" w:after="0"/>
              <w:jc w:val="center"/>
              <w:rPr>
                <w:rFonts w:ascii="Times New Roman" w:hAnsi="Times New Roman" w:eastAsia="Arial" w:cs="Times New Roman"/>
                <w:bCs/>
                <w:color w:val="000000"/>
                <w:sz w:val="24"/>
                <w:szCs w:val="24"/>
                <w:lang w:eastAsia="ru-RU" w:bidi="ru-RU"/>
              </w:rPr>
            </w:pPr>
            <w:r>
              <w:rPr>
                <w:rFonts w:eastAsia="Arial" w:cs="Times New Roman" w:ascii="Times New Roman" w:hAnsi="Times New Roman"/>
                <w:bCs/>
                <w:color w:val="000000"/>
                <w:sz w:val="24"/>
                <w:szCs w:val="24"/>
                <w:lang w:eastAsia="ru-RU" w:bidi="ru-RU"/>
              </w:rPr>
              <w:t>10.2.255.21</w:t>
            </w:r>
          </w:p>
        </w:tc>
        <w:tc>
          <w:tcPr>
            <w:tcW w:w="3460" w:type="dxa"/>
            <w:tcBorders>
              <w:top w:val="single" w:sz="4" w:space="0" w:color="000000"/>
              <w:start w:val="single" w:sz="4" w:space="0" w:color="000000"/>
              <w:bottom w:val="single" w:sz="4" w:space="0" w:color="000000"/>
              <w:end w:val="single" w:sz="4" w:space="0" w:color="000000"/>
            </w:tcBorders>
          </w:tcPr>
          <w:p>
            <w:pPr>
              <w:pStyle w:val="Normal"/>
              <w:keepNext w:val="true"/>
              <w:keepLines/>
              <w:widowControl w:val="false"/>
              <w:bidi w:val="0"/>
              <w:spacing w:lineRule="auto" w:line="240" w:before="0" w:after="0"/>
              <w:jc w:val="center"/>
              <w:rPr>
                <w:rFonts w:ascii="Times New Roman" w:hAnsi="Times New Roman" w:eastAsia="Arial" w:cs="Times New Roman"/>
                <w:bCs/>
                <w:color w:val="000000"/>
                <w:sz w:val="24"/>
                <w:szCs w:val="24"/>
                <w:lang w:eastAsia="ru-RU" w:bidi="ru-RU"/>
              </w:rPr>
            </w:pPr>
            <w:r>
              <w:rPr>
                <w:rFonts w:eastAsia="Arial" w:cs="Times New Roman" w:ascii="Times New Roman" w:hAnsi="Times New Roman"/>
                <w:bCs/>
                <w:color w:val="000000"/>
                <w:sz w:val="24"/>
                <w:szCs w:val="24"/>
                <w:lang w:eastAsia="ru-RU" w:bidi="ru-RU"/>
              </w:rPr>
              <w:t>10.41.101.69</w:t>
            </w:r>
          </w:p>
        </w:tc>
        <w:tc>
          <w:tcPr>
            <w:tcW w:w="3438"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keepNext w:val="true"/>
              <w:keepLines/>
              <w:widowControl w:val="false"/>
              <w:bidi w:val="0"/>
              <w:spacing w:lineRule="auto" w:line="240" w:before="0" w:after="0"/>
              <w:jc w:val="both"/>
              <w:rPr>
                <w:rFonts w:ascii="Times New Roman" w:hAnsi="Times New Roman" w:eastAsia="Arial" w:cs="Times New Roman"/>
                <w:bCs/>
                <w:color w:val="000000"/>
                <w:sz w:val="24"/>
                <w:szCs w:val="24"/>
                <w:lang w:eastAsia="ru-RU" w:bidi="ru-RU"/>
              </w:rPr>
            </w:pPr>
            <w:r>
              <w:rPr>
                <w:rFonts w:eastAsia="Arial" w:cs="Times New Roman" w:ascii="Times New Roman" w:hAnsi="Times New Roman"/>
                <w:bCs/>
                <w:color w:val="000000"/>
                <w:sz w:val="24"/>
                <w:szCs w:val="24"/>
                <w:lang w:eastAsia="ru-RU" w:bidi="ru-RU"/>
              </w:rPr>
              <w:t>Управление очередями на оказание медицинской помощи</w:t>
            </w:r>
          </w:p>
        </w:tc>
      </w:tr>
      <w:tr>
        <w:trPr>
          <w:trHeight w:val="292" w:hRule="atLeast"/>
        </w:trPr>
        <w:tc>
          <w:tcPr>
            <w:tcW w:w="3352" w:type="dxa"/>
            <w:tcBorders>
              <w:top w:val="single" w:sz="4" w:space="0" w:color="000000"/>
              <w:start w:val="single" w:sz="4" w:space="0" w:color="000000"/>
              <w:bottom w:val="single" w:sz="4" w:space="0" w:color="000000"/>
              <w:end w:val="single" w:sz="4" w:space="0" w:color="000000"/>
            </w:tcBorders>
          </w:tcPr>
          <w:p>
            <w:pPr>
              <w:pStyle w:val="Normal"/>
              <w:keepNext w:val="true"/>
              <w:keepLines/>
              <w:widowControl w:val="false"/>
              <w:bidi w:val="0"/>
              <w:spacing w:lineRule="auto" w:line="240" w:before="0" w:after="0"/>
              <w:jc w:val="center"/>
              <w:rPr>
                <w:rFonts w:ascii="Times New Roman" w:hAnsi="Times New Roman" w:eastAsia="Arial" w:cs="Times New Roman"/>
                <w:bCs/>
                <w:color w:val="000000"/>
                <w:sz w:val="24"/>
                <w:szCs w:val="24"/>
                <w:lang w:eastAsia="ru-RU" w:bidi="ru-RU"/>
              </w:rPr>
            </w:pPr>
            <w:r>
              <w:rPr>
                <w:rFonts w:eastAsia="Arial" w:cs="Times New Roman" w:ascii="Times New Roman" w:hAnsi="Times New Roman"/>
                <w:bCs/>
                <w:color w:val="000000"/>
                <w:sz w:val="24"/>
                <w:szCs w:val="24"/>
                <w:lang w:eastAsia="ru-RU" w:bidi="ru-RU"/>
              </w:rPr>
              <w:t>10.2.255.51</w:t>
            </w:r>
          </w:p>
        </w:tc>
        <w:tc>
          <w:tcPr>
            <w:tcW w:w="3460" w:type="dxa"/>
            <w:tcBorders>
              <w:top w:val="single" w:sz="4" w:space="0" w:color="000000"/>
              <w:start w:val="single" w:sz="4" w:space="0" w:color="000000"/>
              <w:bottom w:val="single" w:sz="4" w:space="0" w:color="000000"/>
              <w:end w:val="single" w:sz="4" w:space="0" w:color="000000"/>
            </w:tcBorders>
          </w:tcPr>
          <w:p>
            <w:pPr>
              <w:pStyle w:val="Normal"/>
              <w:keepNext w:val="true"/>
              <w:keepLines/>
              <w:widowControl w:val="false"/>
              <w:bidi w:val="0"/>
              <w:spacing w:lineRule="auto" w:line="240" w:before="0" w:after="0"/>
              <w:jc w:val="center"/>
              <w:rPr>
                <w:rFonts w:ascii="Times New Roman" w:hAnsi="Times New Roman" w:eastAsia="Arial" w:cs="Times New Roman"/>
                <w:bCs/>
                <w:color w:val="000000"/>
                <w:sz w:val="24"/>
                <w:szCs w:val="24"/>
                <w:lang w:eastAsia="ru-RU" w:bidi="ru-RU"/>
              </w:rPr>
            </w:pPr>
            <w:r>
              <w:rPr>
                <w:rFonts w:eastAsia="Arial" w:cs="Times New Roman" w:ascii="Times New Roman" w:hAnsi="Times New Roman"/>
                <w:bCs/>
                <w:color w:val="000000"/>
                <w:sz w:val="24"/>
                <w:szCs w:val="24"/>
                <w:lang w:eastAsia="ru-RU" w:bidi="ru-RU"/>
              </w:rPr>
              <w:t>10.41.101.70</w:t>
            </w:r>
          </w:p>
        </w:tc>
        <w:tc>
          <w:tcPr>
            <w:tcW w:w="3438"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keepNext w:val="true"/>
              <w:keepLines/>
              <w:widowControl w:val="false"/>
              <w:bidi w:val="0"/>
              <w:spacing w:lineRule="auto" w:line="240" w:before="0" w:after="0"/>
              <w:jc w:val="both"/>
              <w:rPr>
                <w:rFonts w:ascii="Times New Roman" w:hAnsi="Times New Roman" w:eastAsia="Arial" w:cs="Times New Roman"/>
                <w:bCs/>
                <w:color w:val="000000"/>
                <w:sz w:val="24"/>
                <w:szCs w:val="24"/>
                <w:lang w:eastAsia="ru-RU" w:bidi="ru-RU"/>
              </w:rPr>
            </w:pPr>
            <w:r>
              <w:rPr>
                <w:rFonts w:eastAsia="Arial" w:cs="Times New Roman" w:ascii="Times New Roman" w:hAnsi="Times New Roman"/>
                <w:bCs/>
                <w:color w:val="000000"/>
                <w:sz w:val="24"/>
                <w:szCs w:val="24"/>
                <w:lang w:eastAsia="ru-RU" w:bidi="ru-RU"/>
              </w:rPr>
              <w:t>Интегрированная электронная медицинская карта</w:t>
            </w:r>
          </w:p>
        </w:tc>
      </w:tr>
      <w:tr>
        <w:trPr>
          <w:trHeight w:val="573" w:hRule="atLeast"/>
        </w:trPr>
        <w:tc>
          <w:tcPr>
            <w:tcW w:w="3352" w:type="dxa"/>
            <w:tcBorders>
              <w:top w:val="single" w:sz="4" w:space="0" w:color="000000"/>
              <w:start w:val="single" w:sz="4" w:space="0" w:color="000000"/>
              <w:bottom w:val="single" w:sz="4" w:space="0" w:color="000000"/>
              <w:end w:val="single" w:sz="4" w:space="0" w:color="000000"/>
            </w:tcBorders>
          </w:tcPr>
          <w:p>
            <w:pPr>
              <w:pStyle w:val="Normal"/>
              <w:keepNext w:val="true"/>
              <w:keepLines/>
              <w:widowControl w:val="false"/>
              <w:bidi w:val="0"/>
              <w:spacing w:lineRule="auto" w:line="240" w:before="0" w:after="0"/>
              <w:jc w:val="center"/>
              <w:rPr>
                <w:rFonts w:ascii="Times New Roman" w:hAnsi="Times New Roman" w:eastAsia="Arial" w:cs="Times New Roman"/>
                <w:bCs/>
                <w:color w:val="000000"/>
                <w:sz w:val="24"/>
                <w:szCs w:val="24"/>
                <w:lang w:eastAsia="ru-RU" w:bidi="ru-RU"/>
              </w:rPr>
            </w:pPr>
            <w:r>
              <w:rPr>
                <w:rFonts w:eastAsia="Arial" w:cs="Times New Roman" w:ascii="Times New Roman" w:hAnsi="Times New Roman"/>
                <w:bCs/>
                <w:color w:val="000000"/>
                <w:sz w:val="24"/>
                <w:szCs w:val="24"/>
                <w:lang w:eastAsia="ru-RU" w:bidi="ru-RU"/>
              </w:rPr>
              <w:t>10.2.255.25</w:t>
            </w:r>
          </w:p>
        </w:tc>
        <w:tc>
          <w:tcPr>
            <w:tcW w:w="3460" w:type="dxa"/>
            <w:tcBorders>
              <w:top w:val="single" w:sz="4" w:space="0" w:color="000000"/>
              <w:start w:val="single" w:sz="4" w:space="0" w:color="000000"/>
              <w:bottom w:val="single" w:sz="4" w:space="0" w:color="000000"/>
              <w:end w:val="single" w:sz="4" w:space="0" w:color="000000"/>
            </w:tcBorders>
          </w:tcPr>
          <w:p>
            <w:pPr>
              <w:pStyle w:val="Normal"/>
              <w:keepNext w:val="true"/>
              <w:keepLines/>
              <w:widowControl w:val="false"/>
              <w:bidi w:val="0"/>
              <w:spacing w:lineRule="auto" w:line="240" w:before="0" w:after="0"/>
              <w:jc w:val="center"/>
              <w:rPr>
                <w:rFonts w:ascii="Times New Roman" w:hAnsi="Times New Roman" w:eastAsia="Arial" w:cs="Times New Roman"/>
                <w:bCs/>
                <w:color w:val="000000"/>
                <w:sz w:val="24"/>
                <w:szCs w:val="24"/>
                <w:lang w:eastAsia="ru-RU" w:bidi="ru-RU"/>
              </w:rPr>
            </w:pPr>
            <w:r>
              <w:rPr>
                <w:rFonts w:eastAsia="Arial" w:cs="Times New Roman" w:ascii="Times New Roman" w:hAnsi="Times New Roman"/>
                <w:bCs/>
                <w:color w:val="000000"/>
                <w:sz w:val="24"/>
                <w:szCs w:val="24"/>
                <w:lang w:eastAsia="ru-RU" w:bidi="ru-RU"/>
              </w:rPr>
              <w:t>10.41.101.71</w:t>
            </w:r>
          </w:p>
        </w:tc>
        <w:tc>
          <w:tcPr>
            <w:tcW w:w="3438"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keepNext w:val="true"/>
              <w:keepLines/>
              <w:widowControl w:val="false"/>
              <w:bidi w:val="0"/>
              <w:spacing w:lineRule="auto" w:line="240" w:before="0" w:after="0"/>
              <w:jc w:val="both"/>
              <w:rPr>
                <w:rFonts w:ascii="Times New Roman" w:hAnsi="Times New Roman" w:eastAsia="Arial" w:cs="Times New Roman"/>
                <w:bCs/>
                <w:color w:val="000000"/>
                <w:sz w:val="24"/>
                <w:szCs w:val="24"/>
                <w:lang w:eastAsia="ru-RU" w:bidi="ru-RU"/>
              </w:rPr>
            </w:pPr>
            <w:r>
              <w:rPr>
                <w:rFonts w:eastAsia="Arial" w:cs="Times New Roman" w:ascii="Times New Roman" w:hAnsi="Times New Roman"/>
                <w:bCs/>
                <w:color w:val="000000"/>
                <w:sz w:val="24"/>
                <w:szCs w:val="24"/>
                <w:lang w:eastAsia="ru-RU" w:bidi="ru-RU"/>
              </w:rPr>
              <w:t>Запись на прием к врачу в электронном виде</w:t>
            </w:r>
          </w:p>
        </w:tc>
      </w:tr>
    </w:tbl>
    <w:p>
      <w:pPr>
        <w:pStyle w:val="Normal"/>
        <w:keepNext w:val="true"/>
        <w:keepLines/>
        <w:widowControl w:val="false"/>
        <w:bidi w:val="0"/>
        <w:spacing w:lineRule="auto" w:line="240" w:before="0" w:after="0"/>
        <w:ind w:firstLineChars="354" w:start="0" w:end="0"/>
        <w:jc w:val="both"/>
        <w:rPr>
          <w:rFonts w:ascii="Times New Roman" w:hAnsi="Times New Roman" w:eastAsia="Arial" w:cs="Times New Roman"/>
          <w:color w:val="FF0000"/>
          <w:sz w:val="24"/>
          <w:szCs w:val="24"/>
          <w:lang w:eastAsia="ru-RU" w:bidi="ru-RU"/>
        </w:rPr>
      </w:pPr>
      <w:r>
        <w:rPr>
          <w:rFonts w:eastAsia="Arial" w:cs="Times New Roman" w:ascii="Times New Roman" w:hAnsi="Times New Roman"/>
          <w:color w:val="FF0000"/>
          <w:sz w:val="24"/>
          <w:szCs w:val="24"/>
          <w:lang w:eastAsia="ru-RU" w:bidi="ru-RU"/>
        </w:rPr>
      </w:r>
    </w:p>
    <w:p>
      <w:pPr>
        <w:pStyle w:val="Normal"/>
        <w:keepNext w:val="true"/>
        <w:keepLines/>
        <w:widowControl w:val="false"/>
        <w:bidi w:val="0"/>
        <w:spacing w:lineRule="auto" w:line="240" w:before="0" w:after="0"/>
        <w:ind w:firstLineChars="354" w:start="0" w:end="0"/>
        <w:jc w:val="both"/>
        <w:rPr>
          <w:rFonts w:ascii="Times New Roman" w:hAnsi="Times New Roman" w:eastAsia="Arial" w:cs="Times New Roman"/>
          <w:color w:val="000000"/>
          <w:sz w:val="24"/>
          <w:szCs w:val="24"/>
          <w:lang w:eastAsia="ru-RU" w:bidi="ru-RU"/>
        </w:rPr>
      </w:pPr>
      <w:r>
        <w:rPr>
          <w:rFonts w:eastAsia="Arial" w:cs="Times New Roman" w:ascii="Times New Roman" w:hAnsi="Times New Roman"/>
          <w:color w:val="000000"/>
          <w:sz w:val="24"/>
          <w:szCs w:val="24"/>
          <w:lang w:eastAsia="ru-RU" w:bidi="ru-RU"/>
        </w:rPr>
        <w:t xml:space="preserve">А также обеспечить доступ к сервису НСИ программного комплекса, который обеспечивает хранение актуальных и архивных данных справочников (НСИ) и доступ к ним для всех подсистем, функционирующих в составе РИСЗ Забайкальского края, в т.ч. для интегрированных с Системой внешних информационных систем МО. </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Times New Roman">
    <w:charset w:val="01" w:characterSet="utf-8"/>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644" w:hanging="360"/>
      </w:pPr>
      <w:rPr>
        <w:b w:val="false"/>
      </w:rPr>
    </w:lvl>
    <w:lvl w:ilvl="1">
      <w:start w:val="1"/>
      <w:numFmt w:val="decimal"/>
      <w:isLgl/>
      <w:lvlText w:val="%1.%2."/>
      <w:lvlJc w:val="start"/>
      <w:pPr>
        <w:tabs>
          <w:tab w:val="num" w:pos="0"/>
        </w:tabs>
        <w:ind w:start="926" w:hanging="360"/>
      </w:pPr>
      <w:rPr/>
    </w:lvl>
    <w:lvl w:ilvl="2">
      <w:start w:val="1"/>
      <w:numFmt w:val="decimal"/>
      <w:isLgl/>
      <w:lvlText w:val="%1.%2.%3."/>
      <w:lvlJc w:val="start"/>
      <w:pPr>
        <w:tabs>
          <w:tab w:val="num" w:pos="0"/>
        </w:tabs>
        <w:ind w:start="1492" w:hanging="720"/>
      </w:pPr>
      <w:rPr/>
    </w:lvl>
    <w:lvl w:ilvl="3">
      <w:start w:val="1"/>
      <w:numFmt w:val="decimal"/>
      <w:isLgl/>
      <w:lvlText w:val="%1.%2.%3.%4."/>
      <w:lvlJc w:val="start"/>
      <w:pPr>
        <w:tabs>
          <w:tab w:val="num" w:pos="0"/>
        </w:tabs>
        <w:ind w:start="1698" w:hanging="720"/>
      </w:pPr>
      <w:rPr/>
    </w:lvl>
    <w:lvl w:ilvl="4">
      <w:start w:val="1"/>
      <w:numFmt w:val="decimal"/>
      <w:isLgl/>
      <w:lvlText w:val="%1.%2.%3.%4.%5."/>
      <w:lvlJc w:val="start"/>
      <w:pPr>
        <w:tabs>
          <w:tab w:val="num" w:pos="0"/>
        </w:tabs>
        <w:ind w:start="2264" w:hanging="1080"/>
      </w:pPr>
      <w:rPr/>
    </w:lvl>
    <w:lvl w:ilvl="5">
      <w:start w:val="1"/>
      <w:numFmt w:val="decimal"/>
      <w:isLgl/>
      <w:lvlText w:val="%1.%2.%3.%4.%5.%6."/>
      <w:lvlJc w:val="start"/>
      <w:pPr>
        <w:tabs>
          <w:tab w:val="num" w:pos="0"/>
        </w:tabs>
        <w:ind w:start="2470" w:hanging="1080"/>
      </w:pPr>
      <w:rPr/>
    </w:lvl>
    <w:lvl w:ilvl="6">
      <w:start w:val="1"/>
      <w:numFmt w:val="decimal"/>
      <w:isLgl/>
      <w:lvlText w:val="%1.%2.%3.%4.%5.%6.%7."/>
      <w:lvlJc w:val="start"/>
      <w:pPr>
        <w:tabs>
          <w:tab w:val="num" w:pos="0"/>
        </w:tabs>
        <w:ind w:start="3036" w:hanging="1440"/>
      </w:pPr>
      <w:rPr/>
    </w:lvl>
    <w:lvl w:ilvl="7">
      <w:start w:val="1"/>
      <w:numFmt w:val="decimal"/>
      <w:isLgl/>
      <w:lvlText w:val="%1.%2.%3.%4.%5.%6.%7.%8."/>
      <w:lvlJc w:val="start"/>
      <w:pPr>
        <w:tabs>
          <w:tab w:val="num" w:pos="0"/>
        </w:tabs>
        <w:ind w:start="3242" w:hanging="1440"/>
      </w:pPr>
      <w:rPr/>
    </w:lvl>
    <w:lvl w:ilvl="8">
      <w:start w:val="1"/>
      <w:numFmt w:val="decimal"/>
      <w:isLgl/>
      <w:lvlText w:val="%1.%2.%3.%4.%5.%6.%7.%8.%9."/>
      <w:lvlJc w:val="start"/>
      <w:pPr>
        <w:tabs>
          <w:tab w:val="num" w:pos="0"/>
        </w:tabs>
        <w:ind w:start="3808" w:hanging="180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Tahoma" w:cs="Noto Sans"/>
      <w:color w:val="auto"/>
      <w:kern w:val="2"/>
      <w:sz w:val="24"/>
      <w:szCs w:val="24"/>
      <w:lang w:val="ru-RU" w:eastAsia="zh-CN" w:bidi="hi-IN"/>
    </w:rPr>
  </w:style>
  <w:style w:type="character" w:styleId="Hyperlink">
    <w:name w:val="Hyperlink"/>
    <w:rPr>
      <w:color w:val="000080"/>
      <w:u w:val="single"/>
    </w:rPr>
  </w:style>
  <w:style w:type="paragraph" w:styleId="Style14">
    <w:name w:val="Заголовок"/>
    <w:basedOn w:val="Normal"/>
    <w:next w:val="BodyText"/>
    <w:qFormat/>
    <w:pPr>
      <w:keepNext w:val="true"/>
      <w:spacing w:before="240" w:after="120"/>
    </w:pPr>
    <w:rPr>
      <w:rFonts w:ascii="Liberation Sans" w:hAnsi="Liberation Sans" w:eastAsia="Tahoma" w:cs="Noto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w:rPr>
  </w:style>
  <w:style w:type="paragraph" w:styleId="Caption">
    <w:name w:val="caption"/>
    <w:basedOn w:val="Normal"/>
    <w:qFormat/>
    <w:pPr>
      <w:suppressLineNumbers/>
      <w:spacing w:before="120" w:after="120"/>
    </w:pPr>
    <w:rPr>
      <w:rFonts w:cs="Noto Sans"/>
      <w:i/>
      <w:iCs/>
      <w:sz w:val="24"/>
      <w:szCs w:val="24"/>
    </w:rPr>
  </w:style>
  <w:style w:type="paragraph" w:styleId="Style15">
    <w:name w:val="Указатель"/>
    <w:basedOn w:val="Normal"/>
    <w:qFormat/>
    <w:pPr>
      <w:suppressLineNumbers/>
    </w:pPr>
    <w:rPr>
      <w:rFonts w:cs="Noto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eestr.digital.gov.ru/reestr/308143/?sphrase_id=2861856"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LibreOffice/25.8.7.3$Linux_X86_64 LibreOffice_project/30742500f2d3eb4366ac312fa33d3dcabdb3eba5</Application>
  <AppVersion>15.0000</AppVersion>
  <Pages>3</Pages>
  <Words>546</Words>
  <Characters>4380</Characters>
  <CharactersWithSpaces>4887</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2026-09-08T19:45:35Z</dcterms:created>
  <dc:creator/>
  <dc:description/>
  <dc:language>ru-RU</dc:language>
  <cp:lastModifiedBy/>
  <dcterms:modified xsi:type="dcterms:W3CDTF">2026-09-08T19:46:39Z</dcterms:modified>
  <cp:revision>1</cp:revision>
  <dc:subject/>
  <dc:title/>
</cp:coreProperties>
</file>