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spacing w:val="-20"/>
        </w:rPr>
      </w:pPr>
      <w:r>
        <w:rPr>
          <w:b/>
          <w:spacing w:val="-20"/>
        </w:rPr>
      </w:r>
      <w:bookmarkStart w:id="0" w:name="_GoBack"/>
      <w:bookmarkStart w:id="1" w:name="_GoBack"/>
      <w:bookmarkEnd w:id="1"/>
    </w:p>
    <w:p>
      <w:pPr>
        <w:pStyle w:val="Normal"/>
        <w:jc w:val="right"/>
        <w:rPr>
          <w:sz w:val="22"/>
          <w:szCs w:val="22"/>
        </w:rPr>
      </w:pPr>
      <w:r>
        <w:rPr>
          <w:b/>
          <w:spacing w:val="-20"/>
          <w:sz w:val="22"/>
          <w:szCs w:val="22"/>
        </w:rPr>
        <w:t>У Т В Е Р Ж Д А Ю»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>
        <w:rPr>
          <w:sz w:val="22"/>
          <w:szCs w:val="22"/>
        </w:rPr>
        <w:t>Директор Южного филиала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sz w:val="22"/>
          <w:szCs w:val="22"/>
        </w:rPr>
        <w:t>АО «ТК РусГидро»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r>
        <w:rPr>
          <w:sz w:val="22"/>
          <w:szCs w:val="22"/>
        </w:rPr>
        <w:t>_____________ В.А. Изотов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>«____» ______________ 2026 г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bookmarkStart w:id="2" w:name="_Toc54643700"/>
      <w:bookmarkStart w:id="3" w:name="_Hlk49857604"/>
      <w:bookmarkStart w:id="4" w:name="_Toc46743509"/>
      <w:bookmarkStart w:id="5" w:name="_Toc54643700"/>
      <w:bookmarkStart w:id="6" w:name="_Hlk49857604"/>
      <w:bookmarkStart w:id="7" w:name="_Toc46743509"/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bookmarkStart w:id="8" w:name="_GoBack_Копия_1"/>
      <w:bookmarkStart w:id="9" w:name="_GoBack_Копия_1"/>
      <w:bookmarkEnd w:id="9"/>
    </w:p>
    <w:p>
      <w:pPr>
        <w:pStyle w:val="Normal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«ОКПД2 26.51.66.190. Оказание услуг по техническому обслуживанию, поставке и установке блоков с</w:t>
      </w:r>
      <w:r>
        <w:rPr>
          <w:rFonts w:eastAsia="Calibri"/>
          <w:color w:val="000000"/>
          <w:sz w:val="24"/>
          <w:szCs w:val="24"/>
          <w:shd w:fill="FFFFFF" w:val="clear"/>
        </w:rPr>
        <w:t>истемы криптографической защиты информации</w:t>
      </w:r>
      <w:r>
        <w:rPr>
          <w:rFonts w:eastAsia="Calibri"/>
          <w:sz w:val="24"/>
          <w:szCs w:val="24"/>
        </w:rPr>
        <w:t>, изготовлению карт водителей и предприятия для тахографов на транспортные средства транспортных участков Южного филиала  АО «ТК РусГидро»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 6073-ТО ПРОД-2027-ТК_Южный_филиал</w:t>
      </w:r>
    </w:p>
    <w:p>
      <w:pPr>
        <w:pStyle w:val="Normal"/>
        <w:keepNext w:val="true"/>
        <w:keepLines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СОДЕРЖАНИЕ 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iCs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453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 xml:space="preserve">         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454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455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456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Цель оказания услуг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457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Существующее положение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iCs/>
            </w:rPr>
          </w:pPr>
          <w:hyperlink w:anchor="_Toc5464345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 xml:space="preserve">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459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/w:r>
          </w:hyperlink>
          <w:r>
            <w:rPr/>
            <w:t xml:space="preserve">                                                                                                                                                                       </w:t>
          </w:r>
          <w:r>
            <w:rPr>
              <w:rFonts w:eastAsia="" w:cs="" w:cstheme="minorBidi" w:eastAsiaTheme="minorEastAsia"/>
              <w:b/>
              <w:bCs/>
              <w:sz w:val="24"/>
              <w:szCs w:val="24"/>
            </w:rPr>
            <w:t>5</w:t>
          </w:r>
        </w:p>
        <w:p>
          <w:pPr>
            <w:pStyle w:val="TOC1"/>
            <w:rPr/>
          </w:pPr>
          <w:hyperlink w:anchor="_Toc54643461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cstheme="minorBidi" w:eastAsiaTheme="minorEastAsia"/>
              </w:rPr>
              <w:tab/>
            </w:r>
            <w:r>
              <w:rPr>
                <w:rStyle w:val="Style14"/>
              </w:rPr>
              <w:t>Требования к продукции</w:t>
              <w:tab/>
              <w:t xml:space="preserve">                                                                                          </w:t>
            </w:r>
          </w:hyperlink>
          <w:r>
            <w:rPr/>
            <w:t xml:space="preserve">  </w:t>
          </w:r>
          <w:r>
            <w:rPr>
              <w:rFonts w:eastAsia="" w:cs="" w:cstheme="minorBidi" w:eastAsiaTheme="minorEastAsia"/>
              <w:iCs/>
            </w:rPr>
            <w:t>5</w:t>
          </w:r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/>
          </w:pPr>
          <w:hyperlink w:anchor="_Toc54643462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eastAsia="" w:cs="" w:cstheme="minorBidi" w:eastAsiaTheme="minorEastAsia"/>
                <w:b/>
                <w:bCs/>
                <w:sz w:val="24"/>
                <w:szCs w:val="24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54643463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</w:hyperlink>
          <w:r>
            <w:rPr/>
            <w:t xml:space="preserve">                                                                                                      </w:t>
          </w:r>
          <w:r>
            <w:rPr>
              <w:rFonts w:eastAsia="" w:cs="" w:cstheme="minorBidi" w:eastAsiaTheme="minorEastAsia"/>
              <w:b/>
              <w:bCs/>
              <w:sz w:val="24"/>
              <w:szCs w:val="24"/>
            </w:rPr>
            <w:t>6</w:t>
          </w:r>
        </w:p>
        <w:p>
          <w:pPr>
            <w:pStyle w:val="TOC1"/>
            <w:rPr/>
          </w:pPr>
          <w:hyperlink w:anchor="_Toc54643464">
            <w:r>
              <w:rPr>
                <w:webHidden/>
                <w:rStyle w:val="Style14"/>
                <w:vanish w:val="false"/>
              </w:rPr>
              <w:t>Таблица 2. Перечень и объем оказываемых услуг</w:t>
              <w:tab/>
              <w:t xml:space="preserve">                                                       </w:t>
            </w:r>
          </w:hyperlink>
          <w:r>
            <w:rPr/>
            <w:t xml:space="preserve">  </w:t>
          </w:r>
          <w:r>
            <w:rPr>
              <w:rFonts w:eastAsia="" w:cs="" w:cstheme="minorBidi" w:eastAsiaTheme="minorEastAsia"/>
              <w:iCs/>
            </w:rPr>
            <w:t>6</w:t>
          </w:r>
        </w:p>
        <w:p>
          <w:pPr>
            <w:pStyle w:val="TOC3"/>
            <w:rPr/>
          </w:pPr>
          <w:hyperlink w:anchor="_Toc54643465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eastAsia="" w:cs="" w:cstheme="minorBidi" w:eastAsiaTheme="minorEastAsia"/>
                <w:b/>
                <w:bCs/>
                <w:sz w:val="24"/>
                <w:szCs w:val="24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54643466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 xml:space="preserve">                                                       </w:t>
            </w:r>
          </w:hyperlink>
          <w:r>
            <w:rPr/>
            <w:t xml:space="preserve"> </w:t>
          </w:r>
          <w:r>
            <w:rPr>
              <w:rFonts w:eastAsia="" w:cs="" w:cstheme="minorBidi" w:eastAsiaTheme="minorEastAsia"/>
              <w:iCs/>
            </w:rPr>
            <w:t>7</w:t>
          </w:r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/>
          </w:pPr>
          <w:hyperlink w:anchor="_Toc54643467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eastAsia="" w:cs="" w:cstheme="minorBidi" w:eastAsiaTheme="minorEastAsia"/>
                <w:b/>
                <w:bCs/>
                <w:sz w:val="24"/>
                <w:szCs w:val="24"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54643468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 xml:space="preserve">                                                                  </w:t>
            </w:r>
          </w:hyperlink>
          <w:r>
            <w:rPr/>
            <w:t xml:space="preserve">  9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iCs/>
            </w:rPr>
          </w:pPr>
          <w:hyperlink w:anchor="_Toc54643469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 xml:space="preserve">       </w:t>
            </w:r>
          </w:hyperlink>
          <w:r>
            <w:rPr/>
            <w:t>11</w:t>
          </w:r>
          <w:r>
            <w:rPr/>
            <w:fldChar w:fldCharType="end"/>
          </w:r>
        </w:p>
      </w:sdtContent>
    </w:sdt>
    <w:p>
      <w:pPr>
        <w:pStyle w:val="TOC1"/>
        <w:rPr>
          <w:rFonts w:ascii="Calibri" w:hAnsi="Calibri" w:eastAsia="" w:cs="" w:asciiTheme="minorHAnsi" w:cstheme="minorBidi" w:eastAsiaTheme="minorEastAsia" w:hAnsiTheme="minorHAnsi"/>
          <w:iCs/>
        </w:rPr>
      </w:pPr>
      <w:r>
        <w:rPr>
          <w:rFonts w:eastAsia="" w:cs="" w:cstheme="minorBidi" w:eastAsiaTheme="minorEastAsia" w:ascii="Calibri" w:hAnsi="Calibri"/>
          <w:iCs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jc w:val="right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3"/>
        </w:numPr>
        <w:rPr/>
      </w:pPr>
      <w:bookmarkStart w:id="10" w:name="_Toc54646395"/>
      <w:bookmarkStart w:id="11" w:name="_Toc51339692"/>
      <w:r>
        <w:rPr/>
        <w:t>Общие сведения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2" w:name="_Toc54646396"/>
      <w:bookmarkStart w:id="13" w:name="_Toc46743505"/>
      <w:r>
        <w:rPr/>
        <w:t>Обозначения и сокращения</w:t>
      </w:r>
      <w:bookmarkEnd w:id="12"/>
      <w:bookmarkEnd w:id="1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СКЗИ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Система криптографической защиты информации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14" w:name="_Toc54646397"/>
      <w:bookmarkStart w:id="15" w:name="_Toc46743506"/>
      <w:r>
        <w:rPr/>
        <w:t>Наименование закупаемой продукции</w:t>
      </w:r>
      <w:bookmarkEnd w:id="14"/>
      <w:bookmarkEnd w:id="15"/>
      <w:r>
        <w:rPr/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ОКПД2 26.51.66.190. Оказание услуг по техническому обслуживанию, поставке и установке блоков с</w:t>
      </w:r>
      <w:r>
        <w:rPr>
          <w:rFonts w:eastAsia="Calibri"/>
          <w:color w:val="000000"/>
          <w:sz w:val="24"/>
          <w:szCs w:val="24"/>
          <w:shd w:fill="FFFFFF" w:val="clear"/>
          <w:lang w:eastAsia="x-none"/>
        </w:rPr>
        <w:t>истемы криптографической защиты информации</w:t>
      </w:r>
      <w:r>
        <w:rPr>
          <w:rFonts w:eastAsia="Calibri"/>
          <w:sz w:val="24"/>
          <w:szCs w:val="24"/>
          <w:lang w:eastAsia="x-none"/>
        </w:rPr>
        <w:t>, изготовлению карт водителей и предприятия для тахографов на транспортные средства транспортных участков Южного филиала  АО «ТК РусГидро».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16" w:name="_Toc54646398"/>
      <w:bookmarkStart w:id="17" w:name="_Toc46743507"/>
      <w:r>
        <w:rPr/>
        <w:t xml:space="preserve">Цель </w:t>
      </w:r>
      <w:bookmarkEnd w:id="17"/>
      <w:r>
        <w:rPr>
          <w:lang w:val="ru-RU"/>
        </w:rPr>
        <w:t>оказания услуг</w:t>
      </w:r>
      <w:bookmarkEnd w:id="16"/>
      <w:r>
        <w:rPr>
          <w:lang w:val="ru-RU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Целью оказания услуг являетс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я, обслуживание и продление сроков действия тахографов, при помощи замены блоков СКЗИ.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rPr>
          <w:lang w:val="ru-RU"/>
        </w:rPr>
      </w:pPr>
      <w:bookmarkStart w:id="18" w:name="_Toc54646399"/>
      <w:bookmarkStart w:id="19" w:name="_Toc46743508"/>
      <w:r>
        <w:rPr/>
        <w:t>Существующее положение</w:t>
      </w:r>
      <w:bookmarkEnd w:id="19"/>
      <w:r>
        <w:rPr>
          <w:lang w:val="ru-RU"/>
        </w:rPr>
        <w:t xml:space="preserve"> </w:t>
      </w:r>
      <w:bookmarkEnd w:id="18"/>
    </w:p>
    <w:p>
      <w:pPr>
        <w:pStyle w:val="Heading1"/>
        <w:keepLines/>
        <w:numPr>
          <w:ilvl w:val="0"/>
          <w:numId w:val="0"/>
        </w:numPr>
        <w:spacing w:before="0" w:after="0"/>
        <w:ind w:left="0" w:hanging="0"/>
        <w:jc w:val="both"/>
        <w:rPr>
          <w:rFonts w:eastAsia="Times New Roman"/>
          <w:b w:val="false"/>
          <w:sz w:val="24"/>
          <w:szCs w:val="24"/>
          <w:lang w:val="ru-RU"/>
        </w:rPr>
      </w:pPr>
      <w:bookmarkStart w:id="20" w:name="_Toc54646400"/>
      <w:r>
        <w:rPr>
          <w:rFonts w:eastAsia="Times New Roman"/>
          <w:b w:val="false"/>
          <w:sz w:val="24"/>
          <w:szCs w:val="24"/>
          <w:lang w:val="ru-RU"/>
        </w:rPr>
        <w:t>Соответствие нормативным требованиям и поддержание в надлежащем техническом состоянии транспортных средств согласно нормативным требованиям Приказа Минтранса России от 28.10.2020 N 440 "Об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средства".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numPr>
          <w:ilvl w:val="0"/>
          <w:numId w:val="0"/>
        </w:numPr>
        <w:spacing w:before="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20"/>
      <w:r>
        <w:rPr>
          <w:rStyle w:val="Style8"/>
          <w:b/>
          <w:i w:val="false"/>
          <w:sz w:val="24"/>
          <w:szCs w:val="24"/>
          <w:shd w:fill="auto" w:val="clear"/>
          <w:lang w:val="ru-RU"/>
        </w:rPr>
        <w:t>:</w:t>
      </w:r>
    </w:p>
    <w:p>
      <w:pPr>
        <w:pStyle w:val="Normal"/>
        <w:spacing w:before="0" w:after="60"/>
        <w:rPr>
          <w:rStyle w:val="Style8"/>
          <w:i w:val="false"/>
          <w:i w:val="false"/>
          <w:sz w:val="24"/>
          <w:szCs w:val="24"/>
          <w:shd w:fill="auto" w:val="clear"/>
        </w:rPr>
      </w:pPr>
      <w:r>
        <w:rPr>
          <w:i w:val="false"/>
          <w:sz w:val="24"/>
          <w:szCs w:val="24"/>
          <w:shd w:fill="auto" w:val="clear"/>
        </w:rPr>
      </w:r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3146"/>
        <w:gridCol w:w="5955"/>
      </w:tblGrid>
      <w:tr>
        <w:trPr>
          <w:trHeight w:val="675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услуг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Расположение объекта </w:t>
              <w:br/>
            </w:r>
            <w:r>
              <w:rPr>
                <w:i/>
                <w:iCs/>
                <w:sz w:val="20"/>
                <w:szCs w:val="20"/>
              </w:rPr>
              <w:t>(место оказания услуг)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изготовление карт водителей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КБР, Чегемский р-н, 9-й км станция Нартан, Кабардино-Балкарский транспортный участок Южного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КЧР, Карачаевский р-н, п Правокубанский, Карачаево-Черкесский транспортный участок Южного 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РСО-Алания, г. Владикавказ, ул. Васо     Абаева, д 63, Северо-Осетинский транспортный участок      Южного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Ставропольский край, г. Невинномыск, ул. Водопроводная 360А Барсучковский участок, Кубанский ТУ Южного 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Ставропольский край, Шпаковский р-н, п. Приозерный, ул. Шоссейная 47, Сенгилеевский участок, Кубанский ТУ Южного 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КЧР, Прикубанский р-н, п. Ударный, ул. Набережная 11, Куршавский участок, Кубанский ТУ Южного 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КЧР, п. Водораздельный, Кубанская ГЭС, Южный строительный ТУ Южного 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Республика Дагестан Дагестанский транспортный участок  Южного  филиала АО «ТК РусГидро», г. Каспийск, ул. Халилова 5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-Участок «Чиркейская ГЭС», Республика Дагестан, Казбековский р-н, п. Дубки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-Участок «Каскад Сулакских ГЭС», Республика Дагестан, Кизилюртовский р-н, п. Бавтугай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-Участок «Ирганайская ГЭС», Республика Дагестан, Унцукульский р-н, п. Шамилькала</w:t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0" w:hanging="0"/>
        <w:jc w:val="both"/>
        <w:rPr>
          <w:b w:val="false"/>
          <w:lang w:val="ru-RU"/>
        </w:rPr>
      </w:pPr>
      <w:r>
        <w:rPr>
          <w:b w:val="false"/>
          <w:lang w:val="ru-RU"/>
        </w:rPr>
        <w:t>На транспортных участках Южного филиала «АО ТК РусГидро» находятся транспортные средства, подлежащие: оснащению тахографами; замене блоков СКЗИ на тахографах;  обслуживанию тахографов согласно Таблицы №1 «Перечень объектов заказчика.</w:t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Heading4"/>
        <w:numPr>
          <w:ilvl w:val="1"/>
          <w:numId w:val="3"/>
        </w:numPr>
        <w:ind w:left="0" w:hanging="0"/>
        <w:jc w:val="both"/>
        <w:rPr>
          <w:lang w:val="ru-RU"/>
        </w:rPr>
      </w:pPr>
      <w:r>
        <w:rPr/>
        <w:t xml:space="preserve">Информация в отношении исполнения договора, </w:t>
      </w:r>
      <w:bookmarkStart w:id="21" w:name="_Hlk46492347"/>
      <w:r>
        <w:rPr/>
        <w:t xml:space="preserve">которая должна быть учтена при подготовке заявки </w:t>
      </w:r>
      <w:bookmarkEnd w:id="2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6"/>
      <w:bookmarkEnd w:id="7"/>
      <w:r>
        <w:rPr>
          <w:lang w:val="ru-RU"/>
        </w:rPr>
        <w:t xml:space="preserve"> </w:t>
      </w:r>
      <w:bookmarkStart w:id="22" w:name="_Hlk48209761"/>
      <w:bookmarkEnd w:id="5"/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1.5.1. Заказчик предоставляет Исполнителю Заказ-наряд (с указанием расположения транспортного участка, марки ТС, Гос. номера, </w:t>
      </w:r>
      <w:r>
        <w:rPr>
          <w:sz w:val="24"/>
          <w:szCs w:val="24"/>
          <w:lang w:val="en-US" w:eastAsia="x-none"/>
        </w:rPr>
        <w:t>VIN</w:t>
      </w:r>
      <w:r>
        <w:rPr>
          <w:sz w:val="24"/>
          <w:szCs w:val="24"/>
          <w:lang w:eastAsia="x-none"/>
        </w:rPr>
        <w:t xml:space="preserve"> ТС, пробега, описания услуг, сроков оказания услуг).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  <w:bookmarkStart w:id="23" w:name="_Toc50125126"/>
      <w:bookmarkStart w:id="24" w:name="_Toc50125126"/>
      <w:bookmarkEnd w:id="22"/>
      <w:bookmarkEnd w:id="24"/>
    </w:p>
    <w:p>
      <w:pPr>
        <w:pStyle w:val="Heading1"/>
        <w:keepLines/>
        <w:numPr>
          <w:ilvl w:val="0"/>
          <w:numId w:val="3"/>
        </w:numPr>
        <w:spacing w:lineRule="auto" w:line="276" w:before="0" w:after="0"/>
        <w:ind w:left="357" w:hanging="357"/>
        <w:jc w:val="center"/>
        <w:rPr/>
      </w:pPr>
      <w:bookmarkStart w:id="25" w:name="_Toc54643702"/>
      <w:bookmarkStart w:id="26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5"/>
      <w:bookmarkEnd w:id="26"/>
    </w:p>
    <w:p>
      <w:pPr>
        <w:pStyle w:val="Heading4"/>
        <w:numPr>
          <w:ilvl w:val="1"/>
          <w:numId w:val="3"/>
        </w:numPr>
        <w:spacing w:lineRule="auto" w:line="276" w:before="0" w:after="0"/>
        <w:rPr/>
      </w:pPr>
      <w:bookmarkStart w:id="27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7"/>
    </w:p>
    <w:p>
      <w:pPr>
        <w:pStyle w:val="Heading3"/>
        <w:numPr>
          <w:ilvl w:val="0"/>
          <w:numId w:val="0"/>
        </w:numPr>
        <w:spacing w:lineRule="auto" w:line="276" w:before="0" w:after="0"/>
        <w:ind w:left="0" w:hanging="0"/>
        <w:rPr/>
      </w:pPr>
      <w:r>
        <w:rPr/>
        <w:t xml:space="preserve">2.1.1. </w:t>
      </w:r>
      <w:bookmarkStart w:id="28" w:name="_Toc54643704"/>
      <w:r>
        <w:rPr>
          <w:lang w:val="ru-RU"/>
        </w:rPr>
        <w:t>Требования к перечню и объему услуг</w:t>
      </w:r>
      <w:bookmarkEnd w:id="28"/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1.</w:t>
        <w:tab/>
        <w:t>Состав и содержание услуг (работ) указан в Таблице №2 к настоящему техническому требованию.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2.</w:t>
        <w:tab/>
        <w:t>Фактический объем оказанных услуг (состав и содержание работ) определяется Заказчиком, исходя из его потребностей. Заказчик оставляет за собой право в одностороннем порядке изменять объемы услуг без изменения существующей цены Договора.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3.</w:t>
        <w:tab/>
        <w:t>Услуги производятся с использованием тахографов и расходных материалов Исполнителя.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4.</w:t>
        <w:tab/>
        <w:t>Устанавливаемое оборудование, используемые материалы при монтаже должны быть новыми, не бывшими в употреблении, не восстановленными, не содержать восстановленных элементов.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5.</w:t>
        <w:tab/>
        <w:t>Предоставленные Услуги Исполнителем должны соответствовать требованиям Приказа Минтранса России от 28.10.2020 № 440.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6.</w:t>
        <w:tab/>
        <w:t>Для получения необходимых Услуг уполномоченный представитель Заказчика направляет Исполнителю заказ – наряд в котором указывается наименование модели автотранспортного средства, его государственный регистрационный знак, идентификационный номер (VIN), объем сервисных услуг (работ), а также иные сведения.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7.</w:t>
        <w:tab/>
        <w:t>В случае если в процессе оказания услуг будут выявлены дополнительные дефекты, требующие устранения,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заказ-наряда (дефектной ведомости), Заказчиком в адрес Исполнителя направляется информация о согласии или отказе от оказания услуг.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8. Техническая документация на устанавливаемое оборудование (паспорта, инструкции и др.) должны быть переданы Заказчику одновременно с оформлением акта сдачи-приемки блока СКЗИ и работ.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9. После выполнения монтажа оборудование должно быть активировано и откалибровано с нанесением необходимой информации на элемент кузова транспортного средства.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10. Отходы, образовавшиеся в результате оказания услуг, являются собственностью Подрядчика. Подрядчик обязан собственными силами и за свой счет осуществлять деятельность по обращению с образовавшимися отходами, в соответствии с действующим законодательством.</w:t>
      </w:r>
    </w:p>
    <w:p>
      <w:pPr>
        <w:pStyle w:val="Heading1"/>
        <w:keepLines/>
        <w:numPr>
          <w:ilvl w:val="0"/>
          <w:numId w:val="0"/>
        </w:numPr>
        <w:spacing w:lineRule="auto" w:line="276" w:before="0" w:after="0"/>
        <w:ind w:left="0" w:hanging="0"/>
        <w:rPr/>
      </w:pPr>
      <w:bookmarkStart w:id="29" w:name="_Toc54643705"/>
      <w:bookmarkStart w:id="3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0"/>
      <w:r>
        <w:rPr>
          <w:sz w:val="24"/>
          <w:szCs w:val="24"/>
          <w:lang w:val="ru-RU"/>
        </w:rPr>
        <w:t>и объем оказываемых услуг</w:t>
      </w:r>
      <w:bookmarkEnd w:id="29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26"/>
        <w:gridCol w:w="4971"/>
        <w:gridCol w:w="1996"/>
        <w:gridCol w:w="2116"/>
      </w:tblGrid>
      <w:tr>
        <w:trPr/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>
        <w:trPr/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2" w:leader="none"/>
              </w:tabs>
              <w:suppressAutoHyphens w:val="true"/>
              <w:rPr/>
            </w:pPr>
            <w:r>
              <w:rPr/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Установка(нового) тахографа (тахограф с блоком СКЗИ)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2" w:leader="none"/>
              </w:tabs>
              <w:suppressAutoHyphens w:val="true"/>
              <w:rPr/>
            </w:pPr>
            <w:r>
              <w:rPr/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Активация блока СКЗИ тахографа, замена блока СКЗИ (НКМ2, НКМ-К), калибровка тахографа с одометром, обслуживание тахографа, замена батареи, опломбирование.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2" w:leader="none"/>
              </w:tabs>
              <w:suppressAutoHyphens w:val="true"/>
              <w:rPr/>
            </w:pPr>
            <w:r>
              <w:rPr/>
            </w:r>
          </w:p>
        </w:tc>
        <w:tc>
          <w:tcPr>
            <w:tcW w:w="4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Изготовление карт водителя.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2" w:leader="none"/>
              </w:tabs>
              <w:suppressAutoHyphens w:val="true"/>
              <w:rPr/>
            </w:pPr>
            <w:r>
              <w:rPr/>
            </w:r>
          </w:p>
        </w:tc>
        <w:tc>
          <w:tcPr>
            <w:tcW w:w="4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Изготовление карт предприятия.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0"/>
          <w:numId w:val="0"/>
        </w:numPr>
        <w:spacing w:lineRule="auto" w:line="276" w:before="0" w:after="0"/>
        <w:ind w:left="0" w:hanging="0"/>
        <w:rPr/>
      </w:pPr>
      <w:r>
        <w:rPr>
          <w:lang w:val="ru-RU"/>
        </w:rPr>
        <w:t>* Объем продукции является ориентировочным. Заказчик не несет ответственности за неполную выборку продукции на общую сумму договора.</w:t>
      </w:r>
    </w:p>
    <w:p>
      <w:pPr>
        <w:pStyle w:val="Heading3"/>
        <w:numPr>
          <w:ilvl w:val="0"/>
          <w:numId w:val="0"/>
        </w:numPr>
        <w:spacing w:lineRule="auto" w:line="276" w:before="0" w:after="0"/>
        <w:ind w:left="0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9"/>
        </w:numPr>
        <w:spacing w:lineRule="auto" w:line="276" w:before="0" w:after="0"/>
        <w:rPr/>
      </w:pPr>
      <w:r>
        <w:rPr>
          <w:lang w:val="ru-RU"/>
        </w:rPr>
        <w:t>Требования к срокам оказания услуг: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1. Исполнитель приступает к оказанию услуг на основании полученного заказ-наряда (Приложение № 1 к настоящему техническому требованию) от Заказчика посредством электронной почты. Срок оказания услуг не должен превышать 5 (пять) рабочих дней с даты подачи заявки.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2. Срок оказания услуг включает в себя срок доставки запасных частей, используемых при оказании услуг.</w:t>
      </w:r>
    </w:p>
    <w:p>
      <w:pPr>
        <w:pStyle w:val="Heading1"/>
        <w:keepLines/>
        <w:numPr>
          <w:ilvl w:val="0"/>
          <w:numId w:val="0"/>
        </w:numPr>
        <w:spacing w:lineRule="auto" w:line="276" w:before="0" w:after="0"/>
        <w:ind w:left="0" w:hanging="0"/>
        <w:rPr/>
      </w:pPr>
      <w:bookmarkStart w:id="31" w:name="_Toc54643707"/>
      <w:bookmarkStart w:id="32" w:name="_Toc51339697"/>
      <w:bookmarkStart w:id="33" w:name="_Toc50125127"/>
      <w:bookmarkStart w:id="34" w:name="_Toc50125126_Копия_1"/>
      <w:bookmarkEnd w:id="3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2"/>
      <w:bookmarkEnd w:id="33"/>
      <w:bookmarkEnd w:id="35"/>
      <w:r>
        <w:rPr>
          <w:sz w:val="24"/>
          <w:szCs w:val="24"/>
          <w:lang w:val="ru-RU"/>
        </w:rPr>
        <w:t>оказания услуг</w:t>
      </w:r>
      <w:bookmarkEnd w:id="31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3858"/>
        <w:gridCol w:w="2039"/>
        <w:gridCol w:w="2749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услуг/ этапа услуг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Требования к началу срока оказания услуг/ этапа услуг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Требования к окончанию срока оказания услуг/этапа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bookmarkStart w:id="36" w:name="_Toc46743510"/>
            <w:r>
              <w:rPr>
                <w:b/>
                <w:sz w:val="18"/>
                <w:szCs w:val="18"/>
              </w:rPr>
              <w:t>4</w:t>
            </w:r>
            <w:bookmarkEnd w:id="36"/>
          </w:p>
        </w:tc>
      </w:tr>
      <w:tr>
        <w:trPr>
          <w:trHeight w:val="666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карт водителя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5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карт предприятия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Поставка блока СКЗИ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блока СКЗИ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Поставка Тахографа (СКЗИ)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Установка Тахографа (СКЗИ)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3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Деактивация блока СКЗИ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Активация блока СКЗИ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Калибровка тахографа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Антена ГЛОНАСС /GPS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3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Замена антенны (с пломбировкой)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Аккумулятор для Тахографа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3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Дисплей тахографа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Замена элементов/модулей КУ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8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Очистка плат от окислений/ разводов/пыли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Отключение/подключение контрольного устройства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Обновление внутреннего ПО и конфигурация контрольного устройства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Прокладка проводки для контрольного устройства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Восстановление /ремонт проводки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Замена колодки предохранителя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Разблокировка карты водителя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3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Диагностика контрольного устройства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Поверка тахографа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активации новых БУ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spacing w:lineRule="auto" w:line="276" w:before="0" w:after="0"/>
        <w:rPr/>
      </w:pPr>
      <w:bookmarkStart w:id="37" w:name="_Toc54643709"/>
      <w:bookmarkStart w:id="38" w:name="_Toc51339698"/>
      <w:bookmarkStart w:id="39" w:name="_Toc54643708"/>
      <w:bookmarkStart w:id="40" w:name="_Toc46743511"/>
      <w:r>
        <w:rPr/>
        <w:t xml:space="preserve">Требования к </w:t>
      </w:r>
      <w:bookmarkEnd w:id="40"/>
      <w:r>
        <w:rPr>
          <w:lang w:val="ru-RU"/>
        </w:rPr>
        <w:t>качеству услуг</w:t>
      </w:r>
      <w:bookmarkEnd w:id="39"/>
    </w:p>
    <w:p>
      <w:pPr>
        <w:pStyle w:val="Heading1"/>
        <w:keepLines/>
        <w:numPr>
          <w:ilvl w:val="0"/>
          <w:numId w:val="0"/>
        </w:numPr>
        <w:spacing w:lineRule="auto" w:line="276" w:before="0" w:after="0"/>
        <w:ind w:left="0" w:hanging="0"/>
        <w:rPr/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8"/>
      <w:r>
        <w:rPr>
          <w:sz w:val="24"/>
          <w:szCs w:val="24"/>
          <w:lang w:val="ru-RU"/>
        </w:rPr>
        <w:t>качеству услуг</w:t>
      </w:r>
      <w:bookmarkEnd w:id="37"/>
      <w:r>
        <w:rPr>
          <w:sz w:val="24"/>
          <w:szCs w:val="24"/>
        </w:rPr>
        <w:t xml:space="preserve"> </w:t>
      </w:r>
    </w:p>
    <w:p>
      <w:pPr>
        <w:pStyle w:val="Normal"/>
        <w:spacing w:lineRule="auto" w:line="276" w:before="0" w:after="0"/>
        <w:jc w:val="both"/>
        <w:rPr/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rFonts w:eastAsia="Calibri"/>
          <w:b w:val="false"/>
          <w:bCs w:val="false"/>
          <w:sz w:val="24"/>
          <w:szCs w:val="24"/>
        </w:rPr>
        <w:t>ОКПД2 26.51.66.190. Оказание услуг по техническому обслуживанию, поставке и установке блоков с</w:t>
      </w:r>
      <w:r>
        <w:rPr>
          <w:rFonts w:eastAsia="Calibri"/>
          <w:b w:val="false"/>
          <w:bCs w:val="false"/>
          <w:color w:val="000000"/>
          <w:sz w:val="24"/>
          <w:szCs w:val="24"/>
          <w:shd w:fill="FFFFFF" w:val="clear"/>
        </w:rPr>
        <w:t>истемы криптографической защиты информации</w:t>
      </w:r>
      <w:r>
        <w:rPr>
          <w:rFonts w:eastAsia="Calibri"/>
          <w:b w:val="false"/>
          <w:bCs w:val="false"/>
          <w:sz w:val="24"/>
          <w:szCs w:val="24"/>
        </w:rPr>
        <w:t>, изготовлению карт водителей и предприятия для тахографов на транспортные средства транспортных участков Южного филиала  АО «ТК РусГидро»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  <w:lang w:eastAsia="x-none"/>
        </w:rPr>
        <w:t>.</w:t>
      </w:r>
    </w:p>
    <w:tbl>
      <w:tblPr>
        <w:tblStyle w:val="affff8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33"/>
        <w:gridCol w:w="2502"/>
        <w:gridCol w:w="3736"/>
        <w:gridCol w:w="11"/>
        <w:gridCol w:w="3742"/>
        <w:gridCol w:w="3"/>
        <w:gridCol w:w="3958"/>
      </w:tblGrid>
      <w:tr>
        <w:trPr/>
        <w:tc>
          <w:tcPr>
            <w:tcW w:w="9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747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70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74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7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bookmarkStart w:id="4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1"/>
          </w:p>
        </w:tc>
        <w:tc>
          <w:tcPr>
            <w:tcW w:w="2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7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Оказание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осуществляется на основании заказ-наряда, направленного в адрес Исполнителя.</w:t>
            </w:r>
          </w:p>
        </w:tc>
        <w:tc>
          <w:tcPr>
            <w:tcW w:w="374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3745" w:type="dxa"/>
            <w:gridSpan w:val="2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 услуги проводятся силами, средствами, с использованием запасных частей и материалов Исполнителя.</w:t>
            </w:r>
          </w:p>
        </w:tc>
        <w:tc>
          <w:tcPr>
            <w:tcW w:w="374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оказания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 Заказчик оставляет за собой право проводить корректировки перечня и объемов услуг по техническому обслуживанию и ремонту по согласованию с Исполнителем, в рамках цены договора.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используемым запасным частям и материалам</w:t>
            </w:r>
          </w:p>
        </w:tc>
        <w:tc>
          <w:tcPr>
            <w:tcW w:w="37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Запасные части, расходные материалы, при оказании услуг по оснащению ТС тахографами, по замене блоков СКЗИ на тахографах, по обслуживанию тахографов, должны быть новыми, не иметь дефектов и соответствовать государственным стандартам, техническим условиям, сертификатам качества, иной нормативно-технической документации, подтверждающей качество продукции.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14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Наличие квалифицированного персонала необходимого для оказания данного вида услуг,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оформленного в соответствии с Гражданским Кодексом Российской Федерации или привлекаемого по трудовым либо гражданско-правовым договорам.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Оказание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по оснащению ТС тахографами, по замене блоков СКЗИ на тахографах, по обслуживанию тахографов осуществляется с целью обеспечения тахографами непрерывной, некорректируемой регистрации информации о скорости и маршруте движения транспортных средств, о времени управления транспортными средствами и отдыха водителей транспортных средств, о режиме труда и отдыха водителей транспортных средств, управление которыми входит в их трудовые обязанности.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4885" w:type="dxa"/>
            <w:gridSpan w:val="7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1224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Приемка результатов оказания услуг осуществляется по факту оказания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Акт сдачи-приёмки оказанных услуг;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ТОРГ-12/УПД;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Счет на оплату;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Счет-фактура (если контрагент является плательщиком НДС).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оказании услуг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руководствоваться нормативно-правовыми и нормативно-техническими документами Российской Федерации, в том числе Приказом Минтранса России от 28.10.2020 N 440, ГОСТ Р34.13-2015,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ГОСТ 34.12-2018.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Исполнитель обязан предоставить гарантии на установленное оборудование согласно срокам, установленных заводом-изготовителем, а на оказанные услуги не менее 12 месяцев с даты подписания Актов сдачи-приемки оказанных услуг.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38" w:type="dxa"/>
            <w:gridSpan w:val="2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b w:val="false"/>
                <w:bCs/>
                <w:kern w:val="0"/>
                <w:sz w:val="24"/>
                <w:szCs w:val="24"/>
                <w:lang w:val="ru-RU" w:eastAsia="en-US" w:bidi="ar-SA"/>
              </w:rPr>
              <w:t xml:space="preserve">Наличие лицензии </w:t>
            </w:r>
            <w:hyperlink r:id="rId5" w:tgtFrame="_blank">
              <w:r>
                <w:rPr>
                  <w:rStyle w:val="Hyperlink"/>
                  <w:rFonts w:eastAsia="Times New Roman" w:cs="Times New Roman"/>
                  <w:b w:val="false"/>
                  <w:bCs/>
                  <w:i w:val="false"/>
                  <w:caps w:val="false"/>
                  <w:smallCaps w:val="false"/>
                  <w:color w:val="000000"/>
                  <w:spacing w:val="0"/>
                  <w:kern w:val="0"/>
                  <w:sz w:val="24"/>
                  <w:szCs w:val="24"/>
                  <w:u w:val="none"/>
                  <w:shd w:fill="FFFFFF" w:val="clear"/>
                  <w:lang w:val="ru-RU" w:eastAsia="ru-RU" w:bidi="ar-SA"/>
                </w:rPr>
                <w:t>на деятельность, связанную с шифровальными (криптографическими) средствами</w:t>
              </w:r>
            </w:hyperlink>
            <w:r>
              <w:rPr>
                <w:rFonts w:eastAsia="Calibri" w:cs="Times New Roman"/>
                <w:b w:val="false"/>
                <w:bCs/>
                <w:kern w:val="0"/>
                <w:sz w:val="24"/>
                <w:szCs w:val="24"/>
                <w:lang w:val="ru-RU" w:eastAsia="en-US" w:bidi="ar-SA"/>
              </w:rPr>
              <w:t>, в сответствии с требованиями Федерального Закона РФ № 99-ФЗ от 04.05.2011 г., и постановления Правительства РФ № 313 от 16.04.2012 г.</w:t>
            </w:r>
          </w:p>
        </w:tc>
        <w:tc>
          <w:tcPr>
            <w:tcW w:w="3753" w:type="dxa"/>
            <w:gridSpan w:val="2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96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Выписка из реестра лицензий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both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В стоимость услуг входит поставка оборудования  и расходных материалов, командировочные расходы, транспортные расходы, страхование, уплату таможенных пошлин, сборов и других обязательных платежей.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spacing w:lineRule="auto" w:line="276" w:before="0" w:after="0"/>
        <w:ind w:left="357" w:hanging="357"/>
        <w:jc w:val="center"/>
        <w:rPr/>
      </w:pPr>
      <w:bookmarkStart w:id="42" w:name="_Toc54643710"/>
      <w:bookmarkStart w:id="43" w:name="_Toc53393312"/>
      <w:bookmarkStart w:id="44" w:name="_Toc53395937"/>
      <w:bookmarkStart w:id="45" w:name="_Toc46743519"/>
      <w:bookmarkStart w:id="46" w:name="_Toc51339699"/>
      <w:bookmarkEnd w:id="45"/>
      <w:bookmarkEnd w:id="46"/>
      <w:r>
        <w:rPr>
          <w:lang w:val="ru-RU"/>
        </w:rPr>
        <w:t>Требования к документации по ценообразованию</w:t>
      </w:r>
      <w:bookmarkEnd w:id="43"/>
      <w:bookmarkEnd w:id="44"/>
      <w:r>
        <w:rPr>
          <w:lang w:val="ru-RU"/>
        </w:rPr>
        <w:t xml:space="preserve"> на этапе закупки</w:t>
      </w:r>
      <w:bookmarkEnd w:id="42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0" w:after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Heading4"/>
        <w:keepNext w:val="true"/>
        <w:widowControl/>
        <w:numPr>
          <w:ilvl w:val="1"/>
          <w:numId w:val="10"/>
        </w:numPr>
        <w:suppressAutoHyphens w:val="true"/>
        <w:bidi w:val="0"/>
        <w:spacing w:lineRule="auto" w:line="276" w:before="0" w:after="0"/>
        <w:ind w:left="737" w:right="0" w:hanging="0"/>
        <w:jc w:val="both"/>
        <w:rPr/>
      </w:pPr>
      <w:r>
        <w:rPr>
          <w:b w:val="false"/>
          <w:bCs w:val="false"/>
          <w:i w:val="false"/>
          <w:iCs w:val="false"/>
          <w:sz w:val="26"/>
          <w:szCs w:val="26"/>
          <w:u w:val="none"/>
          <w:lang w:eastAsia="x-none"/>
        </w:rPr>
        <w:t>В цену договора включены стоимость блоков СКЗИ, активации СКЗИ и калибровки тахографов и карт водителя, а также стоимость замены блоков СКЗИ.</w:t>
      </w:r>
    </w:p>
    <w:p>
      <w:pPr>
        <w:pStyle w:val="ListParagraph"/>
        <w:numPr>
          <w:ilvl w:val="1"/>
          <w:numId w:val="10"/>
        </w:numPr>
        <w:spacing w:lineRule="auto" w:line="276" w:before="0" w:after="0"/>
        <w:ind w:left="0" w:firstLine="709"/>
        <w:contextualSpacing w:val="false"/>
        <w:jc w:val="both"/>
        <w:rPr/>
      </w:pPr>
      <w:r>
        <w:rPr>
          <w:rFonts w:eastAsia="Calibri"/>
          <w:b w:val="false"/>
          <w:bCs w:val="false"/>
          <w:i w:val="false"/>
          <w:iCs w:val="false"/>
          <w:sz w:val="26"/>
          <w:szCs w:val="26"/>
          <w:u w:val="none"/>
          <w:lang w:val="x-none" w:eastAsia="x-none"/>
        </w:rPr>
        <w:t>Дополнительные документы по ценообразованию в состав заявки не включаются.</w:t>
      </w:r>
    </w:p>
    <w:p>
      <w:pPr>
        <w:pStyle w:val="Heading1"/>
        <w:keepLines/>
        <w:numPr>
          <w:ilvl w:val="0"/>
          <w:numId w:val="0"/>
        </w:numPr>
        <w:spacing w:lineRule="auto" w:line="276" w:before="0" w:after="0"/>
        <w:ind w:left="0" w:hanging="0"/>
        <w:rPr>
          <w:b w:val="false"/>
          <w:bCs w:val="false"/>
          <w:i w:val="false"/>
          <w:i w:val="false"/>
          <w:iCs w:val="false"/>
          <w:caps/>
          <w:u w:val="none"/>
          <w:lang w:val="ru-RU"/>
        </w:rPr>
      </w:pPr>
      <w:r>
        <w:rPr>
          <w:b w:val="false"/>
          <w:bCs w:val="false"/>
          <w:i w:val="false"/>
          <w:iCs w:val="false"/>
          <w:caps/>
          <w:u w:val="none"/>
          <w:lang w:val="ru-RU"/>
        </w:rPr>
      </w:r>
    </w:p>
    <w:p>
      <w:pPr>
        <w:pStyle w:val="Normal"/>
        <w:ind w:right="-2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ind w:right="-2" w:hanging="0"/>
        <w:jc w:val="both"/>
        <w:rPr>
          <w:bCs/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t>Руководитель ГКЭОиРТС                                                                                        Ю.А. Патычек</w:t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jc w:val="right"/>
        <w:rPr>
          <w:sz w:val="24"/>
        </w:rPr>
      </w:pPr>
      <w:r>
        <w:rPr>
          <w:sz w:val="24"/>
        </w:rPr>
        <w:t>Приложение № 1</w:t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jc w:val="right"/>
        <w:rPr>
          <w:sz w:val="24"/>
        </w:rPr>
      </w:pPr>
      <w:r>
        <w:rPr>
          <w:sz w:val="24"/>
        </w:rPr>
        <w:t xml:space="preserve">к Техническому требованию </w:t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rPr/>
      </w:pPr>
      <w:r>
        <w:rPr/>
      </w:r>
    </w:p>
    <w:p>
      <w:pPr>
        <w:pStyle w:val="Normal"/>
        <w:ind w:firstLine="56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ЗАКАЗ-НАРЯД №___ от «_____» ____________ 20___ г.</w:t>
      </w:r>
    </w:p>
    <w:p>
      <w:pPr>
        <w:pStyle w:val="Normal"/>
        <w:numPr>
          <w:ilvl w:val="0"/>
          <w:numId w:val="0"/>
        </w:numPr>
        <w:tabs>
          <w:tab w:val="left" w:pos="708" w:leader="none"/>
        </w:tabs>
        <w:spacing w:beforeAutospacing="1" w:afterAutospacing="1"/>
        <w:ind w:left="567" w:hanging="0"/>
        <w:jc w:val="center"/>
        <w:outlineLvl w:val="0"/>
        <w:rPr>
          <w:bCs/>
          <w:color w:val="000000"/>
          <w:kern w:val="2"/>
          <w:sz w:val="20"/>
          <w:szCs w:val="20"/>
        </w:rPr>
      </w:pPr>
      <w:bookmarkStart w:id="47" w:name="_Toc323557969"/>
      <w:r>
        <w:rPr>
          <w:b/>
          <w:bCs/>
          <w:kern w:val="2"/>
          <w:sz w:val="20"/>
          <w:szCs w:val="20"/>
        </w:rPr>
        <w:t>на оказание услуг по установке, проверке, техническому обслуживанию и ремонту контрольных устройств, устанавливаемых на транспортных средствах</w:t>
      </w:r>
      <w:bookmarkEnd w:id="47"/>
    </w:p>
    <w:tbl>
      <w:tblPr>
        <w:tblW w:w="9606" w:type="dxa"/>
        <w:jc w:val="left"/>
        <w:tblInd w:w="3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925"/>
        <w:gridCol w:w="7680"/>
      </w:tblGrid>
      <w:tr>
        <w:trPr>
          <w:trHeight w:val="413" w:hRule="atLeast"/>
        </w:trPr>
        <w:tc>
          <w:tcPr>
            <w:tcW w:w="1925" w:type="dxa"/>
            <w:tcBorders>
              <w:top w:val="threeDEmboss" w:sz="24" w:space="0" w:color="000000"/>
              <w:left w:val="threeDEmboss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Заказчик</w:t>
            </w:r>
            <w:r>
              <w:rPr>
                <w:b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680" w:type="dxa"/>
            <w:tcBorders>
              <w:top w:val="threeDEmboss" w:sz="24" w:space="0" w:color="000000"/>
              <w:left w:val="single" w:sz="4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</w:tr>
      <w:tr>
        <w:trPr>
          <w:trHeight w:val="391" w:hRule="atLeast"/>
        </w:trPr>
        <w:tc>
          <w:tcPr>
            <w:tcW w:w="1925" w:type="dxa"/>
            <w:tcBorders>
              <w:top w:val="single" w:sz="12" w:space="0" w:color="000000"/>
              <w:left w:val="threeDEmboss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Адрес:</w:t>
            </w:r>
          </w:p>
        </w:tc>
        <w:tc>
          <w:tcPr>
            <w:tcW w:w="76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</w:tr>
      <w:tr>
        <w:trPr>
          <w:trHeight w:val="490" w:hRule="atLeast"/>
        </w:trPr>
        <w:tc>
          <w:tcPr>
            <w:tcW w:w="1925" w:type="dxa"/>
            <w:tcBorders>
              <w:top w:val="single" w:sz="12" w:space="0" w:color="000000"/>
              <w:left w:val="threeDEmboss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Исполнитель:</w:t>
            </w:r>
          </w:p>
        </w:tc>
        <w:tc>
          <w:tcPr>
            <w:tcW w:w="76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</w:tr>
      <w:tr>
        <w:trPr>
          <w:trHeight w:val="490" w:hRule="atLeast"/>
        </w:trPr>
        <w:tc>
          <w:tcPr>
            <w:tcW w:w="1925" w:type="dxa"/>
            <w:tcBorders>
              <w:top w:val="single" w:sz="12" w:space="0" w:color="000000"/>
              <w:left w:val="threeDEmboss" w:sz="24" w:space="0" w:color="000000"/>
              <w:bottom w:val="threeDEmboss" w:sz="2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Место оказания услуг:</w:t>
            </w:r>
          </w:p>
        </w:tc>
        <w:tc>
          <w:tcPr>
            <w:tcW w:w="7680" w:type="dxa"/>
            <w:tcBorders>
              <w:top w:val="single" w:sz="12" w:space="0" w:color="000000"/>
              <w:left w:val="single" w:sz="4" w:space="0" w:color="000000"/>
              <w:bottom w:val="threeDEmboss" w:sz="2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>По-настоящему Заказ-наряду исполнитель оказывает услуги на транспортном средстве Заказчика, а Заказчик принимает результаты оказанных Услуг на следующем транспортном средстве:</w:t>
      </w:r>
    </w:p>
    <w:tbl>
      <w:tblPr>
        <w:tblW w:w="9606" w:type="dxa"/>
        <w:jc w:val="left"/>
        <w:tblInd w:w="3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950"/>
        <w:gridCol w:w="7655"/>
      </w:tblGrid>
      <w:tr>
        <w:trPr/>
        <w:tc>
          <w:tcPr>
            <w:tcW w:w="9605" w:type="dxa"/>
            <w:gridSpan w:val="2"/>
            <w:tcBorders>
              <w:top w:val="threeDEmboss" w:sz="24" w:space="0" w:color="000000"/>
              <w:left w:val="threeDEmboss" w:sz="24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Транспортное средство</w:t>
            </w:r>
          </w:p>
        </w:tc>
      </w:tr>
      <w:tr>
        <w:trPr/>
        <w:tc>
          <w:tcPr>
            <w:tcW w:w="1950" w:type="dxa"/>
            <w:tcBorders>
              <w:top w:val="single" w:sz="12" w:space="0" w:color="000000"/>
              <w:left w:val="threeDEmboss" w:sz="2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1950" w:type="dxa"/>
            <w:tcBorders>
              <w:top w:val="single" w:sz="12" w:space="0" w:color="000000"/>
              <w:left w:val="threeDEmboss" w:sz="2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 xml:space="preserve">Гос. рег. </w:t>
            </w:r>
            <w:r>
              <w:rPr>
                <w:color w:val="000000"/>
                <w:sz w:val="20"/>
                <w:szCs w:val="20"/>
                <w:lang w:eastAsia="en-US"/>
              </w:rPr>
              <w:t>номер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1950" w:type="dxa"/>
            <w:tcBorders>
              <w:top w:val="single" w:sz="12" w:space="0" w:color="000000"/>
              <w:left w:val="threeDEmboss" w:sz="2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VIN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1950" w:type="dxa"/>
            <w:tcBorders>
              <w:top w:val="single" w:sz="12" w:space="0" w:color="000000"/>
              <w:left w:val="threeDEmboss" w:sz="24" w:space="0" w:color="000000"/>
              <w:bottom w:val="threeDEmboss" w:sz="2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Пробег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threeDEmboss" w:sz="2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</w:r>
          </w:p>
        </w:tc>
      </w:tr>
    </w:tbl>
    <w:p>
      <w:pPr>
        <w:pStyle w:val="Normal"/>
        <w:rPr>
          <w:color w:val="000000"/>
          <w:sz w:val="20"/>
          <w:szCs w:val="20"/>
          <w:lang w:val="en-US" w:eastAsia="en-US"/>
        </w:rPr>
      </w:pPr>
      <w:r>
        <w:rPr>
          <w:color w:val="000000"/>
          <w:sz w:val="20"/>
          <w:szCs w:val="20"/>
          <w:lang w:val="en-US" w:eastAsia="en-US"/>
        </w:rPr>
      </w:r>
    </w:p>
    <w:tbl>
      <w:tblPr>
        <w:tblW w:w="9606" w:type="dxa"/>
        <w:jc w:val="left"/>
        <w:tblInd w:w="3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076"/>
        <w:gridCol w:w="5529"/>
      </w:tblGrid>
      <w:tr>
        <w:trPr/>
        <w:tc>
          <w:tcPr>
            <w:tcW w:w="9605" w:type="dxa"/>
            <w:gridSpan w:val="2"/>
            <w:tcBorders>
              <w:top w:val="threeDEmboss" w:sz="24" w:space="0" w:color="000000"/>
              <w:left w:val="threeDEmboss" w:sz="24" w:space="0" w:color="000000"/>
              <w:bottom w:val="single" w:sz="4" w:space="0" w:color="000000"/>
              <w:right w:val="threeDEmboss" w:sz="2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color w:val="000000"/>
                <w:sz w:val="20"/>
                <w:szCs w:val="20"/>
                <w:lang w:val="en-US"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Данные об установленном оборудовании</w:t>
            </w:r>
          </w:p>
        </w:tc>
      </w:tr>
      <w:tr>
        <w:trPr/>
        <w:tc>
          <w:tcPr>
            <w:tcW w:w="4076" w:type="dxa"/>
            <w:tcBorders>
              <w:top w:val="single" w:sz="4" w:space="0" w:color="000000"/>
              <w:left w:val="threeDEmboss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Модель тахографа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color w:val="000000"/>
                <w:sz w:val="20"/>
                <w:szCs w:val="20"/>
                <w:lang w:val="en-US" w:eastAsia="ar-SA"/>
              </w:rPr>
            </w:pPr>
            <w:r>
              <w:rPr>
                <w:b/>
                <w:color w:val="000000"/>
                <w:sz w:val="20"/>
                <w:szCs w:val="20"/>
                <w:lang w:val="en-US" w:eastAsia="ar-SA"/>
              </w:rPr>
            </w:r>
          </w:p>
        </w:tc>
      </w:tr>
      <w:tr>
        <w:trPr/>
        <w:tc>
          <w:tcPr>
            <w:tcW w:w="4076" w:type="dxa"/>
            <w:tcBorders>
              <w:top w:val="single" w:sz="4" w:space="0" w:color="000000"/>
              <w:left w:val="threeDEmboss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Серийный номер</w:t>
            </w:r>
            <w:r>
              <w:rPr>
                <w:color w:val="000000"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ar-SA"/>
              </w:rPr>
              <w:t>тахографа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color w:val="000000"/>
                <w:sz w:val="20"/>
                <w:szCs w:val="20"/>
                <w:lang w:val="en-US" w:eastAsia="ar-SA"/>
              </w:rPr>
            </w:pPr>
            <w:r>
              <w:rPr>
                <w:b/>
                <w:color w:val="000000"/>
                <w:sz w:val="20"/>
                <w:szCs w:val="20"/>
                <w:lang w:val="en-US" w:eastAsia="ar-SA"/>
              </w:rPr>
            </w:r>
          </w:p>
        </w:tc>
      </w:tr>
      <w:tr>
        <w:trPr/>
        <w:tc>
          <w:tcPr>
            <w:tcW w:w="4076" w:type="dxa"/>
            <w:tcBorders>
              <w:top w:val="single" w:sz="4" w:space="0" w:color="000000"/>
              <w:left w:val="threeDEmboss" w:sz="24" w:space="0" w:color="000000"/>
              <w:bottom w:val="threeDEmboss" w:sz="2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Рег. номер модуля НКМ в составе тахографа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threeDEmboss" w:sz="2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</w:r>
          </w:p>
        </w:tc>
      </w:tr>
    </w:tbl>
    <w:p>
      <w:pPr>
        <w:pStyle w:val="Normal"/>
        <w:rPr>
          <w:b/>
          <w:color w:val="000000"/>
          <w:sz w:val="20"/>
          <w:szCs w:val="20"/>
          <w:lang w:eastAsia="ar-SA"/>
        </w:rPr>
      </w:pPr>
      <w:r>
        <w:rPr>
          <w:b/>
          <w:color w:val="000000"/>
          <w:sz w:val="20"/>
          <w:szCs w:val="20"/>
          <w:lang w:eastAsia="ar-SA"/>
        </w:rPr>
      </w:r>
    </w:p>
    <w:tbl>
      <w:tblPr>
        <w:tblW w:w="9606" w:type="dxa"/>
        <w:jc w:val="left"/>
        <w:tblInd w:w="3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36"/>
        <w:gridCol w:w="3969"/>
      </w:tblGrid>
      <w:tr>
        <w:trPr>
          <w:trHeight w:val="414" w:hRule="atLeast"/>
        </w:trPr>
        <w:tc>
          <w:tcPr>
            <w:tcW w:w="5636" w:type="dxa"/>
            <w:tcBorders>
              <w:top w:val="threeDEmboss" w:sz="24" w:space="0" w:color="000000"/>
              <w:left w:val="threeDEmboss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Описание оказанных услуг</w:t>
            </w:r>
          </w:p>
        </w:tc>
        <w:tc>
          <w:tcPr>
            <w:tcW w:w="3969" w:type="dxa"/>
            <w:tcBorders>
              <w:top w:val="threeDEmboss" w:sz="24" w:space="0" w:color="000000"/>
              <w:left w:val="single" w:sz="8" w:space="0" w:color="000000"/>
              <w:bottom w:val="single" w:sz="8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Описание затраченных материалов</w:t>
            </w:r>
          </w:p>
        </w:tc>
      </w:tr>
      <w:tr>
        <w:trPr>
          <w:trHeight w:val="414" w:hRule="atLeast"/>
        </w:trPr>
        <w:tc>
          <w:tcPr>
            <w:tcW w:w="5636" w:type="dxa"/>
            <w:tcBorders>
              <w:top w:val="single" w:sz="8" w:space="0" w:color="000000"/>
              <w:left w:val="threeDEmboss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>
          <w:trHeight w:val="414" w:hRule="atLeast"/>
        </w:trPr>
        <w:tc>
          <w:tcPr>
            <w:tcW w:w="5636" w:type="dxa"/>
            <w:tcBorders>
              <w:top w:val="single" w:sz="8" w:space="0" w:color="000000"/>
              <w:left w:val="threeDEmboss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>
          <w:trHeight w:val="414" w:hRule="atLeast"/>
        </w:trPr>
        <w:tc>
          <w:tcPr>
            <w:tcW w:w="5636" w:type="dxa"/>
            <w:tcBorders>
              <w:top w:val="single" w:sz="8" w:space="0" w:color="000000"/>
              <w:left w:val="threeDEmboss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>
          <w:trHeight w:val="414" w:hRule="atLeast"/>
        </w:trPr>
        <w:tc>
          <w:tcPr>
            <w:tcW w:w="5636" w:type="dxa"/>
            <w:tcBorders>
              <w:top w:val="single" w:sz="8" w:space="0" w:color="000000"/>
              <w:left w:val="threeDEmboss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>
          <w:trHeight w:val="414" w:hRule="atLeast"/>
        </w:trPr>
        <w:tc>
          <w:tcPr>
            <w:tcW w:w="5636" w:type="dxa"/>
            <w:tcBorders>
              <w:top w:val="single" w:sz="8" w:space="0" w:color="000000"/>
              <w:left w:val="threeDEmboss" w:sz="24" w:space="0" w:color="000000"/>
              <w:bottom w:val="threeDEmboss" w:sz="2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threeDEmboss" w:sz="2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</w:tbl>
    <w:p>
      <w:pPr>
        <w:pStyle w:val="Normal"/>
        <w:rPr>
          <w:color w:val="000000"/>
          <w:sz w:val="20"/>
          <w:szCs w:val="20"/>
          <w:lang w:eastAsia="ar-SA"/>
        </w:rPr>
      </w:pPr>
      <w:r>
        <w:rPr>
          <w:color w:val="000000"/>
          <w:sz w:val="20"/>
          <w:szCs w:val="20"/>
          <w:lang w:eastAsia="ar-SA"/>
        </w:rPr>
      </w:r>
    </w:p>
    <w:p>
      <w:pPr>
        <w:pStyle w:val="Normal"/>
        <w:rPr>
          <w:color w:val="000000"/>
          <w:sz w:val="20"/>
          <w:szCs w:val="20"/>
          <w:lang w:eastAsia="ar-SA"/>
        </w:rPr>
      </w:pPr>
      <w:r>
        <w:rPr>
          <w:color w:val="000000"/>
          <w:sz w:val="20"/>
          <w:szCs w:val="20"/>
          <w:lang w:eastAsia="ar-SA"/>
        </w:rPr>
        <w:t>Представитель Заказчика подтверждает, что принимает оказание услуг, которые были проведены на данном транспортном средстве. Претензий к функционированию Оборудования в комплекте не имеет. Автомобиль находится в исправном состоянии.</w:t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rPr>
          <w:sz w:val="20"/>
        </w:rPr>
      </w:pPr>
      <w:r>
        <w:rPr>
          <w:sz w:val="20"/>
        </w:rPr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rPr>
          <w:sz w:val="20"/>
        </w:rPr>
      </w:pPr>
      <w:r>
        <w:rPr>
          <w:sz w:val="20"/>
        </w:rPr>
        <w:t>Исполнитель ________________________________ /_______________________________/</w:t>
      </w:r>
    </w:p>
    <w:p>
      <w:pPr>
        <w:pStyle w:val="Normal"/>
        <w:widowControl w:val="false"/>
        <w:tabs>
          <w:tab w:val="clear" w:pos="708"/>
          <w:tab w:val="left" w:pos="1418" w:leader="none"/>
        </w:tabs>
        <w:spacing w:before="0" w:after="0"/>
        <w:contextualSpacing/>
        <w:rPr>
          <w:sz w:val="16"/>
        </w:rPr>
      </w:pPr>
      <w:r>
        <w:rPr>
          <w:sz w:val="16"/>
        </w:rPr>
        <w:tab/>
        <w:t>М.П.</w:t>
      </w:r>
    </w:p>
    <w:p>
      <w:pPr>
        <w:pStyle w:val="Normal"/>
        <w:widowControl w:val="false"/>
        <w:spacing w:before="0" w:after="0"/>
        <w:contextualSpacing/>
        <w:rPr>
          <w:sz w:val="20"/>
        </w:rPr>
      </w:pPr>
      <w:r>
        <w:rPr>
          <w:sz w:val="20"/>
        </w:rPr>
      </w:r>
    </w:p>
    <w:p>
      <w:pPr>
        <w:pStyle w:val="Normal"/>
        <w:widowControl w:val="false"/>
        <w:spacing w:before="0" w:after="0"/>
        <w:contextualSpacing/>
        <w:rPr>
          <w:sz w:val="20"/>
        </w:rPr>
      </w:pPr>
      <w:r>
        <w:rPr>
          <w:sz w:val="20"/>
        </w:rPr>
      </w:r>
    </w:p>
    <w:p>
      <w:pPr>
        <w:pStyle w:val="Normal"/>
        <w:widowControl w:val="false"/>
        <w:spacing w:before="0" w:after="0"/>
        <w:contextualSpacing/>
        <w:rPr>
          <w:sz w:val="20"/>
        </w:rPr>
      </w:pPr>
      <w:r>
        <w:rPr>
          <w:sz w:val="20"/>
        </w:rPr>
        <w:t>Заказчик ___________________________________ /_______________________________/</w:t>
      </w:r>
    </w:p>
    <w:p>
      <w:pPr>
        <w:pStyle w:val="Normal"/>
        <w:widowControl w:val="false"/>
        <w:tabs>
          <w:tab w:val="clear" w:pos="708"/>
          <w:tab w:val="left" w:pos="1418" w:leader="none"/>
        </w:tabs>
        <w:spacing w:before="0" w:after="0"/>
        <w:contextualSpacing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7655" w:leader="none"/>
          <w:tab w:val="left" w:pos="7797" w:leader="none"/>
        </w:tabs>
        <w:jc w:val="right"/>
        <w:rPr>
          <w:lang w:eastAsia="x-none"/>
        </w:rPr>
      </w:pPr>
      <w:r>
        <w:rPr>
          <w:lang w:eastAsia="x-none"/>
        </w:rPr>
      </w:r>
    </w:p>
    <w:p>
      <w:pPr>
        <w:pStyle w:val="Normal"/>
        <w:jc w:val="right"/>
        <w:rPr/>
      </w:pPr>
      <w:r>
        <w:rPr/>
      </w:r>
    </w:p>
    <w:sectPr>
      <w:headerReference w:type="default" r:id="rId10"/>
      <w:headerReference w:type="first" r:id="rId11"/>
      <w:type w:val="nextPage"/>
      <w:pgSz w:w="11906" w:h="16838"/>
      <w:pgMar w:left="1134" w:right="851" w:gutter="0" w:header="680" w:top="99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9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11                                                                                    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13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480" w:hanging="480"/>
      </w:pPr>
      <w:rPr/>
    </w:lvl>
    <w:lvl w:ilvl="2">
      <w:start w:val="2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sz w:val="26"/>
        <w:i w:val="false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15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lineRule="exact" w:line="227"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64033a"/>
    <w:pPr>
      <w:spacing w:before="120" w:after="0"/>
      <w:ind w:firstLine="567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4033a"/>
    <w:pPr>
      <w:tabs>
        <w:tab w:val="clear" w:pos="708"/>
        <w:tab w:val="left" w:pos="140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1d0d22"/>
    <w:pPr>
      <w:spacing w:before="120" w:after="0"/>
      <w:jc w:val="both"/>
    </w:pPr>
    <w:rPr>
      <w:rFonts w:eastAsia="Calibri" w:eastAsiaTheme="minorHAnsi"/>
      <w:color w:val="000000"/>
      <w:sz w:val="26"/>
      <w:szCs w:val="26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7681536421">
    <w:name w:val="768153642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://clsz.fsb.ru/files/download/licenzii_H_240125.doc" TargetMode="Externa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0EF6D-4CCA-4FDC-A3A8-2B4D921C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Application>AlterOffice/3.4.0.9$Linux_X86_64 LibreOffice_project/b8daf9e823b1a5463a2f48435ddc2e8696e7d4fc</Application>
  <AppVersion>15.0000</AppVersion>
  <DocSecurity>4</DocSecurity>
  <Pages>12</Pages>
  <Words>2184</Words>
  <Characters>14804</Characters>
  <CharactersWithSpaces>17935</CharactersWithSpaces>
  <Paragraphs>385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2025-01-24T11:44:00Z</dcterms:created>
  <dc:creator>Быстров Олег Геннадьевич</dc:creator>
  <dc:description/>
  <dc:language>ru-RU</dc:language>
  <cp:lastModifiedBy>chebannyjai@corp.gidroogk.com</cp:lastModifiedBy>
  <cp:lastPrinted>2026-09-10T10:56:15Z</cp:lastPrinted>
  <dcterms:modified xsi:type="dcterms:W3CDTF">2026-09-10T10:56:03Z</dcterms:modified>
  <cp:revision>36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