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71" w:rsidRDefault="001E2E71">
      <w:pPr>
        <w:pStyle w:val="12"/>
        <w:tabs>
          <w:tab w:val="left" w:leader="underscore" w:pos="5462"/>
        </w:tabs>
        <w:spacing w:line="240" w:lineRule="auto"/>
        <w:ind w:firstLine="0"/>
        <w:jc w:val="center"/>
        <w:rPr>
          <w:sz w:val="23"/>
          <w:szCs w:val="23"/>
        </w:rPr>
      </w:pPr>
    </w:p>
    <w:p w:rsidR="001E2E71" w:rsidRDefault="001E2E71">
      <w:pPr>
        <w:widowControl/>
        <w:spacing w:line="271" w:lineRule="auto"/>
        <w:jc w:val="center"/>
        <w:rPr>
          <w:rFonts w:ascii="Times New Roman" w:hAnsi="Times New Roman"/>
          <w:b/>
          <w:sz w:val="22"/>
        </w:rPr>
      </w:pPr>
    </w:p>
    <w:p w:rsidR="001E2E71" w:rsidRDefault="00EF39B8">
      <w:pPr>
        <w:widowControl/>
        <w:spacing w:line="271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ТЕХНИЧЕСКОЕ ЗАДАНИЕ</w:t>
      </w:r>
    </w:p>
    <w:p w:rsidR="001E2E71" w:rsidRDefault="00EF39B8">
      <w:pPr>
        <w:widowControl/>
        <w:ind w:left="640" w:firstLine="34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на выполнение работ по реконструкции региональной системы оповещ</w:t>
      </w:r>
      <w:r w:rsidR="00E31E51">
        <w:rPr>
          <w:rFonts w:ascii="Times New Roman" w:hAnsi="Times New Roman"/>
          <w:b/>
          <w:sz w:val="22"/>
        </w:rPr>
        <w:t>ения населения Республики Алтай</w:t>
      </w:r>
    </w:p>
    <w:p w:rsidR="001E2E71" w:rsidRDefault="001E2E71">
      <w:pPr>
        <w:widowControl/>
        <w:ind w:left="640" w:firstLine="340"/>
        <w:jc w:val="center"/>
        <w:rPr>
          <w:rFonts w:ascii="Times New Roman" w:hAnsi="Times New Roman"/>
          <w:b/>
          <w:sz w:val="22"/>
        </w:rPr>
      </w:pPr>
    </w:p>
    <w:p w:rsidR="001E2E71" w:rsidRDefault="001E2E71">
      <w:pPr>
        <w:widowControl/>
        <w:ind w:left="640" w:firstLine="340"/>
        <w:jc w:val="center"/>
        <w:rPr>
          <w:rFonts w:ascii="Times New Roman" w:hAnsi="Times New Roman"/>
          <w:sz w:val="22"/>
        </w:rPr>
      </w:pPr>
    </w:p>
    <w:p w:rsidR="001E2E71" w:rsidRDefault="00EF39B8">
      <w:pPr>
        <w:pStyle w:val="af7"/>
        <w:keepNext/>
        <w:keepLines/>
        <w:widowControl/>
        <w:numPr>
          <w:ilvl w:val="0"/>
          <w:numId w:val="4"/>
        </w:numPr>
        <w:tabs>
          <w:tab w:val="left" w:pos="287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сведения</w:t>
      </w:r>
    </w:p>
    <w:p w:rsidR="001E2E71" w:rsidRDefault="00EF39B8">
      <w:pPr>
        <w:widowControl/>
        <w:tabs>
          <w:tab w:val="left" w:pos="6103"/>
        </w:tabs>
        <w:spacing w:line="276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системы оповещения в соответствии с Постановлением Правительства Российской Федерации от 17.05.2023 № 769 "О порядке создания, реконструкции и поддержания в состоянии постоянной готовности к использованию систем оповещения населения":</w:t>
      </w:r>
    </w:p>
    <w:p w:rsidR="001E2E71" w:rsidRDefault="00EF39B8">
      <w:pPr>
        <w:widowControl/>
        <w:tabs>
          <w:tab w:val="left" w:pos="6103"/>
        </w:tabs>
        <w:spacing w:line="276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Региональная система оповещения населения (далее - РСОН) (ранее - Региональная автоматизированная система централизованного оповещения (РАСЦО) Республики Алтай.</w:t>
      </w:r>
    </w:p>
    <w:p w:rsidR="001E2E71" w:rsidRDefault="00EF39B8">
      <w:pPr>
        <w:widowControl/>
        <w:tabs>
          <w:tab w:val="left" w:pos="6103"/>
        </w:tabs>
        <w:spacing w:line="276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 реконструкции системы оповещения населения Республики Алтай в части замещения каналов ТВ и РВ, филиал РТРС «РТПЦ Республики Алтай», производить на основании проектной документации «Замещения каналов ТВ и РВ, филиал РТРС «РТПЦ Республики Алтай» (шифр проекта РСОН-РА-06-2025.ПД2.3). Проектная документация предоставляется в течении 2-х рабочих дней после заключения Договора.</w:t>
      </w:r>
    </w:p>
    <w:p w:rsidR="001E2E71" w:rsidRDefault="00EF39B8">
      <w:pPr>
        <w:widowControl/>
        <w:tabs>
          <w:tab w:val="left" w:pos="6103"/>
        </w:tabs>
        <w:spacing w:line="276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реконструкции: повышение эффективности функционирования региональной системы оповещения населения и дальнейшее ее развитие на базе современных технических средств.</w:t>
      </w:r>
    </w:p>
    <w:p w:rsidR="00367B7E" w:rsidRPr="00367B7E" w:rsidRDefault="00367B7E" w:rsidP="00367B7E">
      <w:pPr>
        <w:widowControl/>
        <w:tabs>
          <w:tab w:val="left" w:pos="6103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</w:t>
      </w:r>
      <w:bookmarkStart w:id="0" w:name="_GoBack"/>
      <w:bookmarkEnd w:id="0"/>
      <w:r w:rsidRPr="00367B7E">
        <w:rPr>
          <w:rFonts w:ascii="Times New Roman" w:hAnsi="Times New Roman"/>
        </w:rPr>
        <w:t>Место выполнения работ: Российская Федерация, Респ. Алтай, г.о. город Горно-Алтайск, г. Горно-Алтайск.</w:t>
      </w:r>
    </w:p>
    <w:p w:rsidR="00367B7E" w:rsidRDefault="00367B7E">
      <w:pPr>
        <w:widowControl/>
        <w:tabs>
          <w:tab w:val="left" w:pos="6103"/>
        </w:tabs>
        <w:spacing w:line="276" w:lineRule="auto"/>
        <w:ind w:firstLine="540"/>
        <w:jc w:val="both"/>
        <w:rPr>
          <w:rFonts w:ascii="Times New Roman" w:hAnsi="Times New Roman"/>
        </w:rPr>
      </w:pP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301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Правовые основания</w:t>
      </w:r>
    </w:p>
    <w:p w:rsidR="001E2E71" w:rsidRDefault="00EF39B8">
      <w:pPr>
        <w:widowControl/>
        <w:spacing w:line="276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07.07.2003 № 126-ФЗ «О связи».</w:t>
      </w:r>
    </w:p>
    <w:p w:rsidR="001E2E71" w:rsidRDefault="00EF39B8">
      <w:pPr>
        <w:widowControl/>
        <w:spacing w:line="276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12.02.1998 № 28-ФЗ «О гражданской обороне».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21.12.1994 № 68-ФЗ «О защите населения и территорий от чрезвычайных ситуаций природного и техногенного характера».</w:t>
      </w:r>
    </w:p>
    <w:p w:rsidR="001E2E71" w:rsidRDefault="00EF39B8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26.02.1997 № 31-ФЗ «О мобилизационной подготовке и мобилизации в Российской Федерации».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26.11.2007 № 804 «Об утверждении Положения о гражданской обороне в Российской Федерации».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17.05.2023 № 769 "О порядке создания, реконструкции и поддержания в состоянии постоянной готовности к использованию систем оповещения населения".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28 декабря 2020 г.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бедствий и Министерства </w:t>
      </w:r>
      <w:r>
        <w:rPr>
          <w:rFonts w:ascii="Times New Roman" w:hAnsi="Times New Roman"/>
        </w:rPr>
        <w:lastRenderedPageBreak/>
        <w:t>цифрового развития, связи и массовых коммуникаций Российской Федерации от 31.07.2020 №578/365 «Об утверждении Положения о системах оповещения населения».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 ФСТЭК России от 29.04.2021 № 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тайну»;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ГОСТ РО 0043-004-2013 «Защита информации. Аттестация объектов информатизации. Программа и методики аттестационных испытаний»;</w:t>
      </w:r>
    </w:p>
    <w:p w:rsidR="001E2E71" w:rsidRDefault="00EF39B8">
      <w:pPr>
        <w:ind w:firstLine="709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 Закон Республики Алтай от 18.12.2025 №124-РЗ «О республиканском бюджете Республики Алтай на 2026 год и на плановый период 2027 и 2028 годов»</w:t>
      </w:r>
      <w:r>
        <w:rPr>
          <w:rFonts w:ascii="Times New Roman" w:hAnsi="Times New Roman"/>
          <w:highlight w:val="white"/>
        </w:rPr>
        <w:t xml:space="preserve">. </w:t>
      </w:r>
    </w:p>
    <w:p w:rsidR="001E2E71" w:rsidRDefault="00EF39B8">
      <w:pPr>
        <w:widowControl/>
        <w:ind w:firstLine="708"/>
        <w:jc w:val="both"/>
        <w:rPr>
          <w:rFonts w:ascii="Times New Roman" w:hAnsi="Times New Roman"/>
          <w:color w:val="34343C"/>
        </w:rPr>
      </w:pPr>
      <w:r>
        <w:rPr>
          <w:rFonts w:ascii="Times New Roman" w:hAnsi="Times New Roman"/>
        </w:rPr>
        <w:t>Постановление Правительства Республики Алтай от 24.10.2023г.  № 409 «</w:t>
      </w:r>
      <w:r>
        <w:rPr>
          <w:rFonts w:ascii="Times New Roman" w:hAnsi="Times New Roman"/>
          <w:highlight w:val="white"/>
        </w:rPr>
        <w:t>Об утверждении государственной программы Республики Алтай «Комплексные меры профилактики правонарушений и защита населения и территории Республики Алтай от чрезвычайных ситуаций»</w:t>
      </w:r>
      <w:r>
        <w:rPr>
          <w:rFonts w:ascii="Times New Roman" w:hAnsi="Times New Roman"/>
        </w:rPr>
        <w:t>».</w:t>
      </w: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295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Назначение системы оповещения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Основной задачей на подключение оборудования региональной системы оповещения населения (РСОН) к сети связи филиала РТРС «РТПЦ Республики Алтай» является:</w:t>
      </w:r>
    </w:p>
    <w:p w:rsidR="001E2E71" w:rsidRDefault="00EF39B8">
      <w:pPr>
        <w:widowControl/>
        <w:numPr>
          <w:ilvl w:val="0"/>
          <w:numId w:val="1"/>
        </w:numPr>
        <w:tabs>
          <w:tab w:val="left" w:pos="748"/>
        </w:tabs>
        <w:spacing w:after="340"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своевременного и гарантированного доведение сигналов ГО и ЧС с использованием цифровой эфирной телесети, в том числе мультиплекса РТРС-1, об существующей угрозе возникновения чрезвычайной ситуации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в мирное и военное время, достоверной информации об угрозе или о возникновении чрезвычайной ситуации, правилах поведения и способах защиты в таких ситуациях с основного и запасных пунктов управления, как специальных объектов мобилизационного назначения (п.17, пп. 17.1 Федеральный закон от 26.02.1997 № 31-ФЗ «О мобилизационной подготовке и мобилизации в Российской Федерации»).</w:t>
      </w: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309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Характеристика действующей системы оповещения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На территории Республики Алтай создана региональная система оповещения населения (РСОН) на базе оборудования АО ПК «Азимут» КТСО П-166М по проекту РСОН-РА-06-2025.ПД1 (далее - на базе оборудования П-166М), и обеспечивает:</w:t>
      </w:r>
    </w:p>
    <w:p w:rsidR="001E2E71" w:rsidRDefault="00EF39B8">
      <w:pPr>
        <w:widowControl/>
        <w:numPr>
          <w:ilvl w:val="0"/>
          <w:numId w:val="1"/>
        </w:numPr>
        <w:tabs>
          <w:tab w:val="left" w:pos="757"/>
        </w:tabs>
        <w:spacing w:line="26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передачу сигналов оповещения и экстренной информации населению, которая осуществляется подачей сигнала "ВНИМАНИЕ ВСЕМ!" путём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аудио- и ( или) аудиовизуальных сообщений длительностью не более 5 минут.</w:t>
      </w:r>
    </w:p>
    <w:p w:rsidR="001E2E71" w:rsidRDefault="00EF39B8">
      <w:pPr>
        <w:widowControl/>
        <w:spacing w:after="340" w:line="26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Сигналы оповещения и экстренная информации передаются непосредственно с рабочего места с пунктов управления РСОН Республики Алтай.</w:t>
      </w: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3089"/>
        </w:tabs>
        <w:spacing w:line="276" w:lineRule="auto"/>
        <w:ind w:left="278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оборудованию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Оборудование для реконструкции региональной системы оповещения населения (РСОН) в части замещения каналов ТВ и РВ, филиал РТРС «РТПЦ Республики Алтай» должно быть новым (оборудование, которое не было в употреблении, в ремонте, в том числе которое не было восстановлено, у которого не была осуществлена замена составных частей, не были </w:t>
      </w:r>
      <w:r>
        <w:rPr>
          <w:rFonts w:ascii="Times New Roman" w:hAnsi="Times New Roman"/>
        </w:rPr>
        <w:lastRenderedPageBreak/>
        <w:t>восстановлены потребительские свойства), не имеющим внешних признаков повреждений, связанных с транспортировкой, погрузо-разгрузочными работами.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должно предоставляться в упаковке, с маркировкой завода - изготовителя в соответствии с требованиями ГОСТов и других стандартов, соответствовать характеристикам проектной документацией «Замещения каналов ТВ и РВ, филиал РТРС «РТПЦ Республики Алтай» (шифр проекта РСОН-РА-06-2025.ПД2.3).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Размещение и подключение оборудования должны быть выполнены строго в соответствии с проектной документацией «Замещения каналов ТВ и РВ, филиал РТРС «РТПЦ Республики Алтай» (шифр проекта РСОН-РА-06-2025.ПД2.3), разработанной ООО «СФЕРА» и согласованной с филиалом РТРС «РТПЦ Республики Алтай».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должно быть совместимо с оборудованием средств вещательной техники (СВТ), соответствовать требованиям и параметрам ГОСТ, Г1ТЭ и др. нормативным документам.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каждый тип оборудования предоставляется паспорт (формуляр), руководство по эксплуатации.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в соответствии с проектной документацией «Замещения каналов ТВ и РВ, филиал РТРС «РТПЦ Республики Алтай» (шифр проекта РСОН-РА-06-2025.ПД2.3), и техническими условиями на размещение и подключение оборудования региональной системы оповещения населения (РСОН), принадлежащего Заказчику, к сети связи Исполнителя (филиал РТРС «РТПЦ Республики Алтай») включает в себя:</w:t>
      </w:r>
    </w:p>
    <w:p w:rsidR="001E2E71" w:rsidRDefault="00EF39B8">
      <w:pPr>
        <w:widowControl/>
        <w:numPr>
          <w:ilvl w:val="0"/>
          <w:numId w:val="1"/>
        </w:numPr>
        <w:tabs>
          <w:tab w:val="left" w:pos="79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программно-аппаратный комплекс ViPNet Coordinator HW 5 Исполнение HW100;</w:t>
      </w:r>
    </w:p>
    <w:p w:rsidR="001E2E71" w:rsidRDefault="00EF39B8">
      <w:pPr>
        <w:widowControl/>
        <w:numPr>
          <w:ilvl w:val="0"/>
          <w:numId w:val="1"/>
        </w:numPr>
        <w:tabs>
          <w:tab w:val="left" w:pos="79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маршрутизатор Mikrotik RB4011iGS+RM;</w:t>
      </w:r>
    </w:p>
    <w:p w:rsidR="001E2E71" w:rsidRDefault="00EF39B8">
      <w:pPr>
        <w:widowControl/>
        <w:numPr>
          <w:ilvl w:val="0"/>
          <w:numId w:val="1"/>
        </w:numPr>
        <w:tabs>
          <w:tab w:val="left" w:pos="76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систему управления СЭВ; </w:t>
      </w:r>
    </w:p>
    <w:p w:rsidR="001E2E71" w:rsidRDefault="00EF39B8">
      <w:pPr>
        <w:widowControl/>
        <w:numPr>
          <w:ilvl w:val="0"/>
          <w:numId w:val="1"/>
        </w:numPr>
        <w:tabs>
          <w:tab w:val="left" w:pos="76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сервер 3U-VP-IO-ГОЧС;</w:t>
      </w:r>
    </w:p>
    <w:p w:rsidR="001E2E71" w:rsidRDefault="00EF39B8">
      <w:pPr>
        <w:widowControl/>
        <w:numPr>
          <w:ilvl w:val="0"/>
          <w:numId w:val="1"/>
        </w:numPr>
        <w:tabs>
          <w:tab w:val="left" w:pos="751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USB ключ «Рутокен ЭЦП 3.0 3220», реализующего безопасный способ работы с СКЗИ «КриптоПро CSP 5.0»;</w:t>
      </w:r>
    </w:p>
    <w:p w:rsidR="001E2E71" w:rsidRDefault="00EF39B8">
      <w:pPr>
        <w:widowControl/>
        <w:numPr>
          <w:ilvl w:val="0"/>
          <w:numId w:val="1"/>
        </w:numPr>
        <w:tabs>
          <w:tab w:val="left" w:pos="79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 бесперебойного питания (в стойку) SKAT-UPS 3000-RACK-ON-6x9 P3;</w:t>
      </w:r>
    </w:p>
    <w:p w:rsidR="001E2E71" w:rsidRDefault="00EF39B8">
      <w:pPr>
        <w:widowControl/>
        <w:numPr>
          <w:ilvl w:val="0"/>
          <w:numId w:val="1"/>
        </w:numPr>
        <w:tabs>
          <w:tab w:val="left" w:pos="760"/>
        </w:tabs>
        <w:spacing w:line="276" w:lineRule="auto"/>
        <w:ind w:firstLine="5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батарейный блок SKAT BC 72/18S3 RACK Р3;</w:t>
      </w:r>
    </w:p>
    <w:p w:rsidR="001E2E71" w:rsidRDefault="00EF39B8">
      <w:pPr>
        <w:widowControl/>
        <w:spacing w:line="276" w:lineRule="auto"/>
        <w:ind w:firstLine="580"/>
        <w:jc w:val="both"/>
        <w:rPr>
          <w:rFonts w:ascii="Times New Roman" w:hAnsi="Times New Roman"/>
        </w:rPr>
        <w:sectPr w:rsidR="001E2E71">
          <w:headerReference w:type="even" r:id="rId7"/>
          <w:headerReference w:type="default" r:id="rId8"/>
          <w:headerReference w:type="first" r:id="rId9"/>
          <w:pgSz w:w="12240" w:h="15840"/>
          <w:pgMar w:top="818" w:right="989" w:bottom="862" w:left="1592" w:header="0" w:footer="0" w:gutter="0"/>
          <w:pgNumType w:start="1"/>
          <w:cols w:space="720"/>
          <w:formProt w:val="0"/>
          <w:docGrid w:linePitch="100"/>
        </w:sectPr>
      </w:pPr>
      <w:r>
        <w:rPr>
          <w:rFonts w:ascii="Times New Roman" w:hAnsi="Times New Roman"/>
        </w:rPr>
        <w:t>Оборудование размещается в выделенных помещениях существующих зданиях филиала РТРС «РТПЦ Республики Алтай», в 19” стойку №6 филиала 42U в помещении аппаратной, согласно чертежам проектной документации «Замещения каналов ТВ и РВ, филиал РТРС «РТПЦ Республики Алтай» (шифр проекта РСОН-РА-06-2025.ПД2.3).</w:t>
      </w:r>
    </w:p>
    <w:p w:rsidR="001E2E71" w:rsidRDefault="00EF39B8">
      <w:pPr>
        <w:widowControl/>
        <w:spacing w:before="380" w:after="300" w:line="286" w:lineRule="auto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lastRenderedPageBreak/>
        <w:t>ТРЕБОВАНИЯ К ХАРАКТЕРИСТИКАМ ИСПОЛЬЗУЕМОГО ПРИ ВЫПОЛНЕНИИ РАБОТ ОБОРУДОВАНИЯ</w:t>
      </w:r>
    </w:p>
    <w:tbl>
      <w:tblPr>
        <w:tblStyle w:val="afb"/>
        <w:tblW w:w="14454" w:type="dxa"/>
        <w:tblLayout w:type="fixed"/>
        <w:tblLook w:val="04A0" w:firstRow="1" w:lastRow="0" w:firstColumn="1" w:lastColumn="0" w:noHBand="0" w:noVBand="1"/>
      </w:tblPr>
      <w:tblGrid>
        <w:gridCol w:w="502"/>
        <w:gridCol w:w="3760"/>
        <w:gridCol w:w="607"/>
        <w:gridCol w:w="987"/>
        <w:gridCol w:w="8598"/>
      </w:tblGrid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п/п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товара</w:t>
            </w: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Ед.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изм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показателя (неизменяемое)</w:t>
            </w:r>
          </w:p>
        </w:tc>
      </w:tr>
      <w:tr w:rsidR="001E2E71">
        <w:trPr>
          <w:trHeight w:val="345"/>
        </w:trPr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</w:t>
            </w:r>
          </w:p>
        </w:tc>
      </w:tr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Командный пульт управления КПУ УЯИД.466259.002 (АО ПК «Азимут»)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шт.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tabs>
                <w:tab w:val="left" w:pos="841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КПУ предназначено для работы в качестве устройства управления в составе комплекса технических средств оповещения П-166М УЯИД.466219.001 (далее - КТСО П-166М) пожарных и подчиненных частей МЧС РФ, а также систем оповещения местного и объектового уровней.</w:t>
            </w:r>
          </w:p>
          <w:p w:rsidR="001E2E71" w:rsidRDefault="00EF39B8">
            <w:pPr>
              <w:widowControl/>
              <w:tabs>
                <w:tab w:val="left" w:pos="914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КПУ устанавливается на пункте управления КТСО П-166М и обеспечивает взаимодействие:</w:t>
            </w:r>
          </w:p>
          <w:p w:rsidR="001E2E71" w:rsidRDefault="00EF39B8">
            <w:pPr>
              <w:widowControl/>
              <w:tabs>
                <w:tab w:val="left" w:pos="730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устройствами управления и оконечными устройствами КТСО П-166М;</w:t>
            </w:r>
          </w:p>
          <w:p w:rsidR="001E2E71" w:rsidRDefault="00EF39B8">
            <w:pPr>
              <w:widowControl/>
              <w:tabs>
                <w:tab w:val="left" w:pos="730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устройствами управления КТС П-166М;</w:t>
            </w:r>
          </w:p>
          <w:p w:rsidR="001E2E71" w:rsidRDefault="00EF39B8">
            <w:pPr>
              <w:widowControl/>
              <w:tabs>
                <w:tab w:val="left" w:pos="730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аппаратурой П-160 и П-164.</w:t>
            </w:r>
          </w:p>
          <w:p w:rsidR="001E2E71" w:rsidRDefault="00EF39B8">
            <w:pPr>
              <w:widowControl/>
              <w:tabs>
                <w:tab w:val="left" w:pos="1051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Изделие обеспечивает работу по цифровым каналам связи с коммутацией пакетов 10Base-T (IEEE802/3i), 100 Base-TX (IEEE802/3u).</w:t>
            </w:r>
          </w:p>
          <w:p w:rsidR="001E2E71" w:rsidRDefault="00EF39B8">
            <w:pPr>
              <w:widowControl/>
              <w:tabs>
                <w:tab w:val="left" w:pos="1036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Цифровые каналы связи должны обеспечивать:</w:t>
            </w:r>
          </w:p>
          <w:p w:rsidR="001E2E71" w:rsidRDefault="00EF39B8">
            <w:pPr>
              <w:widowControl/>
              <w:tabs>
                <w:tab w:val="left" w:pos="681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-пропускную способность - не менее 32 кбит/с в направлении каждого абонента оповещения;</w:t>
            </w:r>
          </w:p>
          <w:p w:rsidR="001E2E71" w:rsidRDefault="00EF39B8">
            <w:pPr>
              <w:widowControl/>
              <w:tabs>
                <w:tab w:val="left" w:pos="658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-задержку между доставкой пакетов речевых сообщений - не более 150 мс;</w:t>
            </w:r>
          </w:p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-потери пакетов речевых сообщений - не более 5 %;</w:t>
            </w:r>
          </w:p>
          <w:p w:rsidR="001E2E71" w:rsidRDefault="00EF39B8">
            <w:pPr>
              <w:widowControl/>
              <w:tabs>
                <w:tab w:val="left" w:pos="768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-промежуточные сетевые устройства не должны менять адрес отправителя.</w:t>
            </w:r>
          </w:p>
          <w:p w:rsidR="001E2E71" w:rsidRDefault="00EF39B8">
            <w:pPr>
              <w:widowControl/>
              <w:tabs>
                <w:tab w:val="left" w:pos="1198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эксплуатации, при которых обеспечивается работоспособность КПУ:-температура окружающей среды от 278 до 323 К (от 5 до 50 °C);</w:t>
            </w:r>
          </w:p>
          <w:p w:rsidR="001E2E71" w:rsidRDefault="00EF39B8">
            <w:pPr>
              <w:widowControl/>
              <w:tabs>
                <w:tab w:val="left" w:pos="640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-относительная влажность - не более 80 % при температуре не более 298 К (25 °C);</w:t>
            </w:r>
          </w:p>
          <w:p w:rsidR="001E2E71" w:rsidRDefault="00EF39B8">
            <w:pPr>
              <w:widowControl/>
              <w:tabs>
                <w:tab w:val="left" w:pos="714"/>
              </w:tabs>
              <w:spacing w:line="271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-атмосферное давление от 84 до 106,7 кПа (от 630 до 800 мм рт.ст.).</w:t>
            </w:r>
          </w:p>
          <w:p w:rsidR="001E2E71" w:rsidRDefault="00EF39B8">
            <w:pPr>
              <w:widowControl/>
              <w:tabs>
                <w:tab w:val="left" w:pos="997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Электропитание КПУ осуществляется от сети переменного тока напряжением (220 +22; -33) В, частотой (50 ± 1) Гц с использованием источника бесперебойного питания.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работы изделия от источника бесперебойного питания при отключении от сети переменного тока - не менее 6 часов.</w:t>
            </w:r>
          </w:p>
          <w:p w:rsidR="001E2E71" w:rsidRDefault="00EF39B8">
            <w:pPr>
              <w:widowControl/>
              <w:tabs>
                <w:tab w:val="left" w:pos="992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Общее количество подчиненных узлов и абонентов оповещения КПУ - не более 256.</w:t>
            </w:r>
          </w:p>
          <w:p w:rsidR="001E2E71" w:rsidRDefault="00EF39B8">
            <w:pPr>
              <w:widowControl/>
              <w:tabs>
                <w:tab w:val="left" w:pos="1022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КПУ в составе КТСО П-166М обеспечивает взаимодействие:</w:t>
            </w:r>
          </w:p>
          <w:p w:rsidR="001E2E71" w:rsidRDefault="00EF39B8">
            <w:pPr>
              <w:widowControl/>
              <w:tabs>
                <w:tab w:val="left" w:pos="658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устройствами управления (П-166М БУ или КПУ) узлов управления нижестоящего и вышестоящего уровней;</w:t>
            </w:r>
          </w:p>
          <w:p w:rsidR="001E2E71" w:rsidRDefault="00EF39B8">
            <w:pPr>
              <w:widowControl/>
              <w:tabs>
                <w:tab w:val="left" w:pos="730"/>
              </w:tabs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дублерами (КПУ узла управления своего уровня);</w:t>
            </w:r>
          </w:p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П-166М БОУ, П-166М БОУ-01 с подключенными к ним оконечными устройствами оповещения (телефонные аппараты, П-166М ПМО, П-164AM, датчики ЧС);</w:t>
            </w:r>
          </w:p>
          <w:p w:rsidR="001E2E71" w:rsidRDefault="00EF39B8">
            <w:pPr>
              <w:widowControl/>
              <w:tabs>
                <w:tab w:val="left" w:pos="635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-с П-166М БПРУ, П-166М БПРУ-01 с подключенными к ним оконечными устройствами оповещения;</w:t>
            </w:r>
          </w:p>
          <w:p w:rsidR="001E2E71" w:rsidRDefault="00EF39B8">
            <w:pPr>
              <w:widowControl/>
              <w:tabs>
                <w:tab w:val="left" w:pos="640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П-166М БПРУ-02 с подключенными к ним оконечными устройствами оповещения и датчиками ЧС;</w:t>
            </w:r>
          </w:p>
          <w:p w:rsidR="001E2E71" w:rsidRDefault="00EF39B8">
            <w:pPr>
              <w:widowControl/>
              <w:tabs>
                <w:tab w:val="left" w:pos="768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П-166М БУС, П-166М БУС-01 с подключенными к ним электромеханическими сиренами типа С-28 или С-40;</w:t>
            </w:r>
          </w:p>
          <w:p w:rsidR="001E2E71" w:rsidRDefault="00EF39B8">
            <w:pPr>
              <w:widowControl/>
              <w:tabs>
                <w:tab w:val="left" w:pos="631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П-166М ТГ с подключаемыми к нему абонентами телеграфной и радио сети;</w:t>
            </w:r>
          </w:p>
          <w:p w:rsidR="001E2E71" w:rsidRDefault="00EF39B8">
            <w:pPr>
              <w:widowControl/>
              <w:tabs>
                <w:tab w:val="left" w:pos="640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П-166М TKC с подключенными к нему абонентами телефонной сети и абонентами телефонной сети сотовых операторов;</w:t>
            </w:r>
          </w:p>
          <w:p w:rsidR="001E2E71" w:rsidRDefault="00EF39B8">
            <w:pPr>
              <w:widowControl/>
              <w:tabs>
                <w:tab w:val="left" w:pos="640"/>
              </w:tabs>
              <w:spacing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 усилителем мощности специализированным серии УМС;</w:t>
            </w:r>
          </w:p>
          <w:p w:rsidR="001E2E71" w:rsidRDefault="001E2E71">
            <w:pPr>
              <w:widowControl/>
              <w:spacing w:line="286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2.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Программно-аппаратный комплекс ViPNet Coordinator HW100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( АО «ИнфоТеКС»)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к-т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Форм-фактор – Блок с креплением на DIN-рейку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Размеры (ШхВхГ) - 51 х 127 х 120 мм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Питание (блок питания не входит в комплект) - 12 - 24 В DC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Потребляемая мощность – не более 10 Вт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Рабочая температура – от -40 до +60 (Исполнение с модулем GSM от -20° до +60°)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защиты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IP - IP30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Порты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Ethernet - WAN: 1 x 10/100 Base-T, LAN: 2 x 10/100 Base-T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Порты USB - 2 х USB 2.0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GSM интерфейсы - 3G или 4G с выносной антенной (опционально)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Разъем для Sim-карты - 1 шт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Wi-Fi в режиме клиента/точки доступа - Wi-Fi-модуль стандарта IEEE 802.11 b/g/n 2,4 ГГц с выносной антенной (опционально)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RS-232 – совмещен с RS-485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RS-485 – совмещен с RS-232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GPIO - 1 х In, 1 x Out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Пропускная производительность VPN - 10 Мбит/с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Максимальное туннелируемое количество узлов – не ограничено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Пропускная производительность L2 VPN - 10 Мбит/с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Производительность МЭ - 10 Мбит/с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Максимальное количество одновременных сессий – до 1000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Межсетевой экран глубокой фильтрации (DPI) - Modbus TCP/RTU, МЭК 60870-5-104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Интегрированные сервисы - DNS, NTP, DHCP-сервер, DHCP-relay, MiltiWan &amp; DGD, Прокси-сервер, Шлюз Modbus TCP/RTU и   Modbus RTU/TCP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Локальное управление - Консоль RS-232 (RJ45), веб-интерфейс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Удаленное управление - ViPNet Administrator, ViPNet Prime, веб-интерфейс, системная консоль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Удаленное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обновление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- ViPNet Administrator, ViPNet Prime</w:t>
            </w:r>
          </w:p>
          <w:p w:rsidR="001E2E71" w:rsidRDefault="00EF39B8">
            <w:pPr>
              <w:widowControl/>
              <w:spacing w:line="271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Управление политиками безопасности - ViPNet Policy Manager, модуль ViPNet Prime</w:t>
            </w:r>
          </w:p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Время наработки на отказ (MTBF) - 350 000 часов</w:t>
            </w:r>
          </w:p>
        </w:tc>
      </w:tr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3.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ind w:firstLine="40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Сервер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3U-VP-IO-ГОЧС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(ООО «Компания «СТРИМ Лабс»)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Четырехканальная плата ввода/вывода SDI/ASI сигналов предназначена для обработки видео до 4096x2160р60. Она оснащена четырьмя независимыми переключаемыми интерфейсами ввода-вывода 3G-SDI/ASI . Обеспечивает воспроизведение предзаписанных телевизионных роликов оповещения, формирование MPEG-TS потока для эфирного замещения, формирует таблицы с командами для замещающего оборудования в тракте и для оконечных устройств.</w:t>
            </w:r>
          </w:p>
        </w:tc>
      </w:tr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Система электронного взаимодействия (СЭВ)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(ООО «Компания «СТРИМ Лабс»)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Система взаимодействия с медийными организациями, включая: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 телевизионные каналы;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 радиоканалы;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- поддержка быстрого создания новостных выпусков с точным соблюдением хронометража;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- взаимодействие с иными информационными агентствами. </w:t>
            </w:r>
          </w:p>
        </w:tc>
      </w:tr>
      <w:tr w:rsidR="001E2E71"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USB ключ «Рутокен ЭЦП 3.0 3220», реализующего безопасный способ работы с СКЗИ «КриптоПро CSP 5.0» (сертификат ФСБ) 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шт.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Криптографические возможности Рутокен ЭЦП 3.0 позволяют использовать USB-токены и смарт-карты для двухфакторной аутентификации и квалифицированной электронной подписи в государственных и корпоративных системах</w:t>
            </w:r>
          </w:p>
        </w:tc>
      </w:tr>
      <w:tr w:rsidR="001E2E71">
        <w:trPr>
          <w:trHeight w:val="276"/>
        </w:trPr>
        <w:tc>
          <w:tcPr>
            <w:tcW w:w="502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6.</w:t>
            </w:r>
          </w:p>
        </w:tc>
        <w:tc>
          <w:tcPr>
            <w:tcW w:w="3760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Маршрутизатор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RB4011iGS+RM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шт.</w:t>
            </w:r>
          </w:p>
        </w:tc>
        <w:tc>
          <w:tcPr>
            <w:tcW w:w="987" w:type="dxa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8598" w:type="dxa"/>
          </w:tcPr>
          <w:p w:rsidR="001E2E71" w:rsidRDefault="00EF39B8">
            <w:pPr>
              <w:widowControl/>
              <w:spacing w:line="276" w:lineRule="auto"/>
              <w:ind w:firstLine="47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 xml:space="preserve">Процессор не менее 1,4 ГГц </w:t>
            </w:r>
          </w:p>
          <w:p w:rsidR="001E2E71" w:rsidRDefault="00EF39B8">
            <w:pPr>
              <w:widowControl/>
              <w:spacing w:line="276" w:lineRule="auto"/>
              <w:ind w:firstLine="47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Количество ядер</w:t>
            </w:r>
            <w:r>
              <w:rPr>
                <w:rFonts w:ascii="Times New Roman" w:hAnsi="Times New Roman"/>
                <w:sz w:val="19"/>
              </w:rPr>
              <w:tab/>
              <w:t xml:space="preserve"> не менее 2</w:t>
            </w:r>
          </w:p>
          <w:p w:rsidR="001E2E71" w:rsidRDefault="00EF39B8">
            <w:pPr>
              <w:widowControl/>
              <w:spacing w:line="276" w:lineRule="auto"/>
              <w:ind w:firstLine="47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ОЗУ: не менее 1 ГБ RAM</w:t>
            </w:r>
          </w:p>
          <w:p w:rsidR="001E2E71" w:rsidRDefault="00EF39B8">
            <w:pPr>
              <w:widowControl/>
              <w:spacing w:line="276" w:lineRule="auto"/>
              <w:ind w:firstLine="47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ПЗУ: не менее 512 МБ NAND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Сетевой интерфейс: 10х 10/100/1000 Ethernet и 1 SFP+ (10 Гбит/с)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Питание</w:t>
            </w:r>
            <w:r>
              <w:rPr>
                <w:rFonts w:ascii="Times New Roman" w:hAnsi="Times New Roman"/>
                <w:sz w:val="19"/>
              </w:rPr>
              <w:tab/>
              <w:t>от адаптера питания 18–57В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Passive PoE не более 57В (порт Eth1)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Максимальное энергопотребление: 19 Вт,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Температура эксплуатации от -40°С до +45°С</w:t>
            </w:r>
          </w:p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Размеры: 228 x 120 x 30 мм</w:t>
            </w:r>
          </w:p>
        </w:tc>
      </w:tr>
      <w:tr w:rsidR="001E2E71">
        <w:tc>
          <w:tcPr>
            <w:tcW w:w="502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7.</w:t>
            </w:r>
          </w:p>
        </w:tc>
        <w:tc>
          <w:tcPr>
            <w:tcW w:w="3760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Источник бесперебойного питания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SKAT-UPS 3000-RACK-ON-6X9 P3</w:t>
            </w:r>
          </w:p>
          <w:p w:rsidR="001E2E71" w:rsidRDefault="001E2E71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0"/>
              </w:rPr>
              <w:t>шт.</w:t>
            </w:r>
          </w:p>
        </w:tc>
        <w:tc>
          <w:tcPr>
            <w:tcW w:w="987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98" w:type="dxa"/>
            <w:shd w:val="clear" w:color="auto" w:fill="FFFFFF"/>
            <w:vAlign w:val="bottom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Режимы работы on-line, автономный, байпас, ECO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Активная мощность, не менее 2,7 кВт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Полная мощность, не менее 3 кВА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  <w:vAlign w:val="bottom"/>
          </w:tcPr>
          <w:p w:rsidR="001E2E71" w:rsidRDefault="00EF39B8">
            <w:pPr>
              <w:widowControl/>
              <w:spacing w:line="27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Топология on-line (с двойным преобразованием)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  <w:vAlign w:val="bottom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Потребляемая мощность от сети при 100% нагрузке и номинальном входном напряжении, не более 3300 ВА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Максимальный входной ток, не более 16 А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Входной коэффициент мощности не более 0,9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Допустимый диапазон входной частоты от 45 до 64 Гц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  <w:t>Номинальная входная частота, 50±0,1 Гц</w:t>
            </w:r>
          </w:p>
        </w:tc>
      </w:tr>
      <w:tr w:rsidR="001E2E71">
        <w:tc>
          <w:tcPr>
            <w:tcW w:w="502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8.</w:t>
            </w:r>
          </w:p>
        </w:tc>
        <w:tc>
          <w:tcPr>
            <w:tcW w:w="3760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Батарейный блок к ИБП</w:t>
            </w:r>
          </w:p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SKAT BC 72/18S3 RACK P3 </w:t>
            </w:r>
          </w:p>
          <w:p w:rsidR="001E2E71" w:rsidRDefault="001E2E71">
            <w:pPr>
              <w:widowControl/>
              <w:spacing w:line="286" w:lineRule="auto"/>
              <w:ind w:firstLine="40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07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шт.</w:t>
            </w:r>
          </w:p>
        </w:tc>
        <w:tc>
          <w:tcPr>
            <w:tcW w:w="987" w:type="dxa"/>
            <w:vMerge w:val="restart"/>
          </w:tcPr>
          <w:p w:rsidR="001E2E71" w:rsidRDefault="00EF39B8">
            <w:pPr>
              <w:widowControl/>
              <w:spacing w:line="286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98" w:type="dxa"/>
            <w:shd w:val="clear" w:color="auto" w:fill="FFFFFF"/>
            <w:vAlign w:val="bottom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Герметичные свинцово-кислотные необслуживаемые, номинальным напряжением 12 В, емкостью 9Ач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  <w:vAlign w:val="bottom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Поддержка горячей замены АКБ</w:t>
            </w:r>
            <w:r>
              <w:rPr>
                <w:rFonts w:ascii="Times New Roman" w:hAnsi="Times New Roman"/>
                <w:sz w:val="19"/>
              </w:rPr>
              <w:tab/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Режим заряда АКБ CV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Ток заряда АКБ, А 1,4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Ток утечки, мкА, не более 100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Количество АКБ в отсеке шт.  не более 6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Количество отсеков для размещения АКБ в изделии, шт. 2</w:t>
            </w:r>
          </w:p>
        </w:tc>
      </w:tr>
      <w:tr w:rsidR="001E2E71">
        <w:tc>
          <w:tcPr>
            <w:tcW w:w="502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3760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60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987" w:type="dxa"/>
            <w:vMerge/>
          </w:tcPr>
          <w:p w:rsidR="001E2E71" w:rsidRDefault="001E2E71">
            <w:pPr>
              <w:rPr>
                <w:rFonts w:hint="eastAsia"/>
              </w:rPr>
            </w:pPr>
          </w:p>
        </w:tc>
        <w:tc>
          <w:tcPr>
            <w:tcW w:w="8598" w:type="dxa"/>
            <w:shd w:val="clear" w:color="auto" w:fill="FFFFFF"/>
          </w:tcPr>
          <w:p w:rsidR="001E2E71" w:rsidRDefault="00EF39B8">
            <w:pPr>
              <w:widowControl/>
              <w:spacing w:line="286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19"/>
              </w:rPr>
              <w:t>Номинальное напряжение батарейного блока, В не более72</w:t>
            </w:r>
          </w:p>
        </w:tc>
      </w:tr>
    </w:tbl>
    <w:p w:rsidR="001E2E71" w:rsidRDefault="00EF39B8">
      <w:pPr>
        <w:widowControl/>
        <w:spacing w:line="1" w:lineRule="exact"/>
        <w:rPr>
          <w:rFonts w:hint="eastAsia"/>
          <w:sz w:val="2"/>
        </w:rPr>
        <w:sectPr w:rsidR="001E2E71">
          <w:headerReference w:type="even" r:id="rId10"/>
          <w:headerReference w:type="default" r:id="rId11"/>
          <w:headerReference w:type="first" r:id="rId12"/>
          <w:pgSz w:w="15840" w:h="12240" w:orient="landscape"/>
          <w:pgMar w:top="1522" w:right="574" w:bottom="806" w:left="532" w:header="0" w:footer="0" w:gutter="0"/>
          <w:cols w:space="720"/>
          <w:formProt w:val="0"/>
          <w:docGrid w:linePitch="100"/>
        </w:sectPr>
      </w:pPr>
      <w:r>
        <w:br w:type="page"/>
      </w: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305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Состав и содержание работ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  <w:szCs w:val="22"/>
        </w:rPr>
        <w:t xml:space="preserve">Право Подрядчика осуществлять на территории Российской Федерации предусмотренные настоящим ТЗ работы подтверждается: </w:t>
      </w:r>
    </w:p>
    <w:p w:rsidR="001E2E71" w:rsidRDefault="00EF39B8">
      <w:pPr>
        <w:widowControl/>
        <w:numPr>
          <w:ilvl w:val="0"/>
          <w:numId w:val="2"/>
        </w:numPr>
        <w:tabs>
          <w:tab w:val="left" w:pos="919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Лицензия ФСТЭК России на деятельность по технической защите конфиденциальной информации по следующим видам деятельности:</w:t>
      </w:r>
    </w:p>
    <w:p w:rsidR="001E2E71" w:rsidRDefault="00EF39B8">
      <w:pPr>
        <w:widowControl/>
        <w:numPr>
          <w:ilvl w:val="0"/>
          <w:numId w:val="3"/>
        </w:numPr>
        <w:tabs>
          <w:tab w:val="left" w:pos="743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услуги по контролю защищенности конфиденциальной информации от несанкционированного доступа и её модификации в средствах и системах информатизации;</w:t>
      </w:r>
    </w:p>
    <w:p w:rsidR="001E2E71" w:rsidRDefault="00EF39B8">
      <w:pPr>
        <w:widowControl/>
        <w:numPr>
          <w:ilvl w:val="0"/>
          <w:numId w:val="3"/>
        </w:numPr>
        <w:tabs>
          <w:tab w:val="left" w:pos="739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и услуги по проектированию в защищённом исполнении: средств и систем информатизации;</w:t>
      </w:r>
    </w:p>
    <w:p w:rsidR="001E2E71" w:rsidRDefault="00EF39B8">
      <w:pPr>
        <w:widowControl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помещений со средствами (системами) информатизации, подлежащими защите; защищаемых помещений;</w:t>
      </w:r>
    </w:p>
    <w:p w:rsidR="001E2E71" w:rsidRDefault="00EF39B8">
      <w:pPr>
        <w:widowControl/>
        <w:numPr>
          <w:ilvl w:val="0"/>
          <w:numId w:val="3"/>
        </w:numPr>
        <w:tabs>
          <w:tab w:val="left" w:pos="753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услуги по установке, монтажу, наладке, испытаниям, ремонту средств защиты информации (программных (программно - технических) средств защиты информации, защищённых программных (программно - технических) средств обработки информации, программных (программно - технических) средств контроля эффективности защиты информации).</w:t>
      </w:r>
    </w:p>
    <w:p w:rsidR="001E2E71" w:rsidRDefault="00EF39B8">
      <w:pPr>
        <w:widowControl/>
        <w:numPr>
          <w:ilvl w:val="0"/>
          <w:numId w:val="2"/>
        </w:numPr>
        <w:tabs>
          <w:tab w:val="left" w:pos="919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Лицензию ФСБ России на деятельность по разработке, производству, распространению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 по следующим выполняемым работам и оказываемым услугам, составляющих лицензируемую деятельность, в отношении шифровальных (криптографических) средств:</w:t>
      </w:r>
    </w:p>
    <w:p w:rsidR="001E2E71" w:rsidRDefault="00EF39B8">
      <w:pPr>
        <w:widowControl/>
        <w:numPr>
          <w:ilvl w:val="0"/>
          <w:numId w:val="3"/>
        </w:numPr>
        <w:tabs>
          <w:tab w:val="left" w:pos="739"/>
        </w:tabs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монтаж, установка (инсталляция), наладка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учёта электрической энергии (мощности) и приборами учёта электрической энергии, сертифицированных Федеральной службой безопасности Российской Федерации.</w:t>
      </w:r>
    </w:p>
    <w:p w:rsidR="001E2E71" w:rsidRDefault="00EF39B8">
      <w:pPr>
        <w:widowControl/>
        <w:numPr>
          <w:ilvl w:val="0"/>
          <w:numId w:val="3"/>
        </w:numPr>
        <w:tabs>
          <w:tab w:val="left" w:pos="805"/>
        </w:tabs>
        <w:spacing w:line="271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монтаж, установка (инсталляция), наладка защищённых с использованием шифровальных (криптографических) средств информационных систем.</w:t>
      </w:r>
    </w:p>
    <w:p w:rsidR="001E2E71" w:rsidRDefault="00EF39B8">
      <w:pPr>
        <w:widowControl/>
        <w:numPr>
          <w:ilvl w:val="0"/>
          <w:numId w:val="3"/>
        </w:numPr>
        <w:tabs>
          <w:tab w:val="left" w:pos="805"/>
        </w:tabs>
        <w:spacing w:line="271" w:lineRule="auto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 обслуживанию шифровальных (криптографических) средств, предусмотренные технической и эксплуатационной документацией на эти средства (за исключением случая, если указанные работы проводятся для обеспечения собственных нужд юридического лица или индивидуального предпринимателя).</w:t>
      </w:r>
    </w:p>
    <w:p w:rsidR="001E2E71" w:rsidRDefault="00EF39B8">
      <w:pPr>
        <w:widowControl/>
        <w:numPr>
          <w:ilvl w:val="0"/>
          <w:numId w:val="3"/>
        </w:numPr>
        <w:tabs>
          <w:tab w:val="left" w:pos="805"/>
        </w:tabs>
        <w:spacing w:line="271" w:lineRule="auto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передача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учёта электрической энергии (мощности) и приборами учёта электрической энергии, сертифицированных Федеральной службой безопасности Российской Федерации.</w:t>
      </w:r>
    </w:p>
    <w:p w:rsidR="001E2E71" w:rsidRDefault="00EF39B8">
      <w:pPr>
        <w:widowControl/>
        <w:numPr>
          <w:ilvl w:val="0"/>
          <w:numId w:val="3"/>
        </w:numPr>
        <w:tabs>
          <w:tab w:val="left" w:pos="805"/>
        </w:tabs>
        <w:spacing w:line="271" w:lineRule="auto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средств изготовления ключевых документов.</w:t>
      </w:r>
    </w:p>
    <w:p w:rsidR="001E2E71" w:rsidRDefault="00EF39B8">
      <w:pPr>
        <w:widowControl/>
        <w:tabs>
          <w:tab w:val="left" w:pos="805"/>
        </w:tabs>
        <w:spacing w:line="271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Подрядчик обязан провести аттестацию системы по требованиям защиты информации, предъявляемыми государственным конформационным системам с установленным классом защищенности К2 для основного сегмента и сегмента взаимодействия с РТРС, и К3 для муниципального сегмента «Региональной системы оповещения населений Республики Алтай».</w:t>
      </w:r>
    </w:p>
    <w:p w:rsidR="001E2E71" w:rsidRDefault="001E2E71">
      <w:pPr>
        <w:widowControl/>
        <w:tabs>
          <w:tab w:val="left" w:pos="805"/>
        </w:tabs>
        <w:spacing w:line="271" w:lineRule="auto"/>
        <w:jc w:val="both"/>
        <w:rPr>
          <w:rFonts w:ascii="Times New Roman" w:hAnsi="Times New Roman"/>
        </w:rPr>
      </w:pPr>
    </w:p>
    <w:p w:rsidR="001E2E71" w:rsidRDefault="001E2E71">
      <w:pPr>
        <w:widowControl/>
        <w:tabs>
          <w:tab w:val="left" w:pos="805"/>
        </w:tabs>
        <w:spacing w:line="271" w:lineRule="auto"/>
        <w:jc w:val="both"/>
        <w:rPr>
          <w:rFonts w:ascii="Times New Roman" w:hAnsi="Times New Roman"/>
        </w:rPr>
      </w:pPr>
    </w:p>
    <w:p w:rsidR="001E2E71" w:rsidRDefault="00EF39B8">
      <w:pPr>
        <w:keepNext/>
        <w:keepLines/>
        <w:widowControl/>
        <w:numPr>
          <w:ilvl w:val="0"/>
          <w:numId w:val="4"/>
        </w:numPr>
        <w:tabs>
          <w:tab w:val="left" w:pos="300"/>
        </w:tabs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контроля и приёмки работ.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Результатом выполненных работ является осуществление перехвата планового вещания цифровых радио - и телевизионных каналов, для оповещения населения о чрезвычайных ситуациях по телевизионным приёмникам и радиоприёмникам.</w:t>
      </w:r>
    </w:p>
    <w:p w:rsidR="001E2E71" w:rsidRDefault="00EF39B8">
      <w:pPr>
        <w:widowControl/>
        <w:spacing w:line="276" w:lineRule="auto"/>
        <w:ind w:firstLine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ввода в опытную эксплуатацию систему оповещения по перехвату радио - и телевизионных каналов должна круглосуточно обеспечивать своевременное и гарантированного доведение сигналов ГО и ЧС с использованием мультиплекса РТРС-1, об существующей угрозе возникновения чрезвычайной ситуации, достоверной информации об угрозе или о возникновении чрезвычайной ситуации, правилах поведения и способах защиты в таких ситуациях до населения Республики Алтай.</w:t>
      </w:r>
    </w:p>
    <w:p w:rsidR="001E2E71" w:rsidRDefault="001E2E71">
      <w:pPr>
        <w:rPr>
          <w:rFonts w:hint="eastAsia"/>
        </w:rPr>
        <w:sectPr w:rsidR="001E2E71">
          <w:headerReference w:type="even" r:id="rId13"/>
          <w:headerReference w:type="default" r:id="rId14"/>
          <w:headerReference w:type="first" r:id="rId15"/>
          <w:pgSz w:w="12240" w:h="15840"/>
          <w:pgMar w:top="560" w:right="1244" w:bottom="1120" w:left="1406" w:header="132" w:footer="0" w:gutter="0"/>
          <w:cols w:space="720"/>
          <w:formProt w:val="0"/>
          <w:docGrid w:linePitch="100"/>
        </w:sectPr>
      </w:pPr>
    </w:p>
    <w:p w:rsidR="001E2E71" w:rsidRDefault="001E2E71">
      <w:pPr>
        <w:widowControl/>
        <w:spacing w:line="240" w:lineRule="exact"/>
        <w:rPr>
          <w:rFonts w:hint="eastAsia"/>
          <w:sz w:val="19"/>
        </w:rPr>
      </w:pPr>
    </w:p>
    <w:p w:rsidR="001E2E71" w:rsidRDefault="001E2E71">
      <w:pPr>
        <w:widowControl/>
        <w:spacing w:line="240" w:lineRule="exact"/>
        <w:rPr>
          <w:rFonts w:hint="eastAsia"/>
          <w:sz w:val="19"/>
        </w:rPr>
      </w:pPr>
    </w:p>
    <w:p w:rsidR="001E2E71" w:rsidRDefault="001E2E71">
      <w:pPr>
        <w:widowControl/>
        <w:spacing w:before="9" w:line="240" w:lineRule="exact"/>
        <w:rPr>
          <w:rFonts w:hint="eastAsia"/>
          <w:sz w:val="19"/>
        </w:rPr>
      </w:pPr>
    </w:p>
    <w:sectPr w:rsidR="001E2E71">
      <w:type w:val="continuous"/>
      <w:pgSz w:w="12240" w:h="15840"/>
      <w:pgMar w:top="560" w:right="1244" w:bottom="1120" w:left="1406" w:header="132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F4" w:rsidRDefault="00EF39B8">
      <w:pPr>
        <w:rPr>
          <w:rFonts w:hint="eastAsia"/>
        </w:rPr>
      </w:pPr>
      <w:r>
        <w:separator/>
      </w:r>
    </w:p>
  </w:endnote>
  <w:endnote w:type="continuationSeparator" w:id="0">
    <w:p w:rsidR="003676F4" w:rsidRDefault="00EF39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F4" w:rsidRDefault="00EF39B8">
      <w:pPr>
        <w:rPr>
          <w:rFonts w:hint="eastAsia"/>
        </w:rPr>
      </w:pPr>
      <w:r>
        <w:separator/>
      </w:r>
    </w:p>
  </w:footnote>
  <w:footnote w:type="continuationSeparator" w:id="0">
    <w:p w:rsidR="003676F4" w:rsidRDefault="00EF39B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pStyle w:val="a9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widowControl/>
      <w:spacing w:line="1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widowControl/>
      <w:spacing w:line="1" w:lineRule="exact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pStyle w:val="a9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EF39B8">
    <w:pPr>
      <w:widowControl/>
      <w:spacing w:line="1" w:lineRule="exact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5BCF01E1">
              <wp:simplePos x="0" y="0"/>
              <wp:positionH relativeFrom="page">
                <wp:posOffset>4970780</wp:posOffset>
              </wp:positionH>
              <wp:positionV relativeFrom="page">
                <wp:posOffset>676275</wp:posOffset>
              </wp:positionV>
              <wp:extent cx="169545" cy="20637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20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E2E71" w:rsidRDefault="00EF39B8">
                          <w:pPr>
                            <w:pStyle w:val="af9"/>
                            <w:rPr>
                              <w:rFonts w:hint="eastAsi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7B7E">
                            <w:rPr>
                              <w:rFonts w:hint="eastAsia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BCF01E1" id="Picture 1" o:spid="_x0000_s1026" style="position:absolute;margin-left:391.4pt;margin-top:53.25pt;width:13.35pt;height:16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" o:allowincell="f" filled="f" stroked="f" strokeweight="0">
              <v:textbox style="mso-fit-shape-to-text:t" inset="0,0,0,0">
                <w:txbxContent>
                  <w:p w:rsidR="001E2E71" w:rsidRDefault="00EF39B8">
                    <w:pPr>
                      <w:pStyle w:val="af9"/>
                      <w:rPr>
                        <w:rFonts w:hint="eastAsia"/>
                        <w:sz w:val="16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7B7E">
                      <w:rPr>
                        <w:rFonts w:hint="eastAsia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EF39B8">
    <w:pPr>
      <w:widowControl/>
      <w:spacing w:line="1" w:lineRule="exact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5BCF01E1">
              <wp:simplePos x="0" y="0"/>
              <wp:positionH relativeFrom="page">
                <wp:posOffset>4970780</wp:posOffset>
              </wp:positionH>
              <wp:positionV relativeFrom="page">
                <wp:posOffset>676275</wp:posOffset>
              </wp:positionV>
              <wp:extent cx="169545" cy="206375"/>
              <wp:effectExtent l="0" t="0" r="0" b="0"/>
              <wp:wrapNone/>
              <wp:docPr id="2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20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E2E71" w:rsidRDefault="00EF39B8">
                          <w:pPr>
                            <w:pStyle w:val="af9"/>
                            <w:rPr>
                              <w:rFonts w:hint="eastAsi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BCF01E1" id="_x0000_s1027" style="position:absolute;margin-left:391.4pt;margin-top:53.25pt;width:13.35pt;height:16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" o:allowincell="f" filled="f" stroked="f" strokeweight="0">
              <v:textbox style="mso-fit-shape-to-text:t" inset="0,0,0,0">
                <w:txbxContent>
                  <w:p w:rsidR="001E2E71" w:rsidRDefault="00EF39B8">
                    <w:pPr>
                      <w:pStyle w:val="af9"/>
                      <w:rPr>
                        <w:rFonts w:hint="eastAsia"/>
                        <w:sz w:val="16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pStyle w:val="a9"/>
      <w:rPr>
        <w:rFonts w:hint="eastAsi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rPr>
        <w:rFonts w:hint="eastAsia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E71" w:rsidRDefault="001E2E71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C274B"/>
    <w:multiLevelType w:val="multilevel"/>
    <w:tmpl w:val="3B268A2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B858CD"/>
    <w:multiLevelType w:val="multilevel"/>
    <w:tmpl w:val="04EC29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CEF6BE4"/>
    <w:multiLevelType w:val="multilevel"/>
    <w:tmpl w:val="BBD6B8B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4C1798"/>
    <w:multiLevelType w:val="multilevel"/>
    <w:tmpl w:val="D04C9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40385B"/>
    <w:multiLevelType w:val="multilevel"/>
    <w:tmpl w:val="8CE4A6E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sz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71"/>
    <w:rsid w:val="001E2E71"/>
    <w:rsid w:val="003676F4"/>
    <w:rsid w:val="00367B7E"/>
    <w:rsid w:val="00E31E51"/>
    <w:rsid w:val="00E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9D7C"/>
  <w15:docId w15:val="{FC1B3CC4-B18B-4029-8459-552B335F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69A"/>
    <w:pPr>
      <w:widowControl w:val="0"/>
    </w:pPr>
    <w:rPr>
      <w:rFonts w:ascii="Arial Unicode MS" w:eastAsiaTheme="minorEastAsia" w:hAnsi="Arial Unicode MS" w:cstheme="minorBidi"/>
      <w:color w:val="000000"/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HeaderandFooter1">
    <w:name w:val="Header and Footer1"/>
    <w:link w:val="a4"/>
    <w:qFormat/>
    <w:rPr>
      <w:rFonts w:ascii="XO Thames" w:hAnsi="XO Thames"/>
      <w:sz w:val="28"/>
    </w:rPr>
  </w:style>
  <w:style w:type="character" w:customStyle="1" w:styleId="11">
    <w:name w:val="Заголовок №11"/>
    <w:link w:val="10"/>
    <w:qFormat/>
    <w:rPr>
      <w:rFonts w:ascii="Times New Roman" w:hAnsi="Times New Roman"/>
      <w:b/>
      <w:sz w:val="22"/>
    </w:rPr>
  </w:style>
  <w:style w:type="character" w:customStyle="1" w:styleId="110">
    <w:name w:val="Основной текст11"/>
    <w:link w:val="12"/>
    <w:qFormat/>
    <w:rPr>
      <w:rFonts w:ascii="Times New Roman" w:hAnsi="Times New Roman"/>
      <w:sz w:val="22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Pr>
      <w:rFonts w:ascii="Arial Unicode MS" w:eastAsiaTheme="minorEastAsia" w:hAnsi="Arial Unicode MS" w:cstheme="minorBidi"/>
      <w:color w:val="000000"/>
    </w:rPr>
  </w:style>
  <w:style w:type="character" w:styleId="a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86252F"/>
    <w:rPr>
      <w:rFonts w:ascii="Arial Unicode MS" w:eastAsiaTheme="minorEastAsia" w:hAnsi="Arial Unicode MS" w:cstheme="minorBidi"/>
      <w:color w:val="000000"/>
      <w:sz w:val="24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86252F"/>
    <w:rPr>
      <w:rFonts w:ascii="Arial Unicode MS" w:eastAsiaTheme="minorEastAsia" w:hAnsi="Arial Unicode MS" w:cstheme="minorBidi"/>
      <w:color w:val="000000"/>
      <w:sz w:val="24"/>
    </w:rPr>
  </w:style>
  <w:style w:type="character" w:customStyle="1" w:styleId="ac">
    <w:name w:val="Тема примечания Знак"/>
    <w:basedOn w:val="a5"/>
    <w:link w:val="ad"/>
    <w:uiPriority w:val="99"/>
    <w:semiHidden/>
    <w:qFormat/>
    <w:rsid w:val="007F5F5E"/>
    <w:rPr>
      <w:rFonts w:ascii="Arial Unicode MS" w:eastAsiaTheme="minorEastAsia" w:hAnsi="Arial Unicode MS" w:cstheme="minorBidi"/>
      <w:b/>
      <w:bCs/>
      <w:color w:val="000000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717125"/>
    <w:rPr>
      <w:rFonts w:ascii="Segoe UI" w:eastAsiaTheme="minorEastAsia" w:hAnsi="Segoe UI" w:cs="Segoe UI"/>
      <w:color w:val="000000"/>
      <w:sz w:val="18"/>
      <w:szCs w:val="18"/>
    </w:rPr>
  </w:style>
  <w:style w:type="character" w:styleId="af0">
    <w:name w:val="line number"/>
  </w:style>
  <w:style w:type="paragraph" w:styleId="af1">
    <w:name w:val="Title"/>
    <w:next w:val="af2"/>
    <w:uiPriority w:val="10"/>
    <w:qFormat/>
    <w:pPr>
      <w:spacing w:before="567" w:after="567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Noto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5">
    <w:name w:val="index heading"/>
    <w:basedOn w:val="a"/>
    <w:qFormat/>
    <w:pPr>
      <w:suppressLineNumbers/>
    </w:pPr>
    <w:rPr>
      <w:rFonts w:cs="Noto Sans"/>
    </w:rPr>
  </w:style>
  <w:style w:type="paragraph" w:styleId="8">
    <w:name w:val="toc 8"/>
    <w:next w:val="a"/>
    <w:uiPriority w:val="39"/>
    <w:qFormat/>
    <w:pPr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9">
    <w:name w:val="toc 9"/>
    <w:next w:val="a"/>
    <w:uiPriority w:val="39"/>
    <w:qFormat/>
    <w:pPr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3">
    <w:name w:val="toc 1"/>
    <w:next w:val="a"/>
    <w:uiPriority w:val="39"/>
    <w:rPr>
      <w:rFonts w:ascii="XO Thames" w:eastAsiaTheme="minorEastAsia" w:hAnsi="XO Thames" w:cstheme="minorBidi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f6">
    <w:name w:val="Subtitle"/>
    <w:next w:val="a"/>
    <w:uiPriority w:val="11"/>
    <w:qFormat/>
    <w:pPr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a4">
    <w:name w:val="Колонтитулы"/>
    <w:link w:val="HeaderandFooter1"/>
    <w:qFormat/>
    <w:pPr>
      <w:jc w:val="both"/>
    </w:pPr>
    <w:rPr>
      <w:rFonts w:ascii="XO Thames" w:eastAsiaTheme="minorEastAsia" w:hAnsi="XO Thames" w:cstheme="minorBidi"/>
      <w:color w:val="000000"/>
      <w:sz w:val="28"/>
    </w:rPr>
  </w:style>
  <w:style w:type="paragraph" w:customStyle="1" w:styleId="10">
    <w:name w:val="Заголовок №1"/>
    <w:basedOn w:val="a"/>
    <w:link w:val="11"/>
    <w:qFormat/>
    <w:pPr>
      <w:widowControl/>
      <w:spacing w:line="264" w:lineRule="auto"/>
      <w:jc w:val="center"/>
      <w:outlineLvl w:val="0"/>
    </w:pPr>
    <w:rPr>
      <w:rFonts w:ascii="Times New Roman" w:hAnsi="Times New Roman"/>
      <w:b/>
      <w:sz w:val="22"/>
    </w:rPr>
  </w:style>
  <w:style w:type="paragraph" w:customStyle="1" w:styleId="12">
    <w:name w:val="Основной текст1"/>
    <w:basedOn w:val="a"/>
    <w:link w:val="110"/>
    <w:qFormat/>
    <w:pPr>
      <w:widowControl/>
      <w:spacing w:line="264" w:lineRule="auto"/>
      <w:ind w:firstLine="400"/>
    </w:pPr>
    <w:rPr>
      <w:rFonts w:ascii="Times New Roman" w:hAnsi="Times New Roman"/>
      <w:sz w:val="22"/>
    </w:rPr>
  </w:style>
  <w:style w:type="paragraph" w:styleId="a6">
    <w:name w:val="annotation text"/>
    <w:basedOn w:val="a"/>
    <w:link w:val="a5"/>
    <w:uiPriority w:val="99"/>
    <w:semiHidden/>
    <w:unhideWhenUsed/>
    <w:rPr>
      <w:sz w:val="20"/>
    </w:rPr>
  </w:style>
  <w:style w:type="paragraph" w:styleId="af7">
    <w:name w:val="List Paragraph"/>
    <w:basedOn w:val="a"/>
    <w:uiPriority w:val="99"/>
    <w:unhideWhenUsed/>
    <w:qFormat/>
    <w:rsid w:val="0086252F"/>
    <w:pPr>
      <w:ind w:left="720"/>
      <w:contextualSpacing/>
    </w:pPr>
  </w:style>
  <w:style w:type="paragraph" w:styleId="a9">
    <w:name w:val="header"/>
    <w:basedOn w:val="a"/>
    <w:link w:val="a8"/>
    <w:uiPriority w:val="99"/>
    <w:unhideWhenUsed/>
    <w:rsid w:val="0086252F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86252F"/>
    <w:pPr>
      <w:tabs>
        <w:tab w:val="center" w:pos="4677"/>
        <w:tab w:val="right" w:pos="9355"/>
      </w:tabs>
    </w:pPr>
  </w:style>
  <w:style w:type="paragraph" w:styleId="ad">
    <w:name w:val="annotation subject"/>
    <w:basedOn w:val="a6"/>
    <w:next w:val="a6"/>
    <w:link w:val="ac"/>
    <w:uiPriority w:val="99"/>
    <w:semiHidden/>
    <w:unhideWhenUsed/>
    <w:qFormat/>
    <w:rsid w:val="007F5F5E"/>
    <w:rPr>
      <w:b/>
      <w:bCs/>
    </w:rPr>
  </w:style>
  <w:style w:type="paragraph" w:styleId="af">
    <w:name w:val="Balloon Text"/>
    <w:basedOn w:val="a"/>
    <w:link w:val="ae"/>
    <w:uiPriority w:val="99"/>
    <w:semiHidden/>
    <w:unhideWhenUsed/>
    <w:qFormat/>
    <w:rsid w:val="00717125"/>
    <w:rPr>
      <w:rFonts w:ascii="Segoe UI" w:hAnsi="Segoe UI" w:cs="Segoe UI"/>
      <w:sz w:val="18"/>
      <w:szCs w:val="18"/>
    </w:rPr>
  </w:style>
  <w:style w:type="paragraph" w:styleId="af8">
    <w:name w:val="Revision"/>
    <w:uiPriority w:val="99"/>
    <w:unhideWhenUsed/>
    <w:qFormat/>
    <w:rsid w:val="003F416F"/>
    <w:rPr>
      <w:rFonts w:ascii="Arial Unicode MS" w:eastAsiaTheme="minorEastAsia" w:hAnsi="Arial Unicode MS" w:cstheme="minorBidi"/>
      <w:color w:val="000000"/>
      <w:sz w:val="24"/>
    </w:rPr>
  </w:style>
  <w:style w:type="paragraph" w:customStyle="1" w:styleId="af9">
    <w:name w:val="Содержимое врезки"/>
    <w:basedOn w:val="a"/>
    <w:qFormat/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1"/>
    <w:qFormat/>
    <w:rsid w:val="00E804B1"/>
    <w:rPr>
      <w:rFonts w:eastAsiaTheme="minorEastAsia" w:cstheme="minorBi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rsid w:val="001E6ADC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9</Pages>
  <Words>2803</Words>
  <Characters>15979</Characters>
  <Application>Microsoft Office Word</Application>
  <DocSecurity>0</DocSecurity>
  <Lines>133</Lines>
  <Paragraphs>37</Paragraphs>
  <ScaleCrop>false</ScaleCrop>
  <Company>vdi</Company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dc:description/>
  <cp:lastModifiedBy>Ануфриева Елена Александровна</cp:lastModifiedBy>
  <cp:revision>7</cp:revision>
  <dcterms:created xsi:type="dcterms:W3CDTF">2026-09-03T08:20:00Z</dcterms:created>
  <dcterms:modified xsi:type="dcterms:W3CDTF">2026-09-10T08:06:00Z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1C5B3D85BA334958B032AD759EF920D3_12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eyJoZGlkIjoiOWU0ODhkMWIyMTg2NWRkZGEwY2M1ZDUzNzNmNjQwZDkiLCJ1c2VySWQiOiI4NDIzMzQwNDA4MzkifQ==</vt:lpwstr>
  </property>
</Properties>
</file>