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028"/>
        <w:keepNext w:val="true"/>
        <w:keepLines w:val="true"/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Технические требования на оказание услуг</w:t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pStyle w:val="1028"/>
        <w:keepNext w:val="true"/>
        <w:keepLines w:val="true"/>
        <w:pBdr/>
        <w:spacing w:line="360" w:lineRule="auto"/>
        <w:ind/>
        <w:jc w:val="center"/>
        <w:rPr>
          <w:rFonts w:eastAsia="Calibri"/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 xml:space="preserve">ОКПД2-71.20.12.000. Градуировка резервуаров </w:t>
      </w:r>
      <w:r>
        <w:rPr>
          <w:rFonts w:eastAsia="Calibri"/>
          <w:b/>
          <w:sz w:val="24"/>
          <w:szCs w:val="24"/>
        </w:rPr>
        <w:t xml:space="preserve">складов ГСМ Булунских ЭС, Оленекского РЭС, Среднеколымского РЭС, Янских ЭС</w:t>
      </w:r>
      <w:r>
        <w:rPr>
          <w:rFonts w:eastAsia="Calibri"/>
          <w:b/>
          <w:sz w:val="24"/>
          <w:szCs w:val="24"/>
        </w:rPr>
        <w:t xml:space="preserve"> АО "Сахаэнерго" </w:t>
        <w:br/>
        <w:t xml:space="preserve">после ремонтных работ в осенний период 2027 года</w:t>
      </w:r>
      <w:r>
        <w:rPr>
          <w:rFonts w:eastAsia="Calibri"/>
          <w:b/>
          <w:bCs/>
          <w:sz w:val="24"/>
          <w:szCs w:val="24"/>
        </w:rPr>
      </w:r>
      <w:r>
        <w:rPr>
          <w:rFonts w:eastAsia="Calibri"/>
          <w:b/>
          <w:bCs/>
          <w:sz w:val="24"/>
          <w:szCs w:val="24"/>
        </w:rPr>
      </w:r>
    </w:p>
    <w:p>
      <w:pPr>
        <w:pStyle w:val="1028"/>
        <w:pBdr/>
        <w:spacing w:line="360" w:lineRule="auto"/>
        <w:ind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pStyle w:val="1028"/>
        <w:pBdr/>
        <w:spacing w:line="360" w:lineRule="auto"/>
        <w:ind/>
        <w:jc w:val="center"/>
        <w:rPr>
          <w:rFonts w:eastAsia="Calibri"/>
          <w:b/>
          <w:sz w:val="24"/>
          <w:szCs w:val="24"/>
        </w:rPr>
      </w:pPr>
      <w:r>
        <w:rPr>
          <w:rFonts w:eastAsia="Calibri"/>
          <w:b/>
          <w:sz w:val="24"/>
          <w:szCs w:val="24"/>
        </w:rPr>
      </w:r>
      <w:r>
        <w:br w:type="page" w:clear="all"/>
      </w:r>
      <w:r>
        <w:rPr>
          <w:rFonts w:eastAsia="Calibri"/>
          <w:b/>
          <w:sz w:val="24"/>
          <w:szCs w:val="24"/>
        </w:rPr>
      </w:r>
      <w:r>
        <w:rPr>
          <w:rFonts w:eastAsia="Calibri"/>
          <w:b/>
          <w:sz w:val="24"/>
          <w:szCs w:val="24"/>
        </w:rPr>
      </w:r>
    </w:p>
    <w:p>
      <w:pPr>
        <w:pStyle w:val="1028"/>
        <w:keepNext w:val="true"/>
        <w:keepLines w:val="true"/>
        <w:pBdr/>
        <w:spacing w:line="360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Содержание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28"/>
        <w:keepNext w:val="true"/>
        <w:keepLines w:val="true"/>
        <w:pBdr/>
        <w:spacing w:line="360" w:lineRule="auto"/>
        <w:ind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Общие сведения ……………………………………………………………………………………. 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 w:after="240" w:before="0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Обозначения и сокращения ……………………………………………………………………... 3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Наименование закупаемой продукции …………………………………………………………. 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 w:after="240" w:before="0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1.3. Цель оказания услуг ……………………………………………………………………………... 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 w:after="240" w:before="0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1. Перечень объектов заказчика …………………………………………………………... 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услуги и документов, предоставляемых заказчиком на этапе исполнения договора) …………………………………………………..............…….. 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Требования к продукции ……………………………………………………………………..…… 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Требования к объемам и срокам оказания услуг …………………………………………..….. 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2.1.1. Требования к перечню и объему услуг ………………………………………….……….…... 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Требования к срокам оказания услуг ……………………………………………………..……. 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 w:after="240" w:before="0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2. Требования к срокам оказания услуг ……………………………………………..……. 7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Требования к качеству услуг …………………………………………………………...……… 8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 w:after="240" w:before="0"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Таблица 3. Требования к качеству услуг ……………………………………………….…....…….. 8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Требования к участнику закупки ……………………………………………………………..…. 14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 Требования к документации по ценообразованию на этапе закупки ………………………… 15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1 ……………………………………………………………………………………. 16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keepNext w:val="true"/>
        <w:keepLines w:val="tru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Приложение № 2 ……………………………………………………………………………………. 18</w:t>
      </w:r>
      <w: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34"/>
        <w:keepNext w:val="true"/>
        <w:keepLines w:val="true"/>
        <w:numPr>
          <w:ilvl w:val="0"/>
          <w:numId w:val="3"/>
        </w:numPr>
        <w:pBdr/>
        <w:tabs>
          <w:tab w:val="left" w:leader="none" w:pos="284"/>
          <w:tab w:val="clear" w:leader="none" w:pos="708"/>
        </w:tabs>
        <w:spacing w:line="360" w:lineRule="auto"/>
        <w:ind w:firstLine="0" w:left="0"/>
        <w:rPr>
          <w:b/>
        </w:rPr>
      </w:pPr>
      <w:r/>
      <w:bookmarkStart w:id="0" w:name="_Toc142564678"/>
      <w:r/>
      <w:bookmarkStart w:id="1" w:name="_Toc54643694"/>
      <w:r>
        <w:rPr>
          <w:b/>
        </w:rPr>
        <w:t xml:space="preserve">Общие сведения</w:t>
      </w:r>
      <w:bookmarkStart w:id="2" w:name="_Toc54643695"/>
      <w:r/>
      <w:bookmarkStart w:id="3" w:name="_Toc46743505"/>
      <w:r/>
      <w:bookmarkStart w:id="4" w:name="_Toc142564679"/>
      <w:r/>
      <w:bookmarkEnd w:id="0"/>
      <w:r/>
      <w:bookmarkEnd w:id="1"/>
      <w:r>
        <w:rPr>
          <w:b/>
        </w:rPr>
      </w:r>
      <w:r>
        <w:rPr>
          <w:b/>
        </w:rPr>
      </w:r>
    </w:p>
    <w:p>
      <w:pPr>
        <w:pStyle w:val="1134"/>
        <w:keepNext w:val="true"/>
        <w:keepLines w:val="true"/>
        <w:numPr>
          <w:ilvl w:val="1"/>
          <w:numId w:val="3"/>
        </w:numPr>
        <w:pBdr/>
        <w:tabs>
          <w:tab w:val="left" w:leader="none" w:pos="426"/>
          <w:tab w:val="left" w:leader="none" w:pos="567"/>
          <w:tab w:val="clear" w:leader="none" w:pos="708"/>
        </w:tabs>
        <w:spacing w:line="360" w:lineRule="auto"/>
        <w:ind w:firstLine="0" w:left="0"/>
        <w:rPr>
          <w:b/>
        </w:rPr>
      </w:pPr>
      <w:r>
        <w:rPr>
          <w:b/>
        </w:rPr>
        <w:t xml:space="preserve">Обозначения и сокращения</w:t>
      </w:r>
      <w:bookmarkEnd w:id="2"/>
      <w:r/>
      <w:bookmarkEnd w:id="3"/>
      <w:r/>
      <w:bookmarkEnd w:id="4"/>
      <w:r>
        <w:rPr>
          <w:b/>
        </w:rPr>
      </w:r>
      <w:r>
        <w:rPr>
          <w:b/>
        </w:rPr>
      </w:r>
    </w:p>
    <w:tbl>
      <w:tblPr>
        <w:tblW w:w="9462" w:type="dxa"/>
        <w:jc w:val="center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244"/>
        <w:gridCol w:w="7217"/>
      </w:tblGrid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ГСМ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Горюче-смазочные материалы</w:t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Электрические сети</w:t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Район электрических сетей</w:t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ДЭС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rStyle w:val="1071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Дизельная электростанция</w:t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</w:rPr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РВС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Резервуар вертикальный стальной</w:t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РГС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rStyle w:val="1071"/>
                <w:bCs/>
                <w:i w:val="0"/>
                <w:iCs/>
                <w:sz w:val="24"/>
                <w:szCs w:val="24"/>
                <w:shd w:val="clear" w:color="auto" w:fill="auto"/>
              </w:rPr>
            </w:pPr>
            <w:r>
              <w:rPr>
                <w:sz w:val="24"/>
                <w:szCs w:val="24"/>
              </w:rPr>
              <w:t xml:space="preserve">Резервуар горизонтальный стальной</w:t>
            </w:r>
            <w:r>
              <w:rPr>
                <w:rStyle w:val="1071"/>
                <w:bCs/>
                <w:i w:val="0"/>
                <w:iCs/>
                <w:sz w:val="24"/>
                <w:szCs w:val="24"/>
                <w:shd w:val="clear" w:color="auto" w:fill="auto"/>
              </w:rPr>
            </w:r>
            <w:r>
              <w:rPr>
                <w:rStyle w:val="1071"/>
                <w:bCs/>
                <w:i w:val="0"/>
                <w:iCs/>
                <w:sz w:val="24"/>
                <w:szCs w:val="24"/>
                <w:shd w:val="clear" w:color="auto" w:fill="auto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rStyle w:val="1071"/>
                <w:b w:val="0"/>
                <w:bCs/>
                <w:i w:val="0"/>
                <w:iCs/>
                <w:sz w:val="24"/>
                <w:szCs w:val="24"/>
              </w:rPr>
            </w:pP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  <w:shd w:val="clear" w:color="auto" w:fill="auto"/>
              </w:rPr>
              <w:t xml:space="preserve">Технические требования</w:t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</w:rPr>
            </w:r>
            <w:r>
              <w:rPr>
                <w:rStyle w:val="1071"/>
                <w:b w:val="0"/>
                <w:bCs/>
                <w:i w:val="0"/>
                <w:iCs/>
                <w:sz w:val="24"/>
                <w:szCs w:val="24"/>
              </w:rPr>
            </w:r>
          </w:p>
        </w:tc>
      </w:tr>
      <w:tr>
        <w:trPr>
          <w:cantSplit/>
          <w:trHeight w:val="51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4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1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line="360" w:lineRule="auto"/>
              <w:ind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Государственный стандарт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</w:tbl>
    <w:p>
      <w:pPr>
        <w:pStyle w:val="1028"/>
        <w:keepNext w:val="true"/>
        <w:keepLines w:val="true"/>
        <w:pBdr/>
        <w:spacing w:line="360" w:lineRule="auto"/>
        <w:ind/>
        <w:rPr>
          <w:sz w:val="24"/>
          <w:szCs w:val="24"/>
        </w:rPr>
      </w:pPr>
      <w:r>
        <w:rPr>
          <w:sz w:val="24"/>
          <w:szCs w:val="24"/>
        </w:rPr>
      </w:r>
      <w: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bCs/>
          <w:sz w:val="24"/>
          <w:szCs w:val="24"/>
        </w:rPr>
      </w:pPr>
      <w:r>
        <w:rPr>
          <w:rStyle w:val="1071"/>
          <w:bCs/>
          <w:i w:val="0"/>
          <w:color w:val="000000"/>
          <w:sz w:val="24"/>
          <w:szCs w:val="24"/>
          <w:shd w:val="clear" w:color="auto" w:fill="auto"/>
        </w:rPr>
        <w:t xml:space="preserve">1.2. Наименование закупаемой продукции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left"/>
        <w:rPr>
          <w:sz w:val="24"/>
          <w:szCs w:val="24"/>
          <w:highlight w:val="none"/>
          <w14:ligatures w14:val="none"/>
        </w:rPr>
      </w:pPr>
      <w:r>
        <w:rPr>
          <w:sz w:val="24"/>
          <w:szCs w:val="24"/>
        </w:rPr>
        <w:t xml:space="preserve">Градуировка резервуаров склад</w:t>
      </w:r>
      <w:r>
        <w:rPr>
          <w:sz w:val="24"/>
          <w:szCs w:val="24"/>
        </w:rPr>
        <w:t xml:space="preserve">ов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ГСМ Булунских ЭС, Оленекского РЭС, Среднеколымского РЭС, Янских ЭС </w:t>
      </w:r>
      <w:r>
        <w:rPr>
          <w:sz w:val="24"/>
          <w:szCs w:val="24"/>
        </w:rPr>
        <w:t xml:space="preserve">АО «Сахаэнерго».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1028"/>
        <w:widowControl w:val="false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bCs/>
          <w:sz w:val="24"/>
          <w:szCs w:val="24"/>
        </w:rPr>
      </w:pPr>
      <w:r>
        <w:rPr>
          <w:rStyle w:val="1071"/>
          <w:bCs/>
          <w:i w:val="0"/>
          <w:color w:val="000000"/>
          <w:sz w:val="24"/>
          <w:szCs w:val="24"/>
          <w:shd w:val="clear" w:color="auto" w:fill="auto"/>
        </w:rPr>
        <w:t xml:space="preserve">1.3. Цель оказания услуг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sz w:val="24"/>
          <w:szCs w:val="24"/>
        </w:rPr>
      </w:pPr>
      <w:r/>
      <w:bookmarkStart w:id="5" w:name="_Toc46743508"/>
      <w:r/>
      <w:bookmarkStart w:id="6" w:name="_Toc54643698"/>
      <w:r/>
      <w:bookmarkEnd w:id="5"/>
      <w:r/>
      <w:bookmarkEnd w:id="6"/>
      <w:r>
        <w:rPr>
          <w:sz w:val="24"/>
          <w:szCs w:val="24"/>
        </w:rPr>
        <w:t xml:space="preserve">Определение вместимости (градуировка) резервуаров указанных в таблице 1 для контроля точного количества получаемого и расходуемого ГСМ. Предоставление градуировочных таблиц, свидетельств о поверке резервуаров или сертификатов о калибровке резервуаров.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left" w:leader="none" w:pos="-142"/>
          <w:tab w:val="left" w:leader="none" w:pos="0"/>
          <w:tab w:val="left" w:leader="none" w:pos="142"/>
          <w:tab w:val="left" w:leader="none" w:pos="284"/>
          <w:tab w:val="left" w:leader="none" w:pos="426"/>
          <w:tab w:val="clear" w:leader="none" w:pos="708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br w:type="page" w:clear="all"/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239"/>
        <w:pageBreakBefore w:val="true"/>
        <w:pBdr/>
        <w:spacing/>
        <w:ind/>
        <w:rPr/>
      </w:pPr>
      <w:r>
        <w:rPr>
          <w:b/>
          <w:bCs/>
          <w:sz w:val="24"/>
          <w:szCs w:val="24"/>
        </w:rPr>
        <w:t xml:space="preserve">Таблица 1. Перечень объектов заказчика</w:t>
      </w:r>
      <w:r/>
    </w:p>
    <w:p>
      <w:pPr>
        <w:pStyle w:val="1239"/>
        <w:pBdr/>
        <w:spacing/>
        <w:ind/>
        <w:rPr/>
      </w:pPr>
      <w:r/>
      <w:bookmarkStart w:id="8" w:name="_Toc546436981"/>
      <w:r/>
      <w:bookmarkEnd w:id="8"/>
      <w:r/>
      <w:bookmarkStart w:id="9" w:name="_Toc467435081"/>
      <w:r/>
      <w:bookmarkEnd w:id="9"/>
      <w:r/>
      <w:r/>
    </w:p>
    <w:tbl>
      <w:tblPr>
        <w:tblW w:w="10831" w:type="dxa"/>
        <w:tblInd w:w="-368" w:type="dxa"/>
        <w:tblBorders/>
        <w:tblLayout w:type="fixed"/>
        <w:tblLook w:val="04A0" w:firstRow="1" w:lastRow="0" w:firstColumn="1" w:lastColumn="0" w:noHBand="0" w:noVBand="1"/>
      </w:tblPr>
      <w:tblGrid>
        <w:gridCol w:w="570"/>
        <w:gridCol w:w="2439"/>
        <w:gridCol w:w="2157"/>
        <w:gridCol w:w="1944"/>
        <w:gridCol w:w="1873"/>
        <w:gridCol w:w="1847"/>
      </w:tblGrid>
      <w:tr>
        <w:trPr>
          <w:trHeight w:val="142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№ п/п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Наименование филиала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Наименование ДЭС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Наименование и тип резервуара (наземный / подземный, вертикальный / горизонтальный, стальной) со станционным номером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Объём V, куб.м.</w:t>
            </w:r>
            <w:r/>
            <w:r/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Инвентарный номер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0"/>
                <w:u w:val="none"/>
                <w:vertAlign w:val="baseline"/>
              </w:rPr>
              <w:t xml:space="preserve">6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Булунские 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Таймылыр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№ 1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000014418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Булунские 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Таймылыр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№ 2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25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000014419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3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Оленекский РЭС 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АДЭС Жилинда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№ 1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000012322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4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Оленекский РЭС 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АДЭС Жилинда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№ 2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000012323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Оленекский РЭС 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АДЭС Жилинда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№ 3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000012248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6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Оленекский РЭС 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АДЭС Жилинда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№ 4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000012249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7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Среднеколымский РЭС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Ойусардах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зав. № 395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000014517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8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Среднеколымский РЭС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Ойусардах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зав. № 399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000014518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9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Среднеколымский РЭС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Ойусардах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зав. № 400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000014519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Среднеколымский РЭС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Ойусардах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зав. № 401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000014520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11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Среднеколымский РЭС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Ойусардах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зав. № 402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000014521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12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Янские 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Уянди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№ 1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000014496</w:t>
            </w:r>
            <w:r/>
            <w:r/>
          </w:p>
        </w:tc>
      </w:tr>
      <w:tr>
        <w:trPr>
          <w:trHeight w:val="276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57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13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43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Янские ЭС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non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215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ДЭС Уянди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94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РГС № 2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73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50</w:t>
            </w:r>
            <w:r/>
            <w:r/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55" w:type="dxa"/>
              <w:top w:w="55" w:type="dxa"/>
              <w:right w:w="55" w:type="dxa"/>
              <w:bottom w:w="55" w:type="dxa"/>
            </w:tcMar>
            <w:tcW w:w="1847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/>
            </w:pPr>
            <w:r>
              <w:rPr>
                <w:rFonts w:ascii="Times New Roman" w:hAnsi="Times New Roman" w:eastAsia="Times New Roman" w:cs="Times New Roman"/>
                <w:b w:val="0"/>
                <w:i w:val="0"/>
                <w:strike w:val="0"/>
                <w:color w:val="000000"/>
                <w:sz w:val="24"/>
                <w:u w:val="none"/>
                <w:vertAlign w:val="baseline"/>
              </w:rPr>
              <w:t xml:space="preserve">000014497</w:t>
            </w:r>
            <w:r/>
            <w:r/>
          </w:p>
        </w:tc>
      </w:tr>
    </w:tbl>
    <w:p>
      <w:pPr>
        <w:pStyle w:val="1239"/>
        <w:pBdr/>
        <w:spacing/>
        <w:ind/>
        <w:rPr/>
      </w:pPr>
      <w:r/>
      <w:r/>
    </w:p>
    <w:p>
      <w:pPr>
        <w:pStyle w:val="1239"/>
        <w:pBdr/>
        <w:spacing/>
        <w:ind/>
        <w:rPr/>
      </w:pPr>
      <w:r/>
      <w:r/>
    </w:p>
    <w:p>
      <w:pPr>
        <w:pStyle w:val="1239"/>
        <w:pBdr/>
        <w:spacing/>
        <w:ind/>
        <w:rPr/>
      </w:pPr>
      <w:r/>
      <w:r/>
    </w:p>
    <w:p>
      <w:pPr>
        <w:pStyle w:val="1239"/>
        <w:pageBreakBefore w:val="true"/>
        <w:pBdr/>
        <w:tabs>
          <w:tab w:val="left" w:leader="none" w:pos="709"/>
        </w:tabs>
        <w:spacing w:line="360" w:lineRule="auto"/>
        <w:ind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1.4.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 этапе исполнения договора):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239"/>
        <w:pBdr/>
        <w:tabs>
          <w:tab w:val="left" w:leader="none" w:pos="709"/>
        </w:tabs>
        <w:spacing w:line="360" w:lineRule="auto"/>
        <w:ind/>
        <w:jc w:val="both"/>
        <w:rPr/>
      </w:pPr>
      <w:r>
        <w:rPr>
          <w:sz w:val="24"/>
          <w:szCs w:val="24"/>
        </w:rPr>
        <w:t xml:space="preserve">- Исполнитель обязан выполнить услуги строго в соответствии с планом-графиком проведения градуировки в разрезе филиалов АО «Сахаэнерго», указанный в Приложении № 1 к техническому требованию;</w:t>
      </w:r>
      <w:r/>
    </w:p>
    <w:p>
      <w:pPr>
        <w:pStyle w:val="1239"/>
        <w:pBdr/>
        <w:tabs>
          <w:tab w:val="left" w:leader="none" w:pos="709"/>
        </w:tabs>
        <w:spacing w:line="360" w:lineRule="auto"/>
        <w:ind/>
        <w:jc w:val="both"/>
        <w:rPr/>
      </w:pPr>
      <w:r>
        <w:rPr>
          <w:sz w:val="24"/>
          <w:szCs w:val="24"/>
        </w:rPr>
        <w:t xml:space="preserve">- Исполнитель должен провести градуировку с выездом на объект;</w:t>
      </w:r>
      <w:r/>
    </w:p>
    <w:p>
      <w:pPr>
        <w:pStyle w:val="1239"/>
        <w:pBdr/>
        <w:tabs>
          <w:tab w:val="left" w:leader="none" w:pos="709"/>
        </w:tabs>
        <w:spacing w:line="360" w:lineRule="auto"/>
        <w:ind/>
        <w:jc w:val="both"/>
        <w:rPr/>
      </w:pPr>
      <w:r>
        <w:rPr>
          <w:sz w:val="24"/>
          <w:szCs w:val="24"/>
        </w:rPr>
        <w:t xml:space="preserve">- Исполнитель должен составить и предоставить Акты готовности резервуара к градуировке, подписанные экспертами, участвовавшими в проведении услуг, и представителями заказчика, находящихся непосредственно на объекте (мастер, начальник ДЭС);</w:t>
      </w:r>
      <w:r/>
    </w:p>
    <w:p>
      <w:pPr>
        <w:pStyle w:val="1239"/>
        <w:pBdr/>
        <w:tabs>
          <w:tab w:val="left" w:leader="none" w:pos="709"/>
        </w:tabs>
        <w:spacing w:line="360" w:lineRule="auto"/>
        <w:ind/>
        <w:jc w:val="both"/>
        <w:rPr/>
      </w:pPr>
      <w:r>
        <w:rPr>
          <w:sz w:val="24"/>
          <w:szCs w:val="24"/>
        </w:rPr>
        <w:t xml:space="preserve">- Результатом оказания услуг является выдача градуировочных таблиц на каждый резервуар отдельно, выдача сертификатов о калибровке резервуаров.</w:t>
      </w:r>
      <w:r/>
    </w:p>
    <w:p>
      <w:pPr>
        <w:pStyle w:val="1028"/>
        <w:pBdr/>
        <w:tabs>
          <w:tab w:val="clear" w:leader="none" w:pos="708"/>
          <w:tab w:val="left" w:leader="none" w:pos="709"/>
        </w:tabs>
        <w:spacing w:line="360" w:lineRule="auto"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 w:line="360" w:lineRule="auto"/>
        <w:ind/>
        <w:jc w:val="both"/>
        <w:rPr>
          <w:color w:val="2c2d2e"/>
        </w:rPr>
      </w:pPr>
      <w:r>
        <w:rPr>
          <w:color w:val="2c2d2e"/>
        </w:rPr>
      </w:r>
      <w:r>
        <w:br w:type="page" w:clear="all"/>
      </w:r>
      <w:r>
        <w:rPr>
          <w:color w:val="2c2d2e"/>
        </w:rPr>
      </w:r>
      <w:r>
        <w:rPr>
          <w:color w:val="2c2d2e"/>
        </w:rPr>
      </w:r>
    </w:p>
    <w:p>
      <w:pPr>
        <w:pStyle w:val="1028"/>
        <w:pBdr/>
        <w:spacing/>
        <w:ind/>
        <w:rPr>
          <w:b/>
          <w:bCs/>
        </w:rPr>
      </w:pPr>
      <w:r>
        <w:rPr>
          <w:b/>
          <w:bCs/>
          <w:sz w:val="24"/>
          <w:szCs w:val="24"/>
        </w:rPr>
        <w:t xml:space="preserve">2.Требования к продукции</w:t>
      </w:r>
      <w:r>
        <w:rPr>
          <w:b/>
          <w:bCs/>
        </w:rPr>
      </w:r>
      <w:r>
        <w:rPr>
          <w:b/>
          <w:bCs/>
        </w:rPr>
      </w:r>
    </w:p>
    <w:p>
      <w:pPr>
        <w:pStyle w:val="1028"/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 Требования к объемам и срокам оказания услуг</w:t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28"/>
        <w:pBdr/>
        <w:spacing/>
        <w:ind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2.1.1. Требования к перечню и объему услуг</w:t>
      </w:r>
      <w:bookmarkStart w:id="9" w:name="_Toc546437011"/>
      <w:r/>
      <w:bookmarkEnd w:id="9"/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clear" w:leader="none" w:pos="708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</w:t>
      </w:r>
      <w:bookmarkStart w:id="10" w:name="_Toc51339696"/>
      <w:r/>
      <w:bookmarkStart w:id="11" w:name="_Toc142564688"/>
      <w:r/>
      <w:bookmarkStart w:id="12" w:name="_Toc54643706"/>
      <w:r>
        <w:rPr>
          <w:sz w:val="24"/>
          <w:szCs w:val="24"/>
        </w:rPr>
        <w:t xml:space="preserve"> Определение вместимости, градуировка резервуаров геометрическим методом и составление градуировочной таблицы;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shd w:val="clear" w:color="auto" w:fill="ffffff"/>
        <w:tabs>
          <w:tab w:val="clear" w:leader="none" w:pos="708"/>
          <w:tab w:val="left" w:leader="none" w:pos="709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Проведение градуировки с выездом на объект;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shd w:val="clear" w:color="auto" w:fill="ffffff"/>
        <w:tabs>
          <w:tab w:val="left" w:leader="none" w:pos="0"/>
          <w:tab w:val="clear" w:leader="none" w:pos="708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Проект градуировочной таблицы предоставляется Исполнителем в электронном виде и подлеж</w:t>
      </w:r>
      <w:r>
        <w:rPr>
          <w:sz w:val="24"/>
          <w:szCs w:val="24"/>
        </w:rPr>
        <w:t xml:space="preserve">ит рассмотрению Заказчиком в течение 14 дней. В случае не урегулирования разногласий по представленному проекту градуировочной таблицы Заказчик и Исполнитель организуют проведение технического совещания с привлечением независимых компетентных специалистов;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8"/>
        </w:tabs>
        <w:spacing/>
        <w:ind w:right="134" w:firstLine="0"/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- Градуировочные таблицы должны быть оформлены в соответствии с требованиями ГОСТ 8.346-2000 и 8.570-2000;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8"/>
        </w:tabs>
        <w:spacing/>
        <w:ind w:right="134" w:firstLine="0"/>
        <w:jc w:val="both"/>
        <w:rPr>
          <w:color w:val="ff0000"/>
          <w:sz w:val="24"/>
          <w:szCs w:val="24"/>
        </w:rPr>
      </w:pPr>
      <w:r>
        <w:rPr>
          <w:bCs/>
          <w:sz w:val="24"/>
          <w:szCs w:val="24"/>
        </w:rPr>
        <w:t xml:space="preserve">- Градуировочные т</w:t>
      </w:r>
      <w:r>
        <w:rPr>
          <w:sz w:val="24"/>
          <w:szCs w:val="24"/>
        </w:rPr>
        <w:t xml:space="preserve">аблицы подписываются и заверяются печатью руководителя Исполнителя, прошиваются с указанием количества сшитых страниц;</w:t>
      </w:r>
      <w:r>
        <w:rPr>
          <w:color w:val="ff0000"/>
          <w:sz w:val="24"/>
          <w:szCs w:val="24"/>
        </w:rPr>
      </w:r>
      <w:r>
        <w:rPr>
          <w:color w:val="ff0000"/>
          <w:sz w:val="24"/>
          <w:szCs w:val="24"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8"/>
        </w:tabs>
        <w:spacing/>
        <w:ind w:right="13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К градуировочным таблицам Исполнитель прилагает: свидетельства о поверке резервуаров или сертификаты о калибровке резервуаров;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shd w:val="clear" w:color="auto" w:fill="ffffff"/>
        <w:tabs>
          <w:tab w:val="left" w:leader="none" w:pos="0"/>
          <w:tab w:val="clear" w:leader="none" w:pos="708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Документацию представить: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134"/>
        <w:pBdr/>
        <w:shd w:val="clear" w:color="auto" w:fill="ffffff"/>
        <w:tabs>
          <w:tab w:val="left" w:leader="none" w:pos="0"/>
          <w:tab w:val="clear" w:leader="none" w:pos="708"/>
        </w:tabs>
        <w:spacing/>
        <w:ind w:firstLine="0" w:left="0"/>
        <w:jc w:val="both"/>
        <w:rPr>
          <w:rFonts w:eastAsia="Times New Roman"/>
        </w:rPr>
      </w:pPr>
      <w:r>
        <w:rPr>
          <w:rFonts w:eastAsia="Times New Roman"/>
        </w:rPr>
        <w:t xml:space="preserve">•</w:t>
      </w:r>
      <w:r>
        <w:rPr>
          <w:rFonts w:eastAsia="Times New Roman"/>
        </w:rPr>
        <w:tab/>
        <w:t xml:space="preserve">в 2 экземплярах на бумажном носителе и 1 экземпляр в электронном виде в формате pdf на электронном носителе;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pStyle w:val="1134"/>
        <w:pBdr/>
        <w:shd w:val="clear" w:color="auto" w:fill="ffffff"/>
        <w:tabs>
          <w:tab w:val="left" w:leader="none" w:pos="0"/>
          <w:tab w:val="clear" w:leader="none" w:pos="708"/>
        </w:tabs>
        <w:spacing/>
        <w:ind w:firstLine="0" w:left="0"/>
        <w:jc w:val="both"/>
        <w:rPr>
          <w:rFonts w:eastAsia="Times New Roman"/>
        </w:rPr>
      </w:pPr>
      <w:r>
        <w:rPr>
          <w:rFonts w:eastAsia="Times New Roman"/>
        </w:rPr>
        <w:t xml:space="preserve">•</w:t>
      </w:r>
      <w:r>
        <w:rPr>
          <w:rFonts w:eastAsia="Times New Roman"/>
        </w:rPr>
        <w:tab/>
        <w:t xml:space="preserve">структура и содержание электронной версии документации должны соответствовать бумажному оригиналу.</w:t>
      </w:r>
      <w:r>
        <w:rPr>
          <w:rFonts w:eastAsia="Times New Roman"/>
        </w:rPr>
      </w:r>
      <w:r>
        <w:rPr>
          <w:rFonts w:eastAsia="Times New Roman"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8"/>
        </w:tabs>
        <w:spacing/>
        <w:ind w:right="134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Электронные версии документов, имеющих подписи и согласования, предоставляются файлами, получаемыми путем сканирования бумажного оригинала в формате Acrobat Reader (PDF). 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8"/>
        </w:tabs>
        <w:spacing/>
        <w:ind w:right="134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8"/>
        </w:tabs>
        <w:spacing/>
        <w:ind w:right="134" w:firstLine="0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2.2. Требования к срокам оказания услуг</w:t>
      </w:r>
      <w:r>
        <w:rPr>
          <w:b/>
          <w:bCs/>
        </w:rPr>
      </w:r>
      <w:r>
        <w:rPr>
          <w:b/>
          <w:bCs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8"/>
        </w:tabs>
        <w:spacing/>
        <w:ind w:right="134" w:firstLine="0"/>
        <w:jc w:val="both"/>
        <w:rPr>
          <w:b/>
          <w:bCs/>
        </w:rPr>
      </w:pPr>
      <w:r>
        <w:rPr>
          <w:b/>
          <w:bCs/>
          <w:sz w:val="24"/>
          <w:szCs w:val="24"/>
        </w:rPr>
        <w:t xml:space="preserve">Таблица 2. Требования к срокам оказания услуг</w:t>
      </w:r>
      <w:bookmarkEnd w:id="10"/>
      <w:r/>
      <w:bookmarkEnd w:id="11"/>
      <w:r/>
      <w:bookmarkEnd w:id="12"/>
      <w:r>
        <w:rPr>
          <w:b/>
          <w:bCs/>
        </w:rPr>
      </w:r>
      <w:r>
        <w:rPr>
          <w:b/>
          <w:bCs/>
        </w:rPr>
      </w:r>
    </w:p>
    <w:p>
      <w:pPr>
        <w:pStyle w:val="1028"/>
        <w:widowControl w:val="false"/>
        <w:pBdr/>
        <w:shd w:val="clear" w:color="auto" w:fill="ffffff"/>
        <w:tabs>
          <w:tab w:val="left" w:leader="none" w:pos="0"/>
          <w:tab w:val="left" w:leader="none" w:pos="38"/>
          <w:tab w:val="clear" w:leader="none" w:pos="708"/>
        </w:tabs>
        <w:spacing/>
        <w:ind w:right="134" w:firstLine="0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776" w:type="dxa"/>
        <w:tblInd w:w="0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20"/>
        <w:gridCol w:w="3240"/>
        <w:gridCol w:w="2701"/>
        <w:gridCol w:w="3114"/>
      </w:tblGrid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/>
              <w:ind w:right="63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 xml:space="preserve">п/п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услуг / этапа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началу срока оказания услуг /  этапа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Требования к окончанию срока оказания услуг / этапа услуг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/>
              <w:ind w:right="63" w:firstLine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1" w:type="dxa"/>
            <w:vAlign w:val="center"/>
            <w:textDirection w:val="lrTb"/>
            <w:noWrap w:val="false"/>
          </w:tcPr>
          <w:p>
            <w:pPr>
              <w:pStyle w:val="1150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center"/>
            <w:textDirection w:val="lrTb"/>
            <w:noWrap w:val="false"/>
          </w:tcPr>
          <w:p>
            <w:pPr>
              <w:pStyle w:val="1150"/>
              <w:keepNext w:val="false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20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pBdr/>
              <w:spacing/>
              <w:ind w:right="63" w:firstLine="0" w:left="0"/>
              <w:jc w:val="center"/>
              <w:rPr/>
            </w:pPr>
            <w:r>
              <w:t xml:space="preserve">1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240" w:type="dxa"/>
            <w:vAlign w:val="center"/>
            <w:textDirection w:val="lrTb"/>
            <w:noWrap w:val="false"/>
          </w:tcPr>
          <w:p>
            <w:pPr>
              <w:pStyle w:val="1239"/>
              <w:pBdr/>
              <w:spacing w:line="240" w:lineRule="auto"/>
              <w:ind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eastAsia="Calibri"/>
                <w:sz w:val="24"/>
                <w:szCs w:val="24"/>
                <w:lang w:val="ru-RU"/>
              </w:rPr>
              <w:t xml:space="preserve">Градуировка резервуаров склад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ов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ГСМ Булунских ЭС, Оленекского РЭС, Среднеколымского РЭС, Янских ЭС</w:t>
            </w:r>
            <w:r>
              <w:rPr>
                <w:rFonts w:eastAsia="Calibri"/>
                <w:sz w:val="24"/>
                <w:szCs w:val="24"/>
                <w:lang w:val="ru-RU"/>
              </w:rPr>
              <w:t xml:space="preserve"> АО «Сахаэнерго»</w:t>
            </w:r>
            <w:r>
              <w:rPr>
                <w:sz w:val="24"/>
                <w:szCs w:val="24"/>
                <w:lang w:val="ru-RU"/>
              </w:rPr>
            </w:r>
            <w:r>
              <w:rPr>
                <w:sz w:val="24"/>
                <w:szCs w:val="24"/>
                <w:lang w:val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70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даты заключения договора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4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pBdr/>
              <w:spacing/>
              <w:ind w:right="0" w:firstLine="0" w:left="4"/>
              <w:jc w:val="center"/>
              <w:rPr/>
            </w:pPr>
            <w:r>
              <w:t xml:space="preserve">Не позднее 31.11.2027</w:t>
            </w:r>
            <w:r/>
          </w:p>
          <w:p>
            <w:pPr>
              <w:pStyle w:val="1134"/>
              <w:widowControl w:val="false"/>
              <w:pBdr/>
              <w:spacing/>
              <w:ind w:firstLine="0" w:left="0"/>
              <w:jc w:val="left"/>
              <w:rPr/>
            </w:pPr>
            <w:r/>
            <w:r/>
          </w:p>
        </w:tc>
      </w:tr>
    </w:tbl>
    <w:p>
      <w:pPr>
        <w:pBdr/>
        <w:spacing/>
        <w:ind/>
        <w:rPr/>
        <w:sectPr>
          <w:headerReference w:type="default" r:id="rId9"/>
          <w:headerReference w:type="even" r:id="rId10"/>
          <w:headerReference w:type="first" r:id="rId11"/>
          <w:footerReference w:type="default" r:id="rId14"/>
          <w:footerReference w:type="first" r:id="rId15"/>
          <w:footnotePr/>
          <w:endnotePr/>
          <w:type w:val="nextPage"/>
          <w:pgSz w:h="16838" w:orient="portrait" w:w="11906"/>
          <w:pgMar w:top="1134" w:right="851" w:bottom="992" w:left="1134" w:header="680" w:footer="737" w:gutter="0"/>
          <w:cols w:num="1" w:sep="0" w:space="1701" w:equalWidth="1"/>
          <w:titlePg/>
        </w:sectPr>
      </w:pPr>
      <w:r/>
      <w:r/>
    </w:p>
    <w:p>
      <w:pPr>
        <w:pStyle w:val="1028"/>
        <w:pBdr/>
        <w:tabs>
          <w:tab w:val="left" w:leader="none" w:pos="284"/>
          <w:tab w:val="left" w:leader="none" w:pos="567"/>
          <w:tab w:val="clear" w:leader="none" w:pos="708"/>
        </w:tabs>
        <w:spacing w:line="360" w:lineRule="auto"/>
        <w:ind/>
        <w:jc w:val="both"/>
        <w:rPr>
          <w:i/>
          <w:iCs/>
          <w:sz w:val="24"/>
          <w:szCs w:val="24"/>
          <w:shd w:val="clear" w:color="auto" w:fill="ffff99"/>
        </w:rPr>
      </w:pPr>
      <w:r>
        <w:rPr>
          <w:b/>
          <w:bCs/>
          <w:sz w:val="24"/>
          <w:szCs w:val="24"/>
        </w:rPr>
        <w:t xml:space="preserve">2.3. Требования к качеству услуг</w:t>
      </w:r>
      <w:r>
        <w:rPr>
          <w:i/>
          <w:iCs/>
          <w:sz w:val="24"/>
          <w:szCs w:val="24"/>
          <w:shd w:val="clear" w:color="auto" w:fill="ffff99"/>
        </w:rPr>
      </w:r>
      <w:r>
        <w:rPr>
          <w:i/>
          <w:iCs/>
          <w:sz w:val="24"/>
          <w:szCs w:val="24"/>
          <w:shd w:val="clear" w:color="auto" w:fill="ffff99"/>
        </w:rPr>
      </w:r>
    </w:p>
    <w:p>
      <w:pPr>
        <w:pStyle w:val="1028"/>
        <w:pBdr/>
        <w:tabs>
          <w:tab w:val="left" w:leader="none" w:pos="284"/>
          <w:tab w:val="left" w:leader="none" w:pos="567"/>
          <w:tab w:val="clear" w:leader="none" w:pos="708"/>
        </w:tabs>
        <w:spacing w:line="360" w:lineRule="auto"/>
        <w:ind/>
        <w:jc w:val="both"/>
        <w:rPr>
          <w:i/>
          <w:iCs/>
          <w:sz w:val="24"/>
          <w:szCs w:val="24"/>
          <w:shd w:val="clear" w:color="auto" w:fill="ffff99"/>
        </w:rPr>
      </w:pPr>
      <w:r>
        <w:rPr>
          <w:b/>
          <w:bCs/>
          <w:sz w:val="24"/>
          <w:szCs w:val="24"/>
        </w:rPr>
        <w:t xml:space="preserve">Таблица 3. Требования к качеству услуг</w:t>
      </w:r>
      <w:r>
        <w:rPr>
          <w:i/>
          <w:iCs/>
          <w:sz w:val="24"/>
          <w:szCs w:val="24"/>
          <w:shd w:val="clear" w:color="auto" w:fill="ffff99"/>
        </w:rPr>
      </w:r>
      <w:r>
        <w:rPr>
          <w:i/>
          <w:iCs/>
          <w:sz w:val="24"/>
          <w:szCs w:val="24"/>
          <w:shd w:val="clear" w:color="auto" w:fill="ffff99"/>
        </w:rPr>
      </w:r>
    </w:p>
    <w:p>
      <w:pPr>
        <w:pStyle w:val="1028"/>
        <w:pBdr/>
        <w:tabs>
          <w:tab w:val="left" w:leader="none" w:pos="284"/>
          <w:tab w:val="left" w:leader="none" w:pos="567"/>
          <w:tab w:val="clear" w:leader="none" w:pos="708"/>
        </w:tabs>
        <w:spacing w:line="360" w:lineRule="auto"/>
        <w:ind/>
        <w:jc w:val="both"/>
        <w:rPr>
          <w:i/>
          <w:iCs/>
          <w:sz w:val="24"/>
          <w:szCs w:val="24"/>
          <w:shd w:val="clear" w:color="auto" w:fill="ffff99"/>
        </w:rPr>
      </w:pPr>
      <w:r>
        <w:rPr>
          <w:b/>
          <w:bCs/>
          <w:sz w:val="24"/>
          <w:szCs w:val="24"/>
        </w:rPr>
        <w:t xml:space="preserve">Наименование услуг/этапа услуг </w:t>
      </w:r>
      <w:r>
        <w:rPr>
          <w:rFonts w:eastAsia="Calibri"/>
          <w:b/>
          <w:sz w:val="24"/>
          <w:szCs w:val="24"/>
        </w:rPr>
        <w:t xml:space="preserve">«Градуировка резервуаров складов ГСМ Булунских ЭС, Оленекского РЭС, Среднеколымского РЭС, Янских ЭС АО «Сахаэнерго»»</w:t>
      </w:r>
      <w:r>
        <w:rPr>
          <w:i/>
          <w:iCs/>
          <w:sz w:val="24"/>
          <w:szCs w:val="24"/>
          <w:shd w:val="clear" w:color="auto" w:fill="ffff99"/>
        </w:rPr>
      </w:r>
      <w:r>
        <w:rPr>
          <w:i/>
          <w:iCs/>
          <w:sz w:val="24"/>
          <w:szCs w:val="24"/>
          <w:shd w:val="clear" w:color="auto" w:fill="ffff99"/>
        </w:rPr>
      </w:r>
    </w:p>
    <w:tbl>
      <w:tblPr>
        <w:tblStyle w:val="1237"/>
        <w:tblpPr w:horzAnchor="text" w:tblpX="-5" w:vertAnchor="text" w:tblpY="1" w:leftFromText="180" w:topFromText="0" w:rightFromText="180" w:bottomFromText="0"/>
        <w:tblW w:w="15558" w:type="dxa"/>
        <w:tblInd w:w="108" w:type="dxa"/>
        <w:tblBorders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58"/>
        <w:gridCol w:w="1559"/>
        <w:gridCol w:w="4961"/>
        <w:gridCol w:w="2552"/>
        <w:gridCol w:w="3685"/>
        <w:gridCol w:w="1842"/>
      </w:tblGrid>
      <w:tr>
        <w:trPr/>
        <w:tc>
          <w:tcPr>
            <w:tcBorders/>
            <w:tcW w:w="958" w:type="dxa"/>
            <w:vAlign w:val="center"/>
            <w:vMerge w:val="restart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/>
            <w:bookmarkStart w:id="13" w:name="OLE_LINK1"/>
            <w:r/>
            <w:bookmarkEnd w:id="13"/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п/п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59" w:type="dxa"/>
            <w:vAlign w:val="center"/>
            <w:vMerge w:val="restart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Наименование параметра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vMerge w:val="restart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Требование заказчика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gridSpan w:val="2"/>
            <w:tcBorders/>
            <w:tcW w:w="6237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Способ подтверждения участником соответствия требованиям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Предложение участника по характеристикам и параметрам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vMerge w:val="continue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559" w:type="dxa"/>
            <w:vAlign w:val="center"/>
            <w:vMerge w:val="continue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vMerge w:val="continue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Согласие с требованием/ указание характеристик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Предоставление подтверждающего документа или иной способ подтверждения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>
          <w:trHeight w:val="85"/>
        </w:trPr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2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4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5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6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0"/>
                <w:numId w:val="1"/>
              </w:numPr>
              <w:pBdr/>
              <w:spacing w:after="0" w:before="0"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1"/>
                <w:numId w:val="1"/>
              </w:numPr>
              <w:pBdr/>
              <w:spacing w:after="0" w:before="0"/>
              <w:ind w:firstLine="142" w:left="-117"/>
              <w:contextualSpacing w:val="true"/>
              <w:jc w:val="left"/>
              <w:rPr>
                <w:b/>
                <w:bCs/>
              </w:rPr>
            </w:pPr>
            <w:r>
              <w:rPr>
                <w:b/>
                <w:bCs/>
              </w:rPr>
            </w:r>
            <w:r>
              <w:rPr>
                <w:b/>
                <w:bCs/>
              </w:rPr>
            </w:r>
            <w:r>
              <w:rPr>
                <w:b/>
                <w:bCs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оказанию услуг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Градуировку резервуаров выполнить согласно Графика оказания услуг (приложение № 1 к ТТ).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работников осуществляется с разрешения Заказчика после прохождения работниками Исполнителя вводного инструктажа. В период выполнения работ Исполнитель должен обеспечить свой персонал спецодеждой и другими средствами индивидуальной защиты.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работ необходимо обеспечить соблю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дение работниками правил трудового распорядка Заказчика, правил по охране труда, промышленной, пожарной и экологической безопасности. В случае допущения несчастного случая, инцидента или пожара при выполнении работ Исполнитель несет за это ответственность.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Работники должны иметь соответствующую квалификацию и удостоверения.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Результат оказание услуг должен соответствовать: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1028"/>
              <w:widowControl w:val="false"/>
              <w:pBdr/>
              <w:tabs>
                <w:tab w:val="left" w:leader="none" w:pos="459"/>
                <w:tab w:val="clear" w:leader="none" w:pos="708"/>
              </w:tabs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Настоящим техническим требованиям,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 перечню и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 объемам Услуги;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1028"/>
              <w:widowControl w:val="false"/>
              <w:pBdr/>
              <w:tabs>
                <w:tab w:val="left" w:leader="none" w:pos="427"/>
                <w:tab w:val="clear" w:leader="none" w:pos="708"/>
              </w:tabs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- Требованиям, предъявляемым к такому виду работ действующей нормативно-технической документацией, законодательством РФ и подзаконными актами.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1.1.3.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  <w:tc>
          <w:tcPr>
            <w:shd w:val="clear" w:color="auto" w:fill="auto"/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1.1.4.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работы в согласованные сроки.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shd w:val="clear" w:color="auto" w:fill="auto"/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1"/>
                <w:numId w:val="1"/>
              </w:numPr>
              <w:pBdr/>
              <w:spacing w:after="0" w:before="0"/>
              <w:ind w:firstLine="142" w:left="-117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оказанию услуг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Ст. 12 Федерального закона № 102-ФЗ от 26.06.2008 года "Об обеспечении единства измерений";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8.346-2000. Межгосударственный стандарт. Государственная система обеспечения единства измерений. Резервуары стальные горизонтальные цилиндрические. Методика поверки;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ГОСТ 8.570-2000. Межгосударственный стандарт. Государственная система обеспечения единства измерений. Резервуары стальные вертикальные цилиндрические. Методика поверки;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7-ФЗ от 10.01.2009 года «Об охране окружающей среды»;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Федеральный закон № 123-ФЗ от 22.07.2008 года «Технический регламент о требованиях пожарной безопасности» (с дополнениями и изменениями);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ТТ).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Вся полнота ответственности при выполнении работ на объекте за соблюдением норм и правил по технике безопасности и пожарной безопасности возлагается на Исполнителя. Организация и выполнение работ должны осуществляться при соблюдении законодательства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 Российской Федерации об охране труда, а также иных нормативных правовых актов, межотраслевых и отраслевых правил и типовых инструкций по охране труда, правил и инструкций по технике безопасности, утвержденных в установленном порядке, государственных станд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артов системы стандартов безопасности труда, правил безопасности, правил устройства и безопасной эксплуатации, инструкций по безопасности, государственных санитарно-эпидемиологических правил и нормативов, гигиенических нормативов, санитарных правил и норм.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Охрана труда специалистов должна обеспечиваться выдачей необходимых средств индивидуальной защиты (каски, специальная одежда, обувь и др.).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Организация оказания услуг, должна обеспечивать безопасность труда работающих.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1.2.2.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pBdr/>
              <w:tabs>
                <w:tab w:val="left" w:leader="none" w:pos="0"/>
                <w:tab w:val="clear" w:leader="none" w:pos="708"/>
              </w:tabs>
              <w:spacing w:after="0" w:before="0"/>
              <w:ind w:firstLine="0" w:left="38"/>
              <w:contextualSpacing w:val="true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eastAsia="Lucida Sans Unicode" w:cs="Times New Roman"/>
                <w:lang w:val="ru-RU" w:eastAsia="hi-IN" w:bidi="hi-IN"/>
              </w:rPr>
              <w:t xml:space="preserve">Исполнитель должен </w:t>
            </w:r>
            <w:r>
              <w:rPr>
                <w:rFonts w:cs="Times New Roman"/>
                <w:lang w:val="ru-RU" w:eastAsia="ru-RU" w:bidi="ar-SA"/>
              </w:rPr>
              <w:t xml:space="preserve"> иметь необходимую для проведения работ нормативно-техническую базу, приборную и инструментальную.</w:t>
            </w:r>
            <w:r>
              <w:rPr>
                <w:rFonts w:ascii="Times New Roman" w:hAnsi="Times New Roman" w:cs="Times New Roman"/>
                <w:lang w:val="ru-RU"/>
              </w:rPr>
            </w:r>
            <w:r>
              <w:rPr>
                <w:rFonts w:ascii="Times New Roman" w:hAnsi="Times New Roman" w:cs="Times New Roman"/>
                <w:lang w:val="ru-RU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1"/>
                <w:numId w:val="1"/>
              </w:numPr>
              <w:pBdr/>
              <w:spacing w:after="0" w:before="0"/>
              <w:ind w:firstLine="142" w:left="-117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применяемым при выполнении Услуг оборудованию, материалам, технологиям, программно-аппаратным средствам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При оказании услуг необходимо применять материалы российского и/или зарубежного производства, сертифицированных для применения на территории РФ. Все применяемые материалы должны соответствовать ГОСТ и другим нормативным документам.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Все пост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авляемые и/или применяемые для проведения оказания услуг материалы должны иметь соответствующие сертификаты качества, технические паспорта и другие документы, удостоверяющие их качество. Копии сертификатов и т. п. должны быть предоставлены Заказчику до мом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ента начала оказания услуг, выполняемых с использованием соответствующих материалов и оборудования. Исполнитель несет ответственность за соответствие используемых материалов государственным стандартам, техническим условиям и иным предъявляемым требованиям.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1"/>
                <w:numId w:val="1"/>
              </w:numPr>
              <w:pBdr/>
              <w:spacing w:after="0" w:before="0"/>
              <w:ind w:firstLine="142" w:left="-117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контролю качества услуг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Услуги должны выполняться в соответствии с рабочей и нормативной документацией и должен руководствоваться документами по характеру работ.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1"/>
                <w:numId w:val="1"/>
              </w:numPr>
              <w:pBdr/>
              <w:spacing w:after="0" w:before="0"/>
              <w:ind w:firstLine="142" w:left="-117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персоналу Исполнителя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Организационно-технические мероприятия по допуску персонала исполнителя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 w:firstLine="0" w:left="3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Допуск персонала исполнителя для оказания услуг должен осущ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ествляться в соответствии с «Регламентом допуска подрядных и сторонних организаций, индивидуальных предпринимателей, командированного персонала для выполнения работ на объектах АО «Сахаэнерго» ИСМ РГ-00-017.03-23 (приложение № 2 к техническому требованию).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1"/>
                <w:numId w:val="1"/>
              </w:numPr>
              <w:pBdr/>
              <w:spacing w:after="0" w:before="0"/>
              <w:ind w:firstLine="142" w:left="-117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Требования к безопасности услуг и охране труда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b/>
                <w:i/>
                <w:sz w:val="24"/>
                <w:szCs w:val="24"/>
              </w:rPr>
            </w:pP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  <w:r>
              <w:rPr>
                <w:b/>
                <w:i/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Организация и выполнение услуги должна проводиться в соответствии с требованиями: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88"/>
              <w:widowControl w:val="false"/>
              <w:numPr>
                <w:ilvl w:val="0"/>
                <w:numId w:val="2"/>
              </w:numPr>
              <w:pBdr/>
              <w:tabs>
                <w:tab w:val="left" w:leader="none" w:pos="317"/>
                <w:tab w:val="clear" w:leader="none" w:pos="708"/>
              </w:tabs>
              <w:spacing w:after="0" w:before="0"/>
              <w:ind w:right="128" w:firstLine="22" w:left="33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Приказ Министерства труда и социальной защиты РФ № 782н от 16.11.2020 года «Об утверждении Правил по охране труда при работе на высоте»;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88"/>
              <w:widowControl w:val="false"/>
              <w:numPr>
                <w:ilvl w:val="0"/>
                <w:numId w:val="2"/>
              </w:numPr>
              <w:pBdr/>
              <w:tabs>
                <w:tab w:val="left" w:leader="none" w:pos="317"/>
                <w:tab w:val="clear" w:leader="none" w:pos="708"/>
              </w:tabs>
              <w:spacing w:after="0" w:before="0"/>
              <w:ind w:right="128" w:firstLine="22" w:left="33"/>
              <w:jc w:val="both"/>
              <w:rPr>
                <w:rFonts w:eastAsia="Arial Unicode MS"/>
                <w:sz w:val="24"/>
                <w:szCs w:val="24"/>
              </w:rPr>
            </w:pPr>
            <w:r>
              <w:rPr>
                <w:rFonts w:eastAsia="Arial Unicode MS" w:cs="Times New Roman"/>
                <w:sz w:val="24"/>
                <w:szCs w:val="24"/>
                <w:lang w:val="ru-RU" w:eastAsia="ru-RU" w:bidi="ar-SA"/>
              </w:rPr>
              <w:t xml:space="preserve">Регламент «Допуска подрядных организаций и командированного персонала на объекты АО «Сахаэнерго» ИСМ РГ-00-017.03-23 (приложение № 2 к техническому требованию);</w:t>
            </w:r>
            <w:r>
              <w:rPr>
                <w:rFonts w:eastAsia="Arial Unicode MS"/>
                <w:sz w:val="24"/>
                <w:szCs w:val="24"/>
              </w:rPr>
            </w:r>
            <w:r>
              <w:rPr>
                <w:rFonts w:eastAsia="Arial Unicode MS"/>
                <w:sz w:val="24"/>
                <w:szCs w:val="24"/>
              </w:rPr>
            </w:r>
          </w:p>
          <w:p>
            <w:pPr>
              <w:pStyle w:val="1134"/>
              <w:widowControl w:val="false"/>
              <w:numPr>
                <w:ilvl w:val="0"/>
                <w:numId w:val="2"/>
              </w:numPr>
              <w:pBdr/>
              <w:tabs>
                <w:tab w:val="left" w:leader="none" w:pos="317"/>
                <w:tab w:val="clear" w:leader="none" w:pos="708"/>
              </w:tabs>
              <w:spacing w:after="0" w:before="0"/>
              <w:ind w:firstLine="22" w:left="33"/>
              <w:contextualSpacing w:val="true"/>
              <w:jc w:val="both"/>
              <w:rPr>
                <w:rFonts w:eastAsia="Arial Unicode MS"/>
              </w:rPr>
            </w:pPr>
            <w:r>
              <w:rPr>
                <w:rFonts w:eastAsia="Arial Unicode MS" w:cs="Times New Roman"/>
                <w:lang w:val="ru-RU" w:eastAsia="ru-RU" w:bidi="ar-SA"/>
              </w:rPr>
              <w:t xml:space="preserve">Приказ Федеральной службы по экологическому, технологическому и атомному надзору № 529 от 15.12.2020 года «Об утверждении федеральных норм и правил в области промышленной безопасности «Правила промышленной безопасности складов нефти и нефтепродуктов»;</w:t>
            </w:r>
            <w:r>
              <w:rPr>
                <w:rFonts w:eastAsia="Arial Unicode MS"/>
              </w:rPr>
            </w:r>
            <w:r>
              <w:rPr>
                <w:rFonts w:eastAsia="Arial Unicode MS"/>
              </w:rPr>
            </w:r>
          </w:p>
          <w:p>
            <w:pPr>
              <w:pStyle w:val="1134"/>
              <w:widowControl w:val="false"/>
              <w:numPr>
                <w:ilvl w:val="0"/>
                <w:numId w:val="2"/>
              </w:numPr>
              <w:pBdr/>
              <w:tabs>
                <w:tab w:val="left" w:leader="none" w:pos="317"/>
                <w:tab w:val="clear" w:leader="none" w:pos="708"/>
                <w:tab w:val="left" w:leader="none" w:pos="915"/>
              </w:tabs>
              <w:spacing w:after="0" w:before="0"/>
              <w:ind w:firstLine="22" w:left="33"/>
              <w:contextualSpacing w:val="true"/>
              <w:jc w:val="both"/>
              <w:rPr>
                <w:rFonts w:eastAsia="Arial Unicode MS"/>
              </w:rPr>
            </w:pPr>
            <w:r>
              <w:rPr>
                <w:rFonts w:cs="Times New Roman"/>
                <w:lang w:val="ru-RU" w:eastAsia="ru-RU" w:bidi="ar-SA"/>
              </w:rPr>
              <w:t xml:space="preserve">Иными нормативными документами по соответствующему характеру работ.</w:t>
            </w:r>
            <w:r>
              <w:rPr>
                <w:rFonts w:eastAsia="Arial Unicode MS"/>
              </w:rPr>
            </w:r>
            <w:r>
              <w:rPr>
                <w:rFonts w:eastAsia="Arial Unicode MS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49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/>
              <w:ind w:firstLine="0" w:left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lang w:val="ru-RU" w:eastAsia="ru-RU" w:bidi="ar-SA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</w:t>
            </w: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оказании услуг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Исполнителю необходимо: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обеспечить безопасность, собственного персонала, персонала подрядных организаций, находящегося в зоне оказания услуг;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 нести ответственность за сохранность оборудования, механизмов, средств, систем, конструкций, сооружений и транспортных приспособлений Заказчика и подрядных организаций, находящихся в зоне оказания услуг.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49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/>
              <w:ind w:firstLine="0" w:left="0"/>
              <w:jc w:val="left"/>
              <w:outlineLvl w:val="2"/>
              <w:rPr>
                <w:rFonts w:eastAsia="Times New Roman"/>
                <w:b w:val="0"/>
                <w:lang w:val="ru-RU" w:eastAsia="ru-RU"/>
              </w:rPr>
            </w:pPr>
            <w:r>
              <w:rPr>
                <w:rFonts w:eastAsia="Times New Roman" w:cs="Times New Roman"/>
                <w:b w:val="0"/>
                <w:sz w:val="20"/>
                <w:szCs w:val="20"/>
                <w:lang w:val="ru-RU" w:eastAsia="ru-RU" w:bidi="ar-SA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  <w:r>
              <w:rPr>
                <w:rFonts w:eastAsia="Times New Roman"/>
                <w:b w:val="0"/>
                <w:lang w:val="ru-RU" w:eastAsia="ru-RU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0"/>
                <w:numId w:val="1"/>
              </w:numPr>
              <w:pBdr/>
              <w:spacing w:after="0" w:before="0"/>
              <w:ind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val="ru-RU" w:eastAsia="ru-RU" w:bidi="ar-SA"/>
              </w:rPr>
              <w:t xml:space="preserve">Требования к результатам услуг</w:t>
            </w:r>
            <w:r>
              <w:rPr>
                <w:b/>
                <w:bCs/>
                <w:sz w:val="24"/>
                <w:szCs w:val="24"/>
              </w:rPr>
            </w:r>
            <w:r>
              <w:rPr>
                <w:b/>
                <w:bCs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1"/>
                <w:numId w:val="1"/>
              </w:numPr>
              <w:pBdr/>
              <w:spacing w:after="0" w:before="0"/>
              <w:ind w:firstLine="142" w:left="-117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Общие требования к результатам услуг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31"/>
              <w:widowControl w:val="false"/>
              <w:pBdr/>
              <w:spacing w:after="0" w:before="0"/>
              <w:ind/>
              <w:rPr>
                <w:lang w:val="ru-RU"/>
              </w:rPr>
            </w:pPr>
            <w:r>
              <w:rPr>
                <w:rFonts w:cs="Times New Roman"/>
                <w:lang w:bidi="ar-SA"/>
              </w:rPr>
              <w:t xml:space="preserve">Результат оказани</w:t>
            </w:r>
            <w:r>
              <w:rPr>
                <w:rFonts w:cs="Times New Roman"/>
                <w:lang w:val="ru-RU" w:bidi="ar-SA"/>
              </w:rPr>
              <w:t xml:space="preserve">я</w:t>
            </w:r>
            <w:r>
              <w:rPr>
                <w:rFonts w:cs="Times New Roman"/>
                <w:lang w:bidi="ar-SA"/>
              </w:rPr>
              <w:t xml:space="preserve"> услуг должен соответствовать перечню и объемам выполняемых Услуг (</w:t>
            </w:r>
            <w:r>
              <w:rPr>
                <w:rFonts w:cs="Times New Roman"/>
                <w:lang w:val="ru-RU" w:bidi="ar-SA"/>
              </w:rPr>
              <w:t xml:space="preserve">пункт </w:t>
            </w:r>
            <w:r>
              <w:rPr>
                <w:rFonts w:cs="Times New Roman"/>
                <w:lang w:bidi="ar-SA"/>
              </w:rPr>
              <w:t xml:space="preserve">2.1.1. </w:t>
            </w:r>
            <w:r>
              <w:rPr>
                <w:rFonts w:cs="Times New Roman"/>
                <w:lang w:val="ru-RU" w:bidi="ar-SA"/>
              </w:rPr>
              <w:t xml:space="preserve"> Требования к перечню и объему услуг</w:t>
            </w:r>
            <w:r>
              <w:rPr>
                <w:rFonts w:cs="Times New Roman"/>
                <w:lang w:bidi="ar-SA"/>
              </w:rPr>
              <w:t xml:space="preserve">) настоящих технических требований</w:t>
            </w:r>
            <w:r>
              <w:rPr>
                <w:rFonts w:cs="Times New Roman"/>
                <w:lang w:val="ru-RU" w:bidi="ar-SA"/>
              </w:rPr>
              <w:t xml:space="preserve">.</w:t>
            </w:r>
            <w:r>
              <w:rPr>
                <w:lang w:val="ru-RU"/>
              </w:rPr>
            </w:r>
            <w:r>
              <w:rPr>
                <w:lang w:val="ru-RU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134"/>
              <w:widowControl w:val="false"/>
              <w:numPr>
                <w:ilvl w:val="2"/>
                <w:numId w:val="1"/>
              </w:numPr>
              <w:pBdr/>
              <w:spacing w:after="0" w:before="0"/>
              <w:ind w:hanging="1199" w:left="1214"/>
              <w:contextualSpacing w:val="true"/>
              <w:jc w:val="center"/>
              <w:rPr>
                <w:b/>
              </w:rPr>
            </w:pPr>
            <w:r>
              <w:rPr>
                <w:b/>
              </w:rPr>
            </w:r>
            <w:r>
              <w:rPr>
                <w:b/>
              </w:rPr>
            </w:r>
            <w:r>
              <w:rPr>
                <w:b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 w:right="57" w:firstLine="0"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 w:firstLine="5"/>
              <w:jc w:val="both"/>
              <w:rPr>
                <w:rFonts w:eastAsia="Lucida Sans Unicode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Качество оказания услуг Исполнителем должно соответствовать требованиям, предъявляемым к работам соответствующего рода, если иное не предусмотрено законом, иными правовыми актами или договором подряда.</w:t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  <w:r>
              <w:rPr>
                <w:rFonts w:eastAsia="Lucida Sans Unicode"/>
                <w:sz w:val="24"/>
                <w:szCs w:val="24"/>
                <w:lang w:eastAsia="hi-IN" w:bidi="hi-IN"/>
              </w:rPr>
            </w:r>
          </w:p>
          <w:p>
            <w:pPr>
              <w:pStyle w:val="1028"/>
              <w:widowControl w:val="false"/>
              <w:pBdr/>
              <w:tabs>
                <w:tab w:val="left" w:leader="none" w:pos="432"/>
                <w:tab w:val="left" w:leader="none" w:pos="459"/>
                <w:tab w:val="clear" w:leader="none" w:pos="708"/>
              </w:tabs>
              <w:spacing w:after="0" w:before="0"/>
              <w:ind/>
              <w:jc w:val="both"/>
              <w:rPr>
                <w:bCs/>
                <w:sz w:val="24"/>
                <w:szCs w:val="24"/>
              </w:rPr>
            </w:pPr>
            <w:r>
              <w:rPr>
                <w:rFonts w:eastAsia="Lucida Sans Unicode" w:cs="Times New Roman"/>
                <w:sz w:val="24"/>
                <w:szCs w:val="24"/>
                <w:lang w:val="ru-RU" w:eastAsia="hi-IN" w:bidi="hi-IN"/>
              </w:rPr>
              <w:t xml:space="preserve">Исполнитель обязан безвозмездно исправить по требованию Заказчика все выявленные недостатки ухудшившее качество оказание услуг в согласованные сроки.</w:t>
            </w:r>
            <w:r>
              <w:rPr>
                <w:bCs/>
                <w:sz w:val="24"/>
                <w:szCs w:val="24"/>
              </w:rPr>
            </w:r>
            <w:r>
              <w:rPr>
                <w:bCs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tabs>
                <w:tab w:val="left" w:leader="none" w:pos="426"/>
                <w:tab w:val="clear" w:leader="none" w:pos="708"/>
              </w:tabs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gridSpan w:val="2"/>
            <w:tcBorders/>
            <w:tcW w:w="6520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Прочие требования к выполняемым Услугам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-//-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3.1.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149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/>
              <w:ind w:firstLine="0" w:left="0"/>
              <w:jc w:val="both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При выполнении услуг необходимо выполнять требования законодательства в области охраны окружающей среды.</w:t>
            </w:r>
            <w:r>
              <w:rPr>
                <w:b/>
                <w:sz w:val="24"/>
                <w:szCs w:val="24"/>
              </w:rPr>
            </w:r>
            <w:r>
              <w:rPr>
                <w:b/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</w:t>
            </w:r>
            <w:r>
              <w:rPr>
                <w:rFonts w:eastAsia="Times New Roman" w:cs="Times New Roman"/>
                <w:sz w:val="24"/>
                <w:szCs w:val="24"/>
                <w:lang w:val="en-US" w:eastAsia="ru-RU" w:bidi="ar-SA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49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/>
              <w:ind w:firstLine="0" w:left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  <w:tr>
        <w:trPr/>
        <w:tc>
          <w:tcPr>
            <w:tcBorders/>
            <w:tcW w:w="958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val="ru-RU" w:eastAsia="ru-RU" w:bidi="ar-SA"/>
              </w:rPr>
              <w:t xml:space="preserve">3.2.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559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Экологические требования по охране окружающей среды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4961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Согласно действующим нормам и правилам, мероприятия по охране окружающей среды (закон РФ № 45-ФЗ от 09.05.2005 года «Об охране окружающей природной среды»).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/>
            <w:tcW w:w="2552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Согласие с требованием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3685" w:type="dxa"/>
            <w:vAlign w:val="center"/>
            <w:textDirection w:val="lrTb"/>
            <w:noWrap w:val="false"/>
          </w:tcPr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val="ru-RU" w:eastAsia="ru-RU" w:bidi="ar-SA"/>
              </w:rPr>
              <w:t xml:space="preserve">-</w:t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  <w:p>
            <w:pPr>
              <w:pStyle w:val="1028"/>
              <w:widowControl w:val="false"/>
              <w:pBdr/>
              <w:spacing w:after="0" w:before="0"/>
              <w:ind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  <w:r>
              <w:rPr>
                <w:rFonts w:eastAsia="Calibri"/>
                <w:b/>
                <w:sz w:val="24"/>
                <w:szCs w:val="24"/>
              </w:rPr>
            </w:r>
          </w:p>
        </w:tc>
        <w:tc>
          <w:tcPr>
            <w:tcBorders/>
            <w:tcW w:w="1842" w:type="dxa"/>
            <w:vAlign w:val="center"/>
            <w:textDirection w:val="lrTb"/>
            <w:noWrap w:val="false"/>
          </w:tcPr>
          <w:p>
            <w:pPr>
              <w:pStyle w:val="1149"/>
              <w:keepNext w:val="false"/>
              <w:widowControl w:val="false"/>
              <w:numPr>
                <w:ilvl w:val="0"/>
                <w:numId w:val="0"/>
              </w:numPr>
              <w:pBdr/>
              <w:spacing w:after="0" w:before="0"/>
              <w:ind w:firstLine="0" w:left="0"/>
              <w:jc w:val="left"/>
              <w:outlineLvl w:val="2"/>
              <w:rPr>
                <w:rFonts w:eastAsia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val="ru-RU" w:eastAsia="ru-RU" w:bidi="ar-SA"/>
              </w:rPr>
            </w:r>
            <w:bookmarkStart w:id="15" w:name="OLE_LINK1_Копия_1"/>
            <w:r/>
            <w:bookmarkEnd w:id="15"/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  <w:r>
              <w:rPr>
                <w:rFonts w:eastAsia="Times New Roman"/>
                <w:sz w:val="20"/>
                <w:szCs w:val="20"/>
                <w:lang w:val="ru-RU" w:eastAsia="ru-RU"/>
              </w:rPr>
            </w:r>
          </w:p>
        </w:tc>
      </w:tr>
    </w:tbl>
    <w:p>
      <w:pPr>
        <w:pStyle w:val="1028"/>
        <w:pBdr/>
        <w:spacing w:after="120" w:before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sz w:val="24"/>
          <w:szCs w:val="24"/>
        </w:rPr>
        <w:t xml:space="preserve">3. Требования к участнику закупки: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1028"/>
        <w:widowControl w:val="false"/>
        <w:pBdr/>
        <w:spacing/>
        <w:ind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3.1. Наличие действующего аттестата аккредитации в области обеспечения единства измерений для выполнения работ и (или) оказания услуг по поверке средств измерений: резервуары стальные вертикальные; резервуары стальные горизонтальные </w:t>
      </w:r>
      <w:r>
        <w:rPr>
          <w:bCs/>
          <w:sz w:val="24"/>
          <w:szCs w:val="24"/>
        </w:rPr>
        <w:t xml:space="preserve">(п. 2 ст. 13 ФЗ № 102-ФЗ от 26.06.2008 г. «Об обеспечении единства измерений»).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widowControl w:val="false"/>
        <w:pBdr/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3.1.1. В составе заявки Участник должен предоставить скан-копию </w:t>
      </w:r>
      <w:r>
        <w:rPr>
          <w:sz w:val="24"/>
          <w:szCs w:val="24"/>
        </w:rPr>
        <w:t xml:space="preserve">аттестата аккредитации в области обеспечения единства измерений для выполнения работ и (или) оказания услуг по поверке средств измерений.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widowControl w:val="fals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Аттестат аккредитации и область аккредитации проверяется Заказчиком в информационной базе сведений, расположенной в информационно-коммуникационной сети «Интернет» по адресу: https://pub.fsa.gov.ru (портал «Федеральной службы по аккредитации»).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widowControl w:val="fals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3.1.2. Отсутствие подтверждающих документов является основанием для отклонения заявки Участника.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widowControl w:val="fals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Наличие кадровых ресурсов с учетом ограниченных сроков оказания услуг, обусловленных сроками транспортной доступности до пунктов ДЭС.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widowControl w:val="false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3.2.1.</w:t>
      </w:r>
      <w:r>
        <w:rPr>
          <w:sz w:val="24"/>
          <w:szCs w:val="24"/>
        </w:rPr>
        <w:t xml:space="preserve"> Участник должен иметь не менее 2-х специалистов для организации работ по градуировке/поверке с предоставлением подтверждающих документов о квалификации специалистов: дипломы, сертификаты, удостоверения (п. 7.1.1 ГОСТ 8.346-2000, п. 7.1.1 ГОСТ 8.570-2000).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widowControl w:val="false"/>
        <w:pBdr/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Участник в составе заявки предоставляет форму Документации о закупке «Справка о кадровых ресурсах», с приложением дипломов, сертификатов, удостоверений специалистов, а также согласие специалистов на обработку персональных данных.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widowControl w:val="false"/>
        <w:pBdr/>
        <w:spacing/>
        <w:ind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3.2.2. </w:t>
      </w:r>
      <w:r>
        <w:rPr>
          <w:sz w:val="24"/>
          <w:szCs w:val="24"/>
        </w:rPr>
        <w:t xml:space="preserve">Отсутствие подтверждающих документов является основанием для отклонения заявки Участника.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Наличие у Участника опыта выполнения аналогичных договоров, подтверждающих опыт оказания услуг, соответствующий профилю лота,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повышает предпочтительность.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3.3.1</w:t>
      </w:r>
      <w:r>
        <w:rPr>
          <w:bCs/>
          <w:sz w:val="24"/>
          <w:szCs w:val="24"/>
        </w:rPr>
        <w:t xml:space="preserve">. Участник в составе заявки должен предоставить сведения о ранее выполненных договорах по форме «Справка об опыте Участника», приведенной в Документации о закупке, с обязательным предоставлением подтверждающих наличие требуемого опыта документов, а именно: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копии договоров, подписанных с обеих сторон;  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- копии документов, предусмотренных требованиями договора, подтверждающих факт его исполнения, с указанием стоимости и наименования выполненных работ, подписанных с обеих сторон.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</w:t>
      </w:r>
      <w:r>
        <w:rPr>
          <w:bCs/>
          <w:sz w:val="24"/>
          <w:szCs w:val="24"/>
        </w:rPr>
        <w:t xml:space="preserve">К рассмотрению не принимаются подтверждающие документы, не указанные в «Справке об опыте Участника», а также сведения, не позволяющие явным (однозначным) образом определить опыт Участника.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</w:t>
      </w:r>
      <w:r>
        <w:rPr>
          <w:bCs/>
          <w:sz w:val="24"/>
          <w:szCs w:val="24"/>
        </w:rPr>
        <w:t xml:space="preserve">Не является отборочным критерием.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 w:line="360" w:lineRule="auto"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 w:line="360" w:lineRule="auto"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 w:line="360" w:lineRule="auto"/>
        <w:ind/>
        <w:jc w:val="both"/>
        <w:rPr>
          <w:b/>
          <w:bCs/>
          <w:sz w:val="24"/>
          <w:szCs w:val="24"/>
          <w:highlight w:val="none"/>
        </w:rPr>
      </w:pPr>
      <w:r>
        <w:rPr>
          <w:b/>
          <w:bCs/>
          <w:sz w:val="24"/>
          <w:szCs w:val="24"/>
        </w:rPr>
        <w:t xml:space="preserve">4. Требования к документации по ценообразованию на этапе закупки:</w:t>
      </w:r>
      <w:r>
        <w:rPr>
          <w:b/>
          <w:bCs/>
          <w:sz w:val="24"/>
          <w:szCs w:val="24"/>
          <w:highlight w:val="none"/>
        </w:rPr>
      </w:r>
      <w:r>
        <w:rPr>
          <w:b/>
          <w:bCs/>
          <w:sz w:val="24"/>
          <w:szCs w:val="24"/>
          <w:highlight w:val="none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 w:line="360" w:lineRule="auto"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Дополнительные документы по ценообразованию в состав заявки не включаются.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tabs>
          <w:tab w:val="clear" w:leader="none" w:pos="708"/>
          <w:tab w:val="left" w:leader="none" w:pos="709"/>
        </w:tabs>
        <w:spacing/>
        <w:ind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1028"/>
        <w:pBdr/>
        <w:spacing w:after="120" w:before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sectPr>
      <w:headerReference w:type="default" r:id="rId12"/>
      <w:headerReference w:type="first" r:id="rId13"/>
      <w:footerReference w:type="default" r:id="rId16"/>
      <w:footerReference w:type="first" r:id="rId17"/>
      <w:footnotePr/>
      <w:endnotePr/>
      <w:type w:val="nextPage"/>
      <w:pgSz w:h="11906" w:orient="landscape" w:w="16838"/>
      <w:pgMar w:top="720" w:right="720" w:bottom="737" w:left="720" w:header="624" w:footer="68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Symbol">
    <w:panose1 w:val="05010000000000000000"/>
  </w:font>
  <w:font w:name="Liberation Serif">
    <w:panose1 w:val="02020603050405020304"/>
  </w:font>
  <w:font w:name="Garamond">
    <w:panose1 w:val="02020603050405020304"/>
  </w:font>
  <w:font w:name="Calibri Light (Заголовки)">
    <w:panose1 w:val="020F0502020204030204"/>
  </w:font>
  <w:font w:name="Verdana">
    <w:panose1 w:val="020B0604030504040204"/>
  </w:font>
  <w:font w:name="Tahoma">
    <w:panose1 w:val="020B0604030504040204"/>
  </w:font>
  <w:font w:name="Lohit Devanagari">
    <w:panose1 w:val="020B0600000000000000"/>
  </w:font>
  <w:font w:name="Courier New">
    <w:panose1 w:val="02070309020205020404"/>
  </w:font>
  <w:font w:name="Wingdings">
    <w:panose1 w:val="05010000000000000000"/>
  </w:font>
  <w:font w:name="Liberation Sans">
    <w:panose1 w:val="020B0604020202020204"/>
  </w:font>
  <w:font w:name="Lucida Sans">
    <w:panose1 w:val="020B0603030804020204"/>
  </w:font>
  <w:font w:name="Cambria">
    <w:panose1 w:val="02040803050406030204"/>
  </w:font>
  <w:font w:name="Calibri">
    <w:panose1 w:val="020F0502020204030204"/>
  </w:font>
  <w:font w:name="Times New Roman">
    <w:panose1 w:val="02020603050405020304"/>
  </w:font>
  <w:font w:name="Microsoft YaHei">
    <w:panose1 w:val="020B0503020204020204"/>
  </w:font>
  <w:font w:name="Arial Narrow">
    <w:panose1 w:val="020B0604020202020204"/>
  </w:font>
  <w:font w:name="Arial Unicode MS">
    <w:panose1 w:val="020B0604020202020204"/>
  </w:font>
  <w:font w:name="Arial">
    <w:panose1 w:val="020B060402020202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10"/>
      <w:pBdr/>
      <w:spacing/>
      <w:ind/>
      <w:jc w:val="right"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539765579"/>
      <w:docPartObj>
        <w:docPartGallery w:val="Page Numbers (Bottom of Page)"/>
        <w:docPartUnique w:val="true"/>
      </w:docPartObj>
      <w:rPr/>
    </w:sdtPr>
    <w:sdtContent>
      <w:p>
        <w:pPr>
          <w:pStyle w:val="1110"/>
          <w:pBdr/>
          <w:spacing/>
          <w:ind/>
          <w:jc w:val="right"/>
          <w:rPr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 xml:space="preserve">1</w:t>
        </w:r>
        <w:r>
          <w:fldChar w:fldCharType="end"/>
        </w:r>
        <w:r/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261572440"/>
      <w:docPartObj>
        <w:docPartGallery w:val="Page Numbers (Bottom of Page)"/>
        <w:docPartUnique w:val="true"/>
      </w:docPartObj>
      <w:rPr/>
    </w:sdtPr>
    <w:sdtContent>
      <w:p>
        <w:pPr>
          <w:pStyle w:val="1110"/>
          <w:pBdr/>
          <w:spacing/>
          <w:ind/>
          <w:jc w:val="center"/>
          <w:rPr>
            <w:sz w:val="24"/>
            <w:szCs w:val="24"/>
          </w:rPr>
        </w:pPr>
        <w:r>
          <w:rPr>
            <w:sz w:val="24"/>
            <w:szCs w:val="24"/>
          </w:rPr>
        </w:r>
        <w:r>
          <w:rPr>
            <w:sz w:val="24"/>
            <w:szCs w:val="24"/>
          </w:rPr>
        </w:r>
        <w:r>
          <w:rPr>
            <w:sz w:val="24"/>
            <w:szCs w:val="24"/>
          </w:rPr>
        </w:r>
      </w:p>
      <w:p>
        <w:pPr>
          <w:pStyle w:val="1110"/>
          <w:pBdr/>
          <w:spacing/>
          <w:ind/>
          <w:jc w:val="right"/>
          <w:rPr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>
          <w:rPr>
            <w:sz w:val="24"/>
            <w:szCs w:val="24"/>
          </w:rPr>
          <w:instrText xml:space="preserve"> PAGE </w:instrText>
        </w:r>
        <w:r>
          <w:rPr>
            <w:sz w:val="24"/>
            <w:szCs w:val="24"/>
          </w:rPr>
          <w:fldChar w:fldCharType="separate"/>
        </w:r>
        <w:r>
          <w:rPr>
            <w:sz w:val="24"/>
            <w:szCs w:val="24"/>
          </w:rPr>
          <w:t xml:space="preserve">17</w:t>
        </w:r>
        <w:r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</w:r>
        <w:r>
          <w:rPr>
            <w:sz w:val="24"/>
            <w:szCs w:val="24"/>
          </w:rPr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8"/>
      <w:pBdr/>
      <w:spacing/>
      <w:ind/>
      <w:jc w:val="center"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8"/>
      <w:pBdr/>
      <w:spacing/>
      <w:ind/>
      <w:rPr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1108"/>
                            <w:pBdr/>
                            <w:spacing/>
                            <w:ind/>
                            <w:rPr>
                              <w:rStyle w:val="1042"/>
                            </w:rPr>
                          </w:pPr>
                          <w:r>
                            <w:rPr>
                              <w:rStyle w:val="1042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1042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1042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1042"/>
                              <w:color w:val="000000"/>
                            </w:rPr>
                            <w:t xml:space="preserve">0</w:t>
                          </w:r>
                          <w:r>
                            <w:rPr>
                              <w:rStyle w:val="1042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1042"/>
                            </w:rPr>
                          </w:r>
                          <w:r>
                            <w:rPr>
                              <w:rStyle w:val="1042"/>
                            </w:rPr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-2;o:allowoverlap:true;o:allowincell:false;mso-position-horizontal-relative:margin;mso-position-horizontal:center;mso-position-vertical-relative:text;margin-top:0.05pt;mso-position-vertical:absolute;width:1.15pt;height:1.15pt;mso-wrap-distance-left:0.00pt;mso-wrap-distance-top:0.00pt;mso-wrap-distance-right:0.00pt;mso-wrap-distance-bottom:0.00pt;v-text-anchor:top;visibility:visible;" filled="f" stroked="f" strokeweight="0.00pt">
              <w10:wrap type="square"/>
              <v:textbox inset="0,0,0,0">
                <w:txbxContent>
                  <w:p>
                    <w:pPr>
                      <w:pStyle w:val="1108"/>
                      <w:pBdr/>
                      <w:spacing/>
                      <w:ind/>
                      <w:rPr>
                        <w:rStyle w:val="1042"/>
                      </w:rPr>
                    </w:pPr>
                    <w:r>
                      <w:rPr>
                        <w:rStyle w:val="1042"/>
                        <w:color w:val="000000"/>
                      </w:rPr>
                      <w:fldChar w:fldCharType="begin"/>
                    </w:r>
                    <w:r>
                      <w:rPr>
                        <w:rStyle w:val="1042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1042"/>
                        <w:color w:val="000000"/>
                      </w:rPr>
                      <w:fldChar w:fldCharType="separate"/>
                    </w:r>
                    <w:r>
                      <w:rPr>
                        <w:rStyle w:val="1042"/>
                        <w:color w:val="000000"/>
                      </w:rPr>
                      <w:t xml:space="preserve">0</w:t>
                    </w:r>
                    <w:r>
                      <w:rPr>
                        <w:rStyle w:val="1042"/>
                        <w:color w:val="000000"/>
                      </w:rPr>
                      <w:fldChar w:fldCharType="end"/>
                    </w:r>
                    <w:r>
                      <w:rPr>
                        <w:rStyle w:val="1042"/>
                      </w:rPr>
                    </w:r>
                    <w:r>
                      <w:rPr>
                        <w:rStyle w:val="1042"/>
                      </w:rPr>
                    </w:r>
                  </w:p>
                </w:txbxContent>
              </v:textbox>
            </v:shape>
          </w:pict>
        </mc:Fallback>
      </mc:AlternateContent>
    </w:r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108"/>
      <w:pBdr/>
      <w:spacing/>
      <w:ind/>
      <w:jc w:val="center"/>
      <w:rPr/>
    </w:pPr>
    <w:r/>
    <w:r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8"/>
      <w:pBdr/>
      <w:spacing/>
      <w:ind/>
      <w:rPr/>
    </w:pPr>
    <w:r/>
    <w:r/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360"/>
      </w:pPr>
      <w:rPr>
        <w:b w:val="0"/>
        <w:bCs w:val="0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32" w:left="792"/>
      </w:pPr>
      <w:rPr>
        <w:b/>
        <w:bCs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504" w:left="1214"/>
      </w:pPr>
      <w:rPr>
        <w:sz w:val="24"/>
        <w:szCs w:val="24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648" w:left="1728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792" w:left="2232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936" w:left="2736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080" w:left="3240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224" w:left="3744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440" w:left="4320"/>
      </w:pPr>
      <w:rPr/>
      <w:start w:val="1"/>
      <w:suff w:val="tab"/>
    </w:lvl>
  </w:abstractNum>
  <w:abstractNum w:abstractNumId="1">
    <w:lvl w:ilvl="0">
      <w:isLgl w:val="false"/>
      <w:lvlJc w:val="left"/>
      <w:lvlText w:val="-"/>
      <w:numFmt w:val="bullet"/>
      <w:pPr>
        <w:pBdr/>
        <w:tabs>
          <w:tab w:val="num" w:leader="none" w:pos="0"/>
        </w:tabs>
        <w:spacing/>
        <w:ind w:hanging="360" w:left="720"/>
      </w:pPr>
      <w:rPr>
        <w:rFonts w:hint="default" w:ascii="Times New Roman" w:hAnsi="Times New Roman" w:cs="Times New Roman"/>
      </w:rPr>
      <w:start w:val="2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2160"/>
      </w:pPr>
      <w:rPr>
        <w:rFonts w:hint="default" w:ascii="Wingdings" w:hAnsi="Wingdings" w:cs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2880"/>
      </w:pPr>
      <w:rPr>
        <w:rFonts w:hint="default" w:ascii="Symbol" w:hAnsi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4320"/>
      </w:pPr>
      <w:rPr>
        <w:rFonts w:hint="default" w:ascii="Wingdings" w:hAnsi="Wingdings" w:cs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0"/>
        </w:tabs>
        <w:spacing/>
        <w:ind w:hanging="360" w:left="5040"/>
      </w:pPr>
      <w:rPr>
        <w:rFonts w:hint="default" w:ascii="Symbol" w:hAnsi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0"/>
        </w:tabs>
        <w:spacing/>
        <w:ind w:hanging="360" w:left="6480"/>
      </w:pPr>
      <w:rPr>
        <w:rFonts w:hint="default" w:ascii="Wingdings" w:hAnsi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450" w:left="450"/>
      </w:pPr>
      <w:rPr>
        <w:rFonts w:eastAsia="Times New Roman"/>
        <w:sz w:val="24"/>
        <w:szCs w:val="24"/>
      </w:rPr>
      <w:start w:val="1"/>
      <w:suff w:val="tab"/>
    </w:lvl>
    <w:lvl w:ilvl="1">
      <w:isLgl w:val="false"/>
      <w:lvlJc w:val="left"/>
      <w:lvlText w:val="%1.%2."/>
      <w:numFmt w:val="decimal"/>
      <w:pPr>
        <w:pBdr/>
        <w:tabs>
          <w:tab w:val="num" w:leader="none" w:pos="0"/>
        </w:tabs>
        <w:spacing/>
        <w:ind w:hanging="450" w:left="450"/>
      </w:pPr>
      <w:rPr>
        <w:rFonts w:eastAsia="Times New Roman"/>
        <w:sz w:val="24"/>
        <w:szCs w:val="24"/>
      </w:rPr>
      <w:start w:val="1"/>
      <w:suff w:val="tab"/>
    </w:lvl>
    <w:lvl w:ilvl="2">
      <w:isLgl w:val="false"/>
      <w:lvlJc w:val="left"/>
      <w:lvlText w:val="%1.%2.%3."/>
      <w:numFmt w:val="decimal"/>
      <w:pPr>
        <w:pBdr/>
        <w:tabs>
          <w:tab w:val="num" w:leader="none" w:pos="0"/>
        </w:tabs>
        <w:spacing/>
        <w:ind w:hanging="720" w:left="720"/>
      </w:pPr>
      <w:rPr>
        <w:rFonts w:eastAsia="Times New Roman"/>
        <w:sz w:val="28"/>
      </w:rPr>
      <w:start w:val="1"/>
      <w:suff w:val="tab"/>
    </w:lvl>
    <w:lvl w:ilvl="3">
      <w:isLgl w:val="false"/>
      <w:lvlJc w:val="left"/>
      <w:lvlText w:val="%1.%2.%3.%4."/>
      <w:numFmt w:val="decimal"/>
      <w:pPr>
        <w:pBdr/>
        <w:tabs>
          <w:tab w:val="num" w:leader="none" w:pos="0"/>
        </w:tabs>
        <w:spacing/>
        <w:ind w:hanging="720" w:left="720"/>
      </w:pPr>
      <w:rPr>
        <w:rFonts w:eastAsia="Times New Roman"/>
        <w:sz w:val="28"/>
      </w:rPr>
      <w:start w:val="1"/>
      <w:suff w:val="tab"/>
    </w:lvl>
    <w:lvl w:ilvl="4">
      <w:isLgl w:val="false"/>
      <w:lvlJc w:val="left"/>
      <w:lvlText w:val="%1.%2.%3.%4.%5."/>
      <w:numFmt w:val="decimal"/>
      <w:pPr>
        <w:pBdr/>
        <w:tabs>
          <w:tab w:val="num" w:leader="none" w:pos="0"/>
        </w:tabs>
        <w:spacing/>
        <w:ind w:hanging="1080" w:left="1080"/>
      </w:pPr>
      <w:rPr>
        <w:rFonts w:eastAsia="Times New Roman"/>
        <w:sz w:val="28"/>
      </w:rPr>
      <w:start w:val="1"/>
      <w:suff w:val="tab"/>
    </w:lvl>
    <w:lvl w:ilvl="5">
      <w:isLgl w:val="false"/>
      <w:lvlJc w:val="left"/>
      <w:lvlText w:val="%1.%2.%3.%4.%5.%6."/>
      <w:numFmt w:val="decimal"/>
      <w:pPr>
        <w:pBdr/>
        <w:tabs>
          <w:tab w:val="num" w:leader="none" w:pos="0"/>
        </w:tabs>
        <w:spacing/>
        <w:ind w:hanging="1080" w:left="1080"/>
      </w:pPr>
      <w:rPr>
        <w:rFonts w:eastAsia="Times New Roman"/>
        <w:sz w:val="28"/>
      </w:rPr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tabs>
          <w:tab w:val="num" w:leader="none" w:pos="0"/>
        </w:tabs>
        <w:spacing/>
        <w:ind w:hanging="1440" w:left="1440"/>
      </w:pPr>
      <w:rPr>
        <w:rFonts w:eastAsia="Times New Roman"/>
        <w:sz w:val="28"/>
      </w:rPr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tabs>
          <w:tab w:val="num" w:leader="none" w:pos="0"/>
        </w:tabs>
        <w:spacing/>
        <w:ind w:hanging="1440" w:left="1440"/>
      </w:pPr>
      <w:rPr>
        <w:rFonts w:eastAsia="Times New Roman"/>
        <w:sz w:val="28"/>
      </w:rPr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tabs>
          <w:tab w:val="num" w:leader="none" w:pos="0"/>
        </w:tabs>
        <w:spacing/>
        <w:ind w:hanging="1800" w:left="1800"/>
      </w:pPr>
      <w:rPr>
        <w:rFonts w:eastAsia="Times New Roman"/>
        <w:sz w:val="28"/>
      </w:rPr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tabs>
          <w:tab w:val="num" w:leader="none" w:pos="0"/>
        </w:tabs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0"/>
        </w:tabs>
        <w:spacing/>
        <w:ind w:hanging="180" w:left="6480"/>
      </w:pPr>
      <w:rPr/>
      <w:start w:val="1"/>
      <w:suff w:val="tab"/>
    </w:lvl>
  </w:abstractNum>
  <w:abstractNum w:abstractNumId="4">
    <w:lvl w:ilvl="0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1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2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3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4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5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6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7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  <w:lvl w:ilvl="8">
      <w:isLgl w:val="false"/>
      <w:lvlJc w:val="left"/>
      <w:lvlText/>
      <w:numFmt w:val="none"/>
      <w:pPr>
        <w:pBdr/>
        <w:tabs>
          <w:tab w:val="num" w:leader="none" w:pos="0"/>
        </w:tabs>
        <w:spacing/>
        <w:ind w:firstLine="0" w:left="0"/>
      </w:pPr>
      <w:rPr/>
      <w:start w:val="1"/>
      <w:suff w:val="nothing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885">
    <w:name w:val="Table Grid Light"/>
    <w:basedOn w:val="12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Plain Table 1"/>
    <w:basedOn w:val="12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Plain Table 2"/>
    <w:basedOn w:val="12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Plain Table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Plain Table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Plain Table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1 Light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Grid Table 1 Light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1 Light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1 Light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1 Light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1 Light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1 Light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2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2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2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2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2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2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3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3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3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Grid Table 3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Grid Table 3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Grid Table 3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Grid Table 4"/>
    <w:basedOn w:val="12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Grid Table 4 - Accent 1"/>
    <w:basedOn w:val="12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Grid Table 4 - Accent 2"/>
    <w:basedOn w:val="12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Grid Table 4 - Accent 3"/>
    <w:basedOn w:val="12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Grid Table 4 - Accent 4"/>
    <w:basedOn w:val="12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Grid Table 4 - Accent 5"/>
    <w:basedOn w:val="12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Grid Table 4 - Accent 6"/>
    <w:basedOn w:val="12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Grid Table 5 Dark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Grid Table 5 Dark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Grid Table 5 Dark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Grid Table 5 Dark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Grid Table 5 Dark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Grid Table 5 Dark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Grid Table 5 Dark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Grid Table 6 Colorful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Grid Table 6 Colorful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Grid Table 6 Colorful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Grid Table 6 Colorful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Grid Table 6 Colorful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Grid Table 6 Colorful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Grid Table 6 Colorful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Grid Table 7 Colorful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Grid Table 7 Colorful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Grid Table 7 Colorful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Grid Table 7 Colorful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Grid Table 7 Colorful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Grid Table 7 Colorful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Grid Table 7 Colorful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1 Light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1 Light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1 Light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1 Light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1 Light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1 Light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1 Light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2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2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2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2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2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2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3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3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3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>
    <w:name w:val="List Table 3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>
    <w:name w:val="List Table 3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>
    <w:name w:val="List Table 3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>
    <w:name w:val="List Table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>
    <w:name w:val="List Table 4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>
    <w:name w:val="List Table 4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>
    <w:name w:val="List Table 4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>
    <w:name w:val="List Table 4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>
    <w:name w:val="List Table 4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>
    <w:name w:val="List Table 4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>
    <w:name w:val="List Table 5 Dark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9">
    <w:name w:val="List Table 5 Dark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0">
    <w:name w:val="List Table 5 Dark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1">
    <w:name w:val="List Table 5 Dark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2">
    <w:name w:val="List Table 5 Dark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3">
    <w:name w:val="List Table 5 Dark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4">
    <w:name w:val="List Table 5 Dark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5">
    <w:name w:val="List Table 6 Colorful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>
    <w:name w:val="List Table 6 Colorful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>
    <w:name w:val="List Table 6 Colorful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>
    <w:name w:val="List Table 6 Colorful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9">
    <w:name w:val="List Table 6 Colorful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0">
    <w:name w:val="List Table 6 Colorful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1">
    <w:name w:val="List Table 6 Colorful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2">
    <w:name w:val="List Table 7 Colorful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3">
    <w:name w:val="List Table 7 Colorful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4">
    <w:name w:val="List Table 7 Colorful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5">
    <w:name w:val="List Table 7 Colorful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6">
    <w:name w:val="List Table 7 Colorful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7">
    <w:name w:val="List Table 7 Colorful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8">
    <w:name w:val="List Table 7 Colorful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9">
    <w:name w:val="Lined - Accent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0">
    <w:name w:val="Lined - Accent 1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1">
    <w:name w:val="Lined - Accent 2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2">
    <w:name w:val="Lined - Accent 3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3">
    <w:name w:val="Lined - Accent 4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4">
    <w:name w:val="Lined - Accent 5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5">
    <w:name w:val="Lined - Accent 6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6">
    <w:name w:val="Bordered &amp; Lined - Accent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7">
    <w:name w:val="Bordered &amp; Lined - Accent 1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8">
    <w:name w:val="Bordered &amp; Lined - Accent 2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9">
    <w:name w:val="Bordered &amp; Lined - Accent 3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0">
    <w:name w:val="Bordered &amp; Lined - Accent 4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1">
    <w:name w:val="Bordered &amp; Lined - Accent 5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2">
    <w:name w:val="Bordered &amp; Lined - Accent 6"/>
    <w:basedOn w:val="12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3">
    <w:name w:val="Bordered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4">
    <w:name w:val="Bordered - Accent 1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>
    <w:name w:val="Bordered - Accent 2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>
    <w:name w:val="Bordered - Accent 3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Bordered - Accent 4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Bordered - Accent 5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Bordered - Accent 6"/>
    <w:basedOn w:val="12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010">
    <w:name w:val="Heading 1 Char"/>
    <w:basedOn w:val="1038"/>
    <w:link w:val="102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011">
    <w:name w:val="Heading 2 Char"/>
    <w:basedOn w:val="1038"/>
    <w:link w:val="10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012">
    <w:name w:val="Heading 3 Char"/>
    <w:basedOn w:val="1038"/>
    <w:link w:val="103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013">
    <w:name w:val="Heading 4 Char"/>
    <w:basedOn w:val="1038"/>
    <w:link w:val="103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014">
    <w:name w:val="Heading 5 Char"/>
    <w:basedOn w:val="1038"/>
    <w:link w:val="103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015">
    <w:name w:val="Heading 6 Char"/>
    <w:basedOn w:val="1038"/>
    <w:link w:val="103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016">
    <w:name w:val="Heading 7 Char"/>
    <w:basedOn w:val="1038"/>
    <w:link w:val="103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017">
    <w:name w:val="Heading 8 Char"/>
    <w:basedOn w:val="1038"/>
    <w:link w:val="10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8">
    <w:name w:val="Heading 9 Char"/>
    <w:basedOn w:val="1038"/>
    <w:link w:val="10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019">
    <w:name w:val="Title Char"/>
    <w:basedOn w:val="1038"/>
    <w:link w:val="10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020">
    <w:name w:val="Subtitle Char"/>
    <w:basedOn w:val="1038"/>
    <w:link w:val="113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021">
    <w:name w:val="Quote Char"/>
    <w:basedOn w:val="1038"/>
    <w:link w:val="113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022">
    <w:name w:val="Intense Quote Char"/>
    <w:basedOn w:val="1038"/>
    <w:link w:val="113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023">
    <w:name w:val="Header Char"/>
    <w:basedOn w:val="1038"/>
    <w:link w:val="1108"/>
    <w:uiPriority w:val="99"/>
    <w:pPr>
      <w:pBdr/>
      <w:spacing/>
      <w:ind/>
    </w:pPr>
  </w:style>
  <w:style w:type="character" w:styleId="1024">
    <w:name w:val="Footer Char"/>
    <w:basedOn w:val="1038"/>
    <w:link w:val="1110"/>
    <w:uiPriority w:val="99"/>
    <w:pPr>
      <w:pBdr/>
      <w:spacing/>
      <w:ind/>
    </w:pPr>
  </w:style>
  <w:style w:type="character" w:styleId="1025">
    <w:name w:val="Footnote Text Char"/>
    <w:basedOn w:val="1038"/>
    <w:link w:val="1102"/>
    <w:uiPriority w:val="99"/>
    <w:semiHidden/>
    <w:pPr>
      <w:pBdr/>
      <w:spacing/>
      <w:ind/>
    </w:pPr>
    <w:rPr>
      <w:sz w:val="20"/>
      <w:szCs w:val="20"/>
    </w:rPr>
  </w:style>
  <w:style w:type="character" w:styleId="1026">
    <w:name w:val="Endnote Text Char"/>
    <w:basedOn w:val="1038"/>
    <w:link w:val="1158"/>
    <w:uiPriority w:val="99"/>
    <w:semiHidden/>
    <w:pPr>
      <w:pBdr/>
      <w:spacing/>
      <w:ind/>
    </w:pPr>
    <w:rPr>
      <w:sz w:val="20"/>
      <w:szCs w:val="20"/>
    </w:rPr>
  </w:style>
  <w:style w:type="paragraph" w:styleId="1027">
    <w:name w:val="table of figures"/>
    <w:basedOn w:val="1028"/>
    <w:next w:val="1028"/>
    <w:uiPriority w:val="99"/>
    <w:unhideWhenUsed/>
    <w:pPr>
      <w:pBdr/>
      <w:spacing w:after="0" w:afterAutospacing="0"/>
      <w:ind/>
    </w:pPr>
  </w:style>
  <w:style w:type="paragraph" w:styleId="1028" w:default="1">
    <w:name w:val="Normal"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Times New Roman" w:cs="Times New Roman"/>
      <w:color w:val="auto"/>
      <w:sz w:val="28"/>
      <w:szCs w:val="28"/>
      <w:lang w:val="ru-RU" w:eastAsia="ru-RU" w:bidi="ar-SA"/>
    </w:rPr>
  </w:style>
  <w:style w:type="paragraph" w:styleId="1029">
    <w:name w:val="Heading 1"/>
    <w:basedOn w:val="1031"/>
    <w:next w:val="1028"/>
    <w:link w:val="1049"/>
    <w:qFormat/>
    <w:pPr>
      <w:pBdr/>
      <w:spacing/>
      <w:ind/>
      <w:outlineLvl w:val="0"/>
    </w:pPr>
    <w:rPr>
      <w:sz w:val="28"/>
      <w:szCs w:val="28"/>
    </w:rPr>
  </w:style>
  <w:style w:type="paragraph" w:styleId="1030">
    <w:name w:val="Heading 2"/>
    <w:basedOn w:val="1032"/>
    <w:next w:val="1028"/>
    <w:link w:val="1050"/>
    <w:qFormat/>
    <w:pPr>
      <w:pBdr/>
      <w:spacing/>
      <w:ind/>
      <w:outlineLvl w:val="1"/>
    </w:pPr>
  </w:style>
  <w:style w:type="paragraph" w:styleId="1031">
    <w:name w:val="Heading 3"/>
    <w:basedOn w:val="1028"/>
    <w:next w:val="1028"/>
    <w:link w:val="1051"/>
    <w:qFormat/>
    <w:pPr>
      <w:keepNext w:val="true"/>
      <w:pBdr/>
      <w:tabs>
        <w:tab w:val="clear" w:leader="none" w:pos="708"/>
        <w:tab w:val="left" w:leader="none" w:pos="709"/>
      </w:tabs>
      <w:spacing/>
      <w:ind/>
      <w:jc w:val="both"/>
      <w:outlineLvl w:val="2"/>
    </w:pPr>
    <w:rPr>
      <w:rFonts w:eastAsia="Calibri"/>
      <w:sz w:val="24"/>
      <w:szCs w:val="24"/>
    </w:rPr>
  </w:style>
  <w:style w:type="paragraph" w:styleId="1032">
    <w:name w:val="Heading 4"/>
    <w:basedOn w:val="1031"/>
    <w:next w:val="1028"/>
    <w:link w:val="1052"/>
    <w:qFormat/>
    <w:pPr>
      <w:pBdr/>
      <w:spacing/>
      <w:ind/>
      <w:outlineLvl w:val="3"/>
    </w:pPr>
    <w:rPr>
      <w:bCs/>
    </w:rPr>
  </w:style>
  <w:style w:type="paragraph" w:styleId="1033">
    <w:name w:val="Heading 5"/>
    <w:basedOn w:val="1028"/>
    <w:next w:val="1028"/>
    <w:link w:val="1053"/>
    <w:uiPriority w:val="9"/>
    <w:qFormat/>
    <w:pPr>
      <w:pBdr/>
      <w:spacing w:after="60" w:before="240"/>
      <w:ind/>
      <w:outlineLvl w:val="4"/>
    </w:pPr>
    <w:rPr>
      <w:b/>
      <w:bCs/>
      <w:i/>
      <w:iCs/>
      <w:sz w:val="26"/>
      <w:szCs w:val="26"/>
    </w:rPr>
  </w:style>
  <w:style w:type="paragraph" w:styleId="1034">
    <w:name w:val="Heading 6"/>
    <w:basedOn w:val="1028"/>
    <w:next w:val="1028"/>
    <w:link w:val="1046"/>
    <w:uiPriority w:val="9"/>
    <w:qFormat/>
    <w:pPr>
      <w:keepNext w:val="true"/>
      <w:keepLines w:val="true"/>
      <w:pBdr/>
      <w:spacing w:after="0" w:before="200"/>
      <w:ind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1035">
    <w:name w:val="Heading 7"/>
    <w:basedOn w:val="1028"/>
    <w:next w:val="1028"/>
    <w:link w:val="1047"/>
    <w:uiPriority w:val="9"/>
    <w:qFormat/>
    <w:pPr>
      <w:keepNext w:val="true"/>
      <w:keepLines w:val="true"/>
      <w:pBdr/>
      <w:spacing w:after="0" w:before="200"/>
      <w:ind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1036">
    <w:name w:val="Heading 8"/>
    <w:basedOn w:val="1028"/>
    <w:next w:val="1028"/>
    <w:link w:val="1048"/>
    <w:uiPriority w:val="9"/>
    <w:qFormat/>
    <w:pPr>
      <w:keepNext w:val="true"/>
      <w:keepLines w:val="true"/>
      <w:pBdr/>
      <w:spacing w:after="0" w:before="200"/>
      <w:ind/>
      <w:outlineLvl w:val="7"/>
    </w:pPr>
    <w:rPr>
      <w:rFonts w:ascii="Cambria" w:hAnsi="Cambria"/>
      <w:color w:val="4f81bd"/>
      <w:sz w:val="20"/>
      <w:szCs w:val="20"/>
    </w:rPr>
  </w:style>
  <w:style w:type="paragraph" w:styleId="1037">
    <w:name w:val="Heading 9"/>
    <w:basedOn w:val="1028"/>
    <w:next w:val="1028"/>
    <w:link w:val="1054"/>
    <w:uiPriority w:val="9"/>
    <w:qFormat/>
    <w:pPr>
      <w:pBdr/>
      <w:spacing w:after="60" w:before="240"/>
      <w:ind/>
      <w:outlineLvl w:val="8"/>
    </w:pPr>
    <w:rPr>
      <w:rFonts w:ascii="Arial" w:hAnsi="Arial"/>
      <w:sz w:val="22"/>
      <w:szCs w:val="22"/>
    </w:rPr>
  </w:style>
  <w:style w:type="character" w:styleId="1038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1039" w:customStyle="1">
    <w:name w:val="Символ сноски"/>
    <w:qFormat/>
    <w:pPr>
      <w:pBdr/>
      <w:spacing/>
      <w:ind/>
    </w:pPr>
    <w:rPr>
      <w:vertAlign w:val="superscript"/>
    </w:rPr>
  </w:style>
  <w:style w:type="character" w:styleId="1040">
    <w:name w:val="footnote reference"/>
    <w:pPr>
      <w:pBdr/>
      <w:spacing/>
      <w:ind/>
    </w:pPr>
    <w:rPr>
      <w:vertAlign w:val="superscript"/>
    </w:rPr>
  </w:style>
  <w:style w:type="character" w:styleId="1041" w:customStyle="1">
    <w:name w:val="Footnote Characters"/>
    <w:qFormat/>
    <w:pPr>
      <w:pBdr/>
      <w:spacing/>
      <w:ind/>
    </w:pPr>
    <w:rPr>
      <w:vertAlign w:val="superscript"/>
    </w:rPr>
  </w:style>
  <w:style w:type="character" w:styleId="1042">
    <w:name w:val="page number"/>
    <w:basedOn w:val="1038"/>
    <w:qFormat/>
    <w:pPr>
      <w:pBdr/>
      <w:spacing/>
      <w:ind/>
    </w:pPr>
  </w:style>
  <w:style w:type="character" w:styleId="1043">
    <w:name w:val="Hyperlink"/>
    <w:uiPriority w:val="99"/>
    <w:pPr>
      <w:pBdr/>
      <w:spacing/>
      <w:ind/>
    </w:pPr>
    <w:rPr>
      <w:color w:val="0000ff"/>
      <w:u w:val="single"/>
    </w:rPr>
  </w:style>
  <w:style w:type="character" w:styleId="1044">
    <w:name w:val="annotation reference"/>
    <w:uiPriority w:val="99"/>
    <w:semiHidden/>
    <w:qFormat/>
    <w:pPr>
      <w:pBdr/>
      <w:spacing/>
      <w:ind/>
    </w:pPr>
    <w:rPr>
      <w:sz w:val="16"/>
      <w:szCs w:val="16"/>
    </w:rPr>
  </w:style>
  <w:style w:type="character" w:styleId="1045">
    <w:name w:val="Strong"/>
    <w:qFormat/>
    <w:pPr>
      <w:pBdr/>
      <w:spacing/>
      <w:ind/>
    </w:pPr>
    <w:rPr>
      <w:b/>
      <w:bCs/>
    </w:rPr>
  </w:style>
  <w:style w:type="character" w:styleId="1046" w:customStyle="1">
    <w:name w:val="Заголовок 6 Знак"/>
    <w:uiPriority w:val="9"/>
    <w:qFormat/>
    <w:pPr>
      <w:pBdr/>
      <w:spacing/>
      <w:ind/>
    </w:pPr>
    <w:rPr>
      <w:rFonts w:ascii="Cambria" w:hAnsi="Cambria"/>
      <w:i/>
      <w:iCs/>
      <w:color w:val="243f60"/>
    </w:rPr>
  </w:style>
  <w:style w:type="character" w:styleId="1047" w:customStyle="1">
    <w:name w:val="Заголовок 7 Знак"/>
    <w:uiPriority w:val="9"/>
    <w:qFormat/>
    <w:pPr>
      <w:pBdr/>
      <w:spacing/>
      <w:ind/>
    </w:pPr>
    <w:rPr>
      <w:rFonts w:ascii="Cambria" w:hAnsi="Cambria"/>
      <w:i/>
      <w:iCs/>
      <w:color w:val="404040"/>
    </w:rPr>
  </w:style>
  <w:style w:type="character" w:styleId="1048" w:customStyle="1">
    <w:name w:val="Заголовок 8 Знак"/>
    <w:uiPriority w:val="9"/>
    <w:qFormat/>
    <w:pPr>
      <w:pBdr/>
      <w:spacing/>
      <w:ind/>
    </w:pPr>
    <w:rPr>
      <w:rFonts w:ascii="Cambria" w:hAnsi="Cambria"/>
      <w:color w:val="4f81bd"/>
    </w:rPr>
  </w:style>
  <w:style w:type="character" w:styleId="1049" w:customStyle="1">
    <w:name w:val="Заголовок 1 Знак"/>
    <w:qFormat/>
    <w:pPr>
      <w:pBdr/>
      <w:spacing/>
      <w:ind/>
    </w:pPr>
    <w:rPr>
      <w:rFonts w:eastAsia="Calibri"/>
      <w:b/>
      <w:sz w:val="28"/>
      <w:szCs w:val="28"/>
    </w:rPr>
  </w:style>
  <w:style w:type="character" w:styleId="1050" w:customStyle="1">
    <w:name w:val="Заголовок 2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1051" w:customStyle="1">
    <w:name w:val="Заголовок 3 Знак"/>
    <w:qFormat/>
    <w:pPr>
      <w:pBdr/>
      <w:spacing/>
      <w:ind/>
    </w:pPr>
    <w:rPr>
      <w:rFonts w:eastAsia="Calibri"/>
      <w:sz w:val="24"/>
      <w:szCs w:val="24"/>
    </w:rPr>
  </w:style>
  <w:style w:type="character" w:styleId="1052" w:customStyle="1">
    <w:name w:val="Заголовок 4 Знак"/>
    <w:qFormat/>
    <w:pPr>
      <w:pBdr/>
      <w:spacing/>
      <w:ind/>
    </w:pPr>
    <w:rPr>
      <w:rFonts w:eastAsia="Calibri"/>
      <w:b/>
      <w:bCs/>
      <w:sz w:val="24"/>
      <w:szCs w:val="24"/>
    </w:rPr>
  </w:style>
  <w:style w:type="character" w:styleId="1053" w:customStyle="1">
    <w:name w:val="Заголовок 5 Знак"/>
    <w:uiPriority w:val="9"/>
    <w:qFormat/>
    <w:pPr>
      <w:pBdr/>
      <w:spacing/>
      <w:ind/>
    </w:pPr>
    <w:rPr>
      <w:b/>
      <w:bCs/>
      <w:i/>
      <w:iCs/>
      <w:sz w:val="26"/>
      <w:szCs w:val="26"/>
    </w:rPr>
  </w:style>
  <w:style w:type="character" w:styleId="1054" w:customStyle="1">
    <w:name w:val="Заголовок 9 Знак"/>
    <w:uiPriority w:val="9"/>
    <w:qFormat/>
    <w:pPr>
      <w:pBdr/>
      <w:spacing/>
      <w:ind/>
    </w:pPr>
    <w:rPr>
      <w:rFonts w:ascii="Arial" w:hAnsi="Arial" w:cs="Arial"/>
      <w:sz w:val="22"/>
      <w:szCs w:val="22"/>
    </w:rPr>
  </w:style>
  <w:style w:type="character" w:styleId="1055" w:customStyle="1">
    <w:name w:val="Название Знак"/>
    <w:link w:val="1106"/>
    <w:uiPriority w:val="10"/>
    <w:qFormat/>
    <w:pPr>
      <w:pBdr/>
      <w:spacing/>
      <w:ind/>
    </w:pPr>
    <w:rPr>
      <w:sz w:val="28"/>
    </w:rPr>
  </w:style>
  <w:style w:type="character" w:styleId="1056" w:customStyle="1">
    <w:name w:val="Подзаголовок Знак"/>
    <w:uiPriority w:val="11"/>
    <w:qFormat/>
    <w:pPr>
      <w:pBdr/>
      <w:spacing/>
      <w:ind/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styleId="1057">
    <w:name w:val="Emphasis"/>
    <w:uiPriority w:val="20"/>
    <w:qFormat/>
    <w:pPr>
      <w:pBdr/>
      <w:spacing/>
      <w:ind/>
    </w:pPr>
    <w:rPr>
      <w:i/>
      <w:iCs/>
    </w:rPr>
  </w:style>
  <w:style w:type="character" w:styleId="1058" w:customStyle="1">
    <w:name w:val="Цитата 2 Знак"/>
    <w:link w:val="1135"/>
    <w:uiPriority w:val="29"/>
    <w:qFormat/>
    <w:pPr>
      <w:pBdr/>
      <w:spacing/>
      <w:ind/>
    </w:pPr>
    <w:rPr>
      <w:rFonts w:ascii="Calibri" w:hAnsi="Calibri" w:eastAsia="Calibri"/>
      <w:i/>
      <w:iCs/>
      <w:color w:val="000000"/>
    </w:rPr>
  </w:style>
  <w:style w:type="character" w:styleId="1059" w:customStyle="1">
    <w:name w:val="Выделенная цитата Знак"/>
    <w:link w:val="1136"/>
    <w:uiPriority w:val="30"/>
    <w:qFormat/>
    <w:pPr>
      <w:pBdr/>
      <w:spacing/>
      <w:ind/>
    </w:pPr>
    <w:rPr>
      <w:rFonts w:ascii="Calibri" w:hAnsi="Calibri" w:eastAsia="Calibri"/>
      <w:b/>
      <w:bCs/>
      <w:i/>
      <w:iCs/>
      <w:color w:val="4f81bd"/>
    </w:rPr>
  </w:style>
  <w:style w:type="character" w:styleId="1060">
    <w:name w:val="Subtle Emphasis"/>
    <w:uiPriority w:val="19"/>
    <w:qFormat/>
    <w:pPr>
      <w:pBdr/>
      <w:spacing/>
      <w:ind/>
    </w:pPr>
    <w:rPr>
      <w:i/>
      <w:iCs/>
      <w:color w:val="808080"/>
    </w:rPr>
  </w:style>
  <w:style w:type="character" w:styleId="1061">
    <w:name w:val="Intense Emphasis"/>
    <w:uiPriority w:val="21"/>
    <w:qFormat/>
    <w:pPr>
      <w:pBdr/>
      <w:spacing/>
      <w:ind/>
    </w:pPr>
    <w:rPr>
      <w:b/>
      <w:bCs/>
      <w:i/>
      <w:iCs/>
      <w:color w:val="4f81bd"/>
    </w:rPr>
  </w:style>
  <w:style w:type="character" w:styleId="1062">
    <w:name w:val="Subtle Reference"/>
    <w:uiPriority w:val="31"/>
    <w:qFormat/>
    <w:pPr>
      <w:pBdr/>
      <w:spacing/>
      <w:ind/>
    </w:pPr>
    <w:rPr>
      <w:smallCaps/>
      <w:color w:val="c0504d"/>
      <w:u w:val="single"/>
    </w:rPr>
  </w:style>
  <w:style w:type="character" w:styleId="1063">
    <w:name w:val="Intense Reference"/>
    <w:uiPriority w:val="32"/>
    <w:qFormat/>
    <w:pPr>
      <w:pBdr/>
      <w:spacing/>
      <w:ind/>
    </w:pPr>
    <w:rPr>
      <w:b/>
      <w:bCs/>
      <w:smallCaps/>
      <w:color w:val="c0504d"/>
      <w:spacing w:val="5"/>
      <w:u w:val="single"/>
    </w:rPr>
  </w:style>
  <w:style w:type="character" w:styleId="1064">
    <w:name w:val="Book Title"/>
    <w:uiPriority w:val="33"/>
    <w:qFormat/>
    <w:pPr>
      <w:pBdr/>
      <w:spacing/>
      <w:ind/>
    </w:pPr>
    <w:rPr>
      <w:b/>
      <w:bCs/>
      <w:smallCaps/>
      <w:spacing w:val="5"/>
    </w:rPr>
  </w:style>
  <w:style w:type="character" w:styleId="1065" w:customStyle="1">
    <w:name w:val="Электронная подпись Знак"/>
    <w:link w:val="1139"/>
    <w:uiPriority w:val="99"/>
    <w:qFormat/>
    <w:pPr>
      <w:pBdr/>
      <w:spacing/>
      <w:ind/>
    </w:pPr>
    <w:rPr>
      <w:rFonts w:eastAsia="Calibri"/>
      <w:sz w:val="24"/>
      <w:szCs w:val="24"/>
    </w:rPr>
  </w:style>
  <w:style w:type="character" w:styleId="1066" w:customStyle="1">
    <w:name w:val="Подпункт Знак1"/>
    <w:link w:val="1116"/>
    <w:qFormat/>
    <w:pPr>
      <w:pBdr/>
      <w:spacing/>
      <w:ind/>
    </w:pPr>
    <w:rPr>
      <w:sz w:val="28"/>
    </w:rPr>
  </w:style>
  <w:style w:type="character" w:styleId="1067" w:customStyle="1">
    <w:name w:val="Текст сноски Знак"/>
    <w:uiPriority w:val="99"/>
    <w:qFormat/>
    <w:pPr>
      <w:pBdr/>
      <w:spacing/>
      <w:ind/>
    </w:pPr>
  </w:style>
  <w:style w:type="character" w:styleId="1068" w:customStyle="1">
    <w:name w:val="Основной текст Знак"/>
    <w:qFormat/>
    <w:pPr>
      <w:pBdr/>
      <w:spacing/>
      <w:ind/>
    </w:pPr>
    <w:rPr>
      <w:sz w:val="28"/>
      <w:szCs w:val="28"/>
    </w:rPr>
  </w:style>
  <w:style w:type="character" w:styleId="1069" w:customStyle="1">
    <w:name w:val="blk"/>
    <w:qFormat/>
    <w:pPr>
      <w:pBdr/>
      <w:spacing/>
      <w:ind/>
    </w:pPr>
  </w:style>
  <w:style w:type="character" w:styleId="1070" w:customStyle="1">
    <w:name w:val="Абзац списка Знак"/>
    <w:link w:val="1134"/>
    <w:uiPriority w:val="34"/>
    <w:qFormat/>
    <w:pPr>
      <w:pBdr/>
      <w:spacing/>
      <w:ind/>
    </w:pPr>
    <w:rPr>
      <w:rFonts w:eastAsia="Calibri"/>
      <w:sz w:val="24"/>
      <w:szCs w:val="24"/>
    </w:rPr>
  </w:style>
  <w:style w:type="character" w:styleId="1071" w:customStyle="1">
    <w:name w:val="комментарий"/>
    <w:qFormat/>
    <w:pPr>
      <w:pBdr/>
      <w:spacing/>
      <w:ind/>
    </w:pPr>
    <w:rPr>
      <w:b/>
      <w:i/>
      <w:shd w:val="clear" w:color="auto" w:fill="ffff99"/>
    </w:rPr>
  </w:style>
  <w:style w:type="character" w:styleId="1072" w:customStyle="1">
    <w:name w:val="Подподпункт Знак"/>
    <w:link w:val="1151"/>
    <w:qFormat/>
    <w:pPr>
      <w:pBdr/>
      <w:spacing/>
      <w:ind/>
    </w:pPr>
    <w:rPr>
      <w:sz w:val="26"/>
      <w:szCs w:val="26"/>
    </w:rPr>
  </w:style>
  <w:style w:type="character" w:styleId="1073" w:customStyle="1">
    <w:name w:val="УРОВЕНЬ_Абзац_тип3 Знак"/>
    <w:link w:val="1155"/>
    <w:qFormat/>
    <w:pPr>
      <w:pBdr/>
      <w:spacing/>
      <w:ind/>
    </w:pPr>
    <w:rPr>
      <w:rFonts w:eastAsia="Calibri"/>
      <w:sz w:val="26"/>
      <w:szCs w:val="28"/>
      <w:lang w:eastAsia="en-US"/>
    </w:rPr>
  </w:style>
  <w:style w:type="character" w:styleId="1074" w:customStyle="1">
    <w:name w:val="Верхний колонтитул Знак"/>
    <w:uiPriority w:val="99"/>
    <w:qFormat/>
    <w:pPr>
      <w:pBdr/>
      <w:spacing/>
      <w:ind/>
    </w:pPr>
    <w:rPr>
      <w:sz w:val="24"/>
      <w:szCs w:val="24"/>
    </w:rPr>
  </w:style>
  <w:style w:type="character" w:styleId="1075" w:customStyle="1">
    <w:name w:val="Текст примечания Знак"/>
    <w:link w:val="1124"/>
    <w:semiHidden/>
    <w:qFormat/>
    <w:pPr>
      <w:pBdr/>
      <w:spacing/>
      <w:ind/>
    </w:pPr>
  </w:style>
  <w:style w:type="character" w:styleId="1076" w:customStyle="1">
    <w:name w:val="Текст концевой сноски Знак"/>
    <w:basedOn w:val="1038"/>
    <w:qFormat/>
    <w:pPr>
      <w:pBdr/>
      <w:spacing/>
      <w:ind/>
    </w:pPr>
  </w:style>
  <w:style w:type="character" w:styleId="1077" w:customStyle="1">
    <w:name w:val="Символ концевой сноски"/>
    <w:qFormat/>
    <w:pPr>
      <w:pBdr/>
      <w:spacing/>
      <w:ind/>
    </w:pPr>
    <w:rPr>
      <w:vertAlign w:val="superscript"/>
    </w:rPr>
  </w:style>
  <w:style w:type="character" w:styleId="1078">
    <w:name w:val="endnote reference"/>
    <w:pPr>
      <w:pBdr/>
      <w:spacing/>
      <w:ind/>
    </w:pPr>
    <w:rPr>
      <w:vertAlign w:val="superscript"/>
    </w:rPr>
  </w:style>
  <w:style w:type="character" w:styleId="1079" w:customStyle="1">
    <w:name w:val="Endnote Characters"/>
    <w:basedOn w:val="1038"/>
    <w:qFormat/>
    <w:pPr>
      <w:pBdr/>
      <w:spacing/>
      <w:ind/>
    </w:pPr>
    <w:rPr>
      <w:vertAlign w:val="superscript"/>
    </w:rPr>
  </w:style>
  <w:style w:type="character" w:styleId="1080" w:customStyle="1">
    <w:name w:val="Пункт2 Знак"/>
    <w:link w:val="1117"/>
    <w:qFormat/>
    <w:pPr>
      <w:pBdr/>
      <w:spacing/>
      <w:ind/>
    </w:pPr>
    <w:rPr>
      <w:b/>
      <w:sz w:val="28"/>
    </w:rPr>
  </w:style>
  <w:style w:type="character" w:styleId="1081" w:customStyle="1">
    <w:name w:val="УРОВЕНЬ_1. Знак"/>
    <w:link w:val="1162"/>
    <w:qFormat/>
    <w:pPr>
      <w:pBdr/>
      <w:spacing/>
      <w:ind/>
    </w:pPr>
    <w:rPr>
      <w:rFonts w:eastAsia="Calibri"/>
      <w:caps/>
      <w:sz w:val="28"/>
      <w:szCs w:val="28"/>
      <w:lang w:eastAsia="en-US"/>
    </w:rPr>
  </w:style>
  <w:style w:type="character" w:styleId="1082">
    <w:name w:val="FollowedHyperlink"/>
    <w:basedOn w:val="1038"/>
    <w:uiPriority w:val="99"/>
    <w:semiHidden/>
    <w:unhideWhenUsed/>
    <w:pPr>
      <w:pBdr/>
      <w:spacing/>
      <w:ind/>
    </w:pPr>
    <w:rPr>
      <w:color w:val="954f72"/>
      <w:u w:val="single"/>
    </w:rPr>
  </w:style>
  <w:style w:type="character" w:styleId="1083" w:customStyle="1">
    <w:name w:val="Неразрешенное упоминание1"/>
    <w:basedOn w:val="1038"/>
    <w:uiPriority w:val="99"/>
    <w:semiHidden/>
    <w:unhideWhenUsed/>
    <w:qFormat/>
    <w:pPr>
      <w:pBdr/>
      <w:spacing/>
      <w:ind/>
    </w:pPr>
    <w:rPr>
      <w:color w:val="605e5c"/>
      <w:shd w:val="clear" w:color="auto" w:fill="e1dfdd"/>
    </w:rPr>
  </w:style>
  <w:style w:type="character" w:styleId="1084" w:customStyle="1">
    <w:name w:val="Основной текст с отступом 3 Знак"/>
    <w:link w:val="1113"/>
    <w:qFormat/>
    <w:pPr>
      <w:pBdr/>
      <w:spacing/>
      <w:ind/>
    </w:pPr>
    <w:rPr>
      <w:sz w:val="16"/>
      <w:szCs w:val="16"/>
    </w:rPr>
  </w:style>
  <w:style w:type="character" w:styleId="1085" w:customStyle="1">
    <w:name w:val="Нижний колонтитул Знак"/>
    <w:basedOn w:val="1038"/>
    <w:uiPriority w:val="99"/>
    <w:qFormat/>
    <w:pPr>
      <w:pBdr/>
      <w:spacing/>
      <w:ind/>
    </w:pPr>
    <w:rPr>
      <w:sz w:val="28"/>
      <w:szCs w:val="28"/>
    </w:rPr>
  </w:style>
  <w:style w:type="character" w:styleId="1086" w:customStyle="1">
    <w:name w:val="Font Style13"/>
    <w:qFormat/>
    <w:pPr>
      <w:pBdr/>
      <w:spacing/>
      <w:ind/>
    </w:pPr>
    <w:rPr>
      <w:rFonts w:ascii="Times New Roman" w:hAnsi="Times New Roman" w:cs="Times New Roman"/>
      <w:sz w:val="22"/>
      <w:szCs w:val="22"/>
    </w:rPr>
  </w:style>
  <w:style w:type="paragraph" w:styleId="1087" w:customStyle="1">
    <w:name w:val="Заголовок"/>
    <w:basedOn w:val="1028"/>
    <w:next w:val="1088"/>
    <w:qFormat/>
    <w:pPr>
      <w:keepNext w:val="true"/>
      <w:pBdr/>
      <w:spacing w:after="120" w:before="240"/>
      <w:ind/>
    </w:pPr>
    <w:rPr>
      <w:rFonts w:ascii="Liberation Sans" w:hAnsi="Liberation Sans" w:eastAsia="Tahoma" w:cs="Lohit Devanagari"/>
    </w:rPr>
  </w:style>
  <w:style w:type="paragraph" w:styleId="1088">
    <w:name w:val="Body Text"/>
    <w:basedOn w:val="1028"/>
    <w:link w:val="1068"/>
    <w:pPr>
      <w:pBdr/>
      <w:spacing w:after="120" w:before="0"/>
      <w:ind/>
    </w:pPr>
  </w:style>
  <w:style w:type="paragraph" w:styleId="1089">
    <w:name w:val="List"/>
    <w:basedOn w:val="1088"/>
    <w:pPr>
      <w:pBdr/>
      <w:spacing/>
      <w:ind/>
    </w:pPr>
    <w:rPr>
      <w:rFonts w:cs="Lucida Sans"/>
    </w:rPr>
  </w:style>
  <w:style w:type="paragraph" w:styleId="1090">
    <w:name w:val="Caption"/>
    <w:basedOn w:val="1028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1091">
    <w:name w:val="Указатель"/>
    <w:basedOn w:val="1028"/>
    <w:qFormat/>
    <w:pPr>
      <w:suppressLineNumbers w:val="true"/>
      <w:pBdr/>
      <w:spacing/>
      <w:ind/>
    </w:pPr>
    <w:rPr>
      <w:rFonts w:cs="Lohit Devanagari"/>
    </w:rPr>
  </w:style>
  <w:style w:type="paragraph" w:styleId="1092">
    <w:name w:val="caption1"/>
    <w:basedOn w:val="1028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1093">
    <w:name w:val="index heading1"/>
    <w:basedOn w:val="1087"/>
    <w:qFormat/>
    <w:pPr>
      <w:pBdr/>
      <w:spacing/>
      <w:ind/>
    </w:pPr>
  </w:style>
  <w:style w:type="paragraph" w:styleId="1094" w:customStyle="1">
    <w:name w:val="caption11"/>
    <w:basedOn w:val="1028"/>
    <w:qFormat/>
    <w:pPr>
      <w:suppressLineNumbers w:val="true"/>
      <w:pBdr/>
      <w:spacing w:after="120" w:before="120"/>
      <w:ind/>
    </w:pPr>
    <w:rPr>
      <w:rFonts w:cs="Lohit Devanagari"/>
      <w:i/>
      <w:iCs/>
      <w:sz w:val="24"/>
      <w:szCs w:val="24"/>
    </w:rPr>
  </w:style>
  <w:style w:type="paragraph" w:styleId="1095" w:customStyle="1">
    <w:name w:val="index heading11"/>
    <w:basedOn w:val="1087"/>
    <w:qFormat/>
    <w:pPr>
      <w:pBdr/>
      <w:spacing/>
      <w:ind/>
    </w:pPr>
  </w:style>
  <w:style w:type="paragraph" w:styleId="1096">
    <w:name w:val="Title"/>
    <w:basedOn w:val="1028"/>
    <w:next w:val="1088"/>
    <w:qFormat/>
    <w:pPr>
      <w:keepNext w:val="true"/>
      <w:pBdr/>
      <w:spacing w:after="120" w:before="240"/>
      <w:ind/>
    </w:pPr>
    <w:rPr>
      <w:rFonts w:ascii="Liberation Sans" w:hAnsi="Liberation Sans" w:eastAsia="Microsoft YaHei" w:cs="Lucida Sans"/>
    </w:rPr>
  </w:style>
  <w:style w:type="paragraph" w:styleId="1097" w:customStyle="1">
    <w:name w:val="caption111"/>
    <w:basedOn w:val="1028"/>
    <w:next w:val="1028"/>
    <w:uiPriority w:val="35"/>
    <w:qFormat/>
    <w:pPr>
      <w:pBdr/>
      <w:spacing/>
      <w:ind/>
    </w:pPr>
    <w:rPr>
      <w:rFonts w:eastAsia="Calibri"/>
      <w:b/>
      <w:bCs/>
      <w:color w:val="4f81bd"/>
      <w:sz w:val="18"/>
      <w:szCs w:val="18"/>
    </w:rPr>
  </w:style>
  <w:style w:type="paragraph" w:styleId="1098" w:customStyle="1">
    <w:name w:val="index heading111"/>
    <w:basedOn w:val="1096"/>
    <w:qFormat/>
    <w:pPr>
      <w:pBdr/>
      <w:spacing/>
      <w:ind/>
    </w:pPr>
  </w:style>
  <w:style w:type="paragraph" w:styleId="1099" w:customStyle="1">
    <w:name w:val="Название раздела инструкции"/>
    <w:basedOn w:val="1028"/>
    <w:qFormat/>
    <w:pPr>
      <w:pBdr/>
      <w:spacing/>
      <w:ind/>
      <w:jc w:val="center"/>
    </w:pPr>
    <w:rPr>
      <w:b/>
    </w:rPr>
  </w:style>
  <w:style w:type="paragraph" w:styleId="1100" w:customStyle="1">
    <w:name w:val="Раздел положения"/>
    <w:basedOn w:val="1028"/>
    <w:qFormat/>
    <w:pPr>
      <w:pBdr/>
      <w:tabs>
        <w:tab w:val="left" w:leader="none" w:pos="360"/>
        <w:tab w:val="clear" w:leader="none" w:pos="708"/>
      </w:tabs>
      <w:spacing w:after="80" w:before="80"/>
      <w:ind w:hanging="360" w:left="360"/>
      <w:jc w:val="center"/>
    </w:pPr>
    <w:rPr>
      <w:b/>
      <w:sz w:val="32"/>
      <w:szCs w:val="32"/>
    </w:rPr>
  </w:style>
  <w:style w:type="paragraph" w:styleId="1101" w:customStyle="1">
    <w:name w:val="Подраздел раздела положения"/>
    <w:basedOn w:val="1028"/>
    <w:qFormat/>
    <w:pPr>
      <w:pBdr/>
      <w:tabs>
        <w:tab w:val="left" w:leader="none" w:pos="357"/>
        <w:tab w:val="clear" w:leader="none" w:pos="708"/>
      </w:tabs>
      <w:spacing w:after="80" w:before="80"/>
      <w:ind/>
      <w:jc w:val="both"/>
    </w:pPr>
  </w:style>
  <w:style w:type="paragraph" w:styleId="1102">
    <w:name w:val="footnote text"/>
    <w:basedOn w:val="1028"/>
    <w:link w:val="1067"/>
    <w:uiPriority w:val="99"/>
    <w:pPr>
      <w:pBdr/>
      <w:spacing/>
      <w:ind/>
    </w:pPr>
    <w:rPr>
      <w:sz w:val="20"/>
      <w:szCs w:val="20"/>
    </w:rPr>
  </w:style>
  <w:style w:type="paragraph" w:styleId="1103" w:customStyle="1">
    <w:name w:val="Шапка 1"/>
    <w:basedOn w:val="1028"/>
    <w:qFormat/>
    <w:pPr>
      <w:pBdr>
        <w:bottom w:val="single" w:color="000000" w:sz="24" w:space="1"/>
      </w:pBdr>
      <w:spacing w:after="240" w:before="0"/>
      <w:ind/>
      <w:jc w:val="center"/>
    </w:pPr>
    <w:rPr>
      <w:sz w:val="22"/>
      <w:szCs w:val="22"/>
    </w:rPr>
  </w:style>
  <w:style w:type="paragraph" w:styleId="1104" w:customStyle="1">
    <w:name w:val="Шапка 2"/>
    <w:basedOn w:val="1028"/>
    <w:qFormat/>
    <w:pPr>
      <w:pBdr>
        <w:bottom w:val="single" w:color="000000" w:sz="24" w:space="1"/>
      </w:pBdr>
      <w:spacing w:after="120" w:before="0"/>
      <w:ind/>
      <w:jc w:val="center"/>
    </w:pPr>
    <w:rPr>
      <w:b/>
      <w:sz w:val="22"/>
      <w:szCs w:val="22"/>
    </w:rPr>
  </w:style>
  <w:style w:type="paragraph" w:styleId="1105" w:customStyle="1">
    <w:name w:val="Шапка 3"/>
    <w:basedOn w:val="1028"/>
    <w:qFormat/>
    <w:pPr>
      <w:pBdr>
        <w:bottom w:val="single" w:color="000000" w:sz="24" w:space="1"/>
      </w:pBdr>
      <w:spacing w:after="360" w:before="240"/>
      <w:ind/>
      <w:jc w:val="center"/>
    </w:pPr>
    <w:rPr>
      <w:b/>
      <w:sz w:val="24"/>
      <w:szCs w:val="24"/>
    </w:rPr>
  </w:style>
  <w:style w:type="paragraph" w:styleId="1106" w:customStyle="1">
    <w:name w:val="Название1"/>
    <w:basedOn w:val="1028"/>
    <w:link w:val="1055"/>
    <w:uiPriority w:val="10"/>
    <w:qFormat/>
    <w:pPr>
      <w:pBdr/>
      <w:spacing/>
      <w:ind/>
      <w:jc w:val="center"/>
    </w:pPr>
    <w:rPr>
      <w:szCs w:val="20"/>
    </w:rPr>
  </w:style>
  <w:style w:type="paragraph" w:styleId="1107" w:customStyle="1">
    <w:name w:val="Колонтитул"/>
    <w:basedOn w:val="1028"/>
    <w:qFormat/>
    <w:pPr>
      <w:pBdr/>
      <w:spacing/>
      <w:ind/>
    </w:pPr>
  </w:style>
  <w:style w:type="paragraph" w:styleId="1108">
    <w:name w:val="Header"/>
    <w:basedOn w:val="1028"/>
    <w:link w:val="1074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  <w:rPr>
      <w:sz w:val="24"/>
      <w:szCs w:val="24"/>
    </w:rPr>
  </w:style>
  <w:style w:type="paragraph" w:styleId="1109">
    <w:name w:val="Body Text Indent"/>
    <w:basedOn w:val="1028"/>
    <w:pPr>
      <w:pBdr/>
      <w:spacing/>
      <w:ind w:firstLine="0" w:left="360"/>
    </w:pPr>
    <w:rPr>
      <w:sz w:val="24"/>
      <w:szCs w:val="24"/>
    </w:rPr>
  </w:style>
  <w:style w:type="paragraph" w:styleId="1110">
    <w:name w:val="Footer"/>
    <w:basedOn w:val="1028"/>
    <w:link w:val="1085"/>
    <w:uiPriority w:val="99"/>
    <w:pPr>
      <w:pBdr/>
      <w:tabs>
        <w:tab w:val="clear" w:leader="none" w:pos="708"/>
        <w:tab w:val="center" w:leader="none" w:pos="4677"/>
        <w:tab w:val="right" w:leader="none" w:pos="9355"/>
      </w:tabs>
      <w:spacing/>
      <w:ind/>
    </w:pPr>
  </w:style>
  <w:style w:type="paragraph" w:styleId="1111">
    <w:name w:val="Body Text Indent 2"/>
    <w:basedOn w:val="1028"/>
    <w:qFormat/>
    <w:pPr>
      <w:pBdr/>
      <w:spacing w:after="120" w:before="0" w:line="480" w:lineRule="auto"/>
      <w:ind w:firstLine="0" w:left="283"/>
    </w:pPr>
  </w:style>
  <w:style w:type="paragraph" w:styleId="1112">
    <w:name w:val="Body Text 3"/>
    <w:basedOn w:val="1028"/>
    <w:qFormat/>
    <w:pPr>
      <w:pBdr/>
      <w:spacing w:after="120" w:before="0"/>
      <w:ind/>
    </w:pPr>
    <w:rPr>
      <w:sz w:val="16"/>
      <w:szCs w:val="16"/>
    </w:rPr>
  </w:style>
  <w:style w:type="paragraph" w:styleId="1113">
    <w:name w:val="Body Text Indent 3"/>
    <w:basedOn w:val="1028"/>
    <w:link w:val="1084"/>
    <w:qFormat/>
    <w:pPr>
      <w:pBdr/>
      <w:spacing w:after="120" w:before="0"/>
      <w:ind w:firstLine="0" w:left="283"/>
    </w:pPr>
    <w:rPr>
      <w:sz w:val="16"/>
      <w:szCs w:val="16"/>
    </w:rPr>
  </w:style>
  <w:style w:type="paragraph" w:styleId="1114">
    <w:name w:val="Body Text 2"/>
    <w:basedOn w:val="1028"/>
    <w:qFormat/>
    <w:pPr>
      <w:pBdr/>
      <w:spacing w:after="120" w:before="0" w:line="480" w:lineRule="auto"/>
      <w:ind/>
    </w:pPr>
  </w:style>
  <w:style w:type="paragraph" w:styleId="1115">
    <w:name w:val="Block Text"/>
    <w:basedOn w:val="1028"/>
    <w:qFormat/>
    <w:pPr>
      <w:pBdr/>
      <w:spacing/>
      <w:ind w:right="-766" w:firstLine="0" w:left="-567"/>
      <w:jc w:val="center"/>
    </w:pPr>
    <w:rPr>
      <w:b/>
      <w:bCs/>
      <w:sz w:val="24"/>
      <w:szCs w:val="20"/>
    </w:rPr>
  </w:style>
  <w:style w:type="paragraph" w:styleId="1116" w:customStyle="1">
    <w:name w:val="Подпункт"/>
    <w:basedOn w:val="1028"/>
    <w:link w:val="1066"/>
    <w:qFormat/>
    <w:pPr>
      <w:pBdr/>
      <w:tabs>
        <w:tab w:val="clear" w:leader="none" w:pos="708"/>
        <w:tab w:val="left" w:leader="none" w:pos="1134"/>
      </w:tabs>
      <w:spacing w:line="360" w:lineRule="auto"/>
      <w:ind w:hanging="1134" w:left="1134"/>
      <w:jc w:val="both"/>
    </w:pPr>
    <w:rPr>
      <w:szCs w:val="20"/>
    </w:rPr>
  </w:style>
  <w:style w:type="paragraph" w:styleId="1117" w:customStyle="1">
    <w:name w:val="Пункт2"/>
    <w:basedOn w:val="1028"/>
    <w:link w:val="1080"/>
    <w:qFormat/>
    <w:pPr>
      <w:keepNext w:val="true"/>
      <w:pBdr/>
      <w:tabs>
        <w:tab w:val="clear" w:leader="none" w:pos="708"/>
        <w:tab w:val="left" w:leader="none" w:pos="1134"/>
      </w:tabs>
      <w:spacing w:after="120" w:before="240"/>
      <w:ind w:hanging="1134" w:left="1134"/>
      <w:outlineLvl w:val="2"/>
    </w:pPr>
    <w:rPr>
      <w:b/>
      <w:szCs w:val="20"/>
    </w:rPr>
  </w:style>
  <w:style w:type="paragraph" w:styleId="1118">
    <w:name w:val="TOC 1"/>
    <w:basedOn w:val="1028"/>
    <w:next w:val="1028"/>
    <w:uiPriority w:val="39"/>
    <w:pPr>
      <w:pBdr/>
      <w:spacing w:after="0" w:before="120"/>
      <w:ind/>
    </w:pPr>
    <w:rPr>
      <w:rFonts w:cs="Calibri Light (Заголовки)"/>
      <w:b/>
      <w:bCs/>
      <w:sz w:val="24"/>
      <w:szCs w:val="24"/>
    </w:rPr>
  </w:style>
  <w:style w:type="paragraph" w:styleId="1119">
    <w:name w:val="TOC 3"/>
    <w:basedOn w:val="1028"/>
    <w:next w:val="1028"/>
    <w:uiPriority w:val="39"/>
    <w:pPr>
      <w:pBdr/>
      <w:tabs>
        <w:tab w:val="clear" w:leader="none" w:pos="708"/>
        <w:tab w:val="left" w:leader="none" w:pos="1120"/>
        <w:tab w:val="right" w:leader="dot" w:pos="9911"/>
      </w:tabs>
      <w:spacing/>
      <w:ind w:firstLine="287" w:left="280"/>
    </w:pPr>
    <w:rPr>
      <w:rFonts w:cs="Calibri" w:cstheme="minorHAnsi"/>
      <w:sz w:val="20"/>
      <w:szCs w:val="20"/>
    </w:rPr>
  </w:style>
  <w:style w:type="paragraph" w:styleId="1120" w:customStyle="1">
    <w:name w:val="Раздел регламента"/>
    <w:basedOn w:val="1028"/>
    <w:qFormat/>
    <w:pPr>
      <w:pBdr/>
      <w:spacing/>
      <w:ind/>
    </w:pPr>
  </w:style>
  <w:style w:type="paragraph" w:styleId="1121" w:customStyle="1">
    <w:name w:val="Приложение к регламенту"/>
    <w:basedOn w:val="1028"/>
    <w:qFormat/>
    <w:pPr>
      <w:pBdr/>
      <w:spacing/>
      <w:ind/>
      <w:jc w:val="right"/>
    </w:pPr>
  </w:style>
  <w:style w:type="paragraph" w:styleId="1122">
    <w:name w:val="TOC 2"/>
    <w:basedOn w:val="1028"/>
    <w:next w:val="1028"/>
    <w:uiPriority w:val="39"/>
    <w:pPr>
      <w:pBdr/>
      <w:spacing w:after="0" w:before="240"/>
      <w:ind/>
    </w:pPr>
    <w:rPr>
      <w:rFonts w:cs="Calibri" w:cstheme="minorHAnsi"/>
      <w:bCs/>
      <w:sz w:val="20"/>
      <w:szCs w:val="20"/>
    </w:rPr>
  </w:style>
  <w:style w:type="paragraph" w:styleId="1123">
    <w:name w:val="Balloon Text"/>
    <w:basedOn w:val="1028"/>
    <w:semiHidden/>
    <w:qFormat/>
    <w:pPr>
      <w:pBdr/>
      <w:spacing/>
      <w:ind/>
    </w:pPr>
    <w:rPr>
      <w:rFonts w:ascii="Tahoma" w:hAnsi="Tahoma" w:cs="Tahoma"/>
      <w:sz w:val="16"/>
      <w:szCs w:val="16"/>
    </w:rPr>
  </w:style>
  <w:style w:type="paragraph" w:styleId="1124">
    <w:name w:val="annotation text"/>
    <w:basedOn w:val="1028"/>
    <w:link w:val="1075"/>
    <w:semiHidden/>
    <w:qFormat/>
    <w:pPr>
      <w:pBdr/>
      <w:spacing/>
      <w:ind/>
    </w:pPr>
    <w:rPr>
      <w:sz w:val="20"/>
      <w:szCs w:val="20"/>
    </w:rPr>
  </w:style>
  <w:style w:type="paragraph" w:styleId="1125">
    <w:name w:val="annotation subject"/>
    <w:basedOn w:val="1124"/>
    <w:next w:val="1124"/>
    <w:semiHidden/>
    <w:qFormat/>
    <w:pPr>
      <w:pBdr/>
      <w:spacing/>
      <w:ind/>
    </w:pPr>
    <w:rPr>
      <w:b/>
      <w:bCs/>
    </w:rPr>
  </w:style>
  <w:style w:type="paragraph" w:styleId="1126" w:customStyle="1">
    <w:name w:val="Обычный (веб)1"/>
    <w:basedOn w:val="1028"/>
    <w:uiPriority w:val="99"/>
    <w:qFormat/>
    <w:pPr>
      <w:pBdr/>
      <w:spacing w:afterAutospacing="1" w:beforeAutospacing="1"/>
      <w:ind/>
    </w:pPr>
    <w:rPr>
      <w:rFonts w:ascii="Arial Unicode MS" w:hAnsi="Arial Unicode MS" w:eastAsia="Arial Unicode MS" w:cs="Arial Unicode MS"/>
      <w:sz w:val="24"/>
      <w:szCs w:val="24"/>
    </w:rPr>
  </w:style>
  <w:style w:type="paragraph" w:styleId="1127">
    <w:name w:val="TOC 9"/>
    <w:basedOn w:val="1028"/>
    <w:next w:val="1028"/>
    <w:semiHidden/>
    <w:pPr>
      <w:pBdr/>
      <w:spacing/>
      <w:ind w:firstLine="0" w:left="196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128">
    <w:name w:val="TOC 5"/>
    <w:basedOn w:val="1028"/>
    <w:next w:val="1028"/>
    <w:semiHidden/>
    <w:pPr>
      <w:pBdr/>
      <w:spacing/>
      <w:ind w:firstLine="0" w:left="84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129">
    <w:name w:val="TOC 4"/>
    <w:basedOn w:val="1028"/>
    <w:next w:val="1028"/>
    <w:uiPriority w:val="39"/>
    <w:pPr>
      <w:pBdr/>
      <w:tabs>
        <w:tab w:val="clear" w:leader="none" w:pos="708"/>
        <w:tab w:val="left" w:leader="none" w:pos="1120"/>
        <w:tab w:val="right" w:leader="none" w:pos="9911"/>
      </w:tabs>
      <w:spacing/>
      <w:ind w:firstLine="0" w:left="560"/>
    </w:pPr>
    <w:rPr>
      <w:rFonts w:cs="Calibri" w:cstheme="minorHAnsi"/>
      <w:sz w:val="20"/>
      <w:szCs w:val="20"/>
    </w:rPr>
  </w:style>
  <w:style w:type="paragraph" w:styleId="1130" w:customStyle="1">
    <w:name w:val="Раздел положения 2"/>
    <w:basedOn w:val="1028"/>
    <w:qFormat/>
    <w:pPr>
      <w:pageBreakBefore w:val="true"/>
      <w:pBdr/>
      <w:spacing/>
      <w:ind/>
      <w:jc w:val="both"/>
      <w:outlineLvl w:val="0"/>
    </w:pPr>
    <w:rPr>
      <w:b/>
    </w:rPr>
  </w:style>
  <w:style w:type="paragraph" w:styleId="1131" w:customStyle="1">
    <w:name w:val="Знак Знак Знак Знак Знак Знак Знак Знак Знак"/>
    <w:basedOn w:val="1028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132">
    <w:name w:val="No Spacing"/>
    <w:basedOn w:val="1028"/>
    <w:uiPriority w:val="1"/>
    <w:qFormat/>
    <w:pPr>
      <w:pBdr/>
      <w:spacing w:line="360" w:lineRule="auto"/>
      <w:ind/>
    </w:pPr>
    <w:rPr>
      <w:rFonts w:eastAsia="Calibri"/>
      <w:sz w:val="24"/>
      <w:szCs w:val="24"/>
    </w:rPr>
  </w:style>
  <w:style w:type="paragraph" w:styleId="1133">
    <w:name w:val="Subtitle"/>
    <w:basedOn w:val="1028"/>
    <w:next w:val="1028"/>
    <w:link w:val="1056"/>
    <w:uiPriority w:val="11"/>
    <w:qFormat/>
    <w:pPr>
      <w:pBdr/>
      <w:spacing/>
      <w:ind w:firstLine="709" w:left="1066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1134">
    <w:name w:val="List Paragraph"/>
    <w:basedOn w:val="1028"/>
    <w:link w:val="1070"/>
    <w:uiPriority w:val="34"/>
    <w:qFormat/>
    <w:pPr>
      <w:pBdr/>
      <w:spacing w:after="0" w:before="0"/>
      <w:ind w:firstLine="0" w:left="720"/>
      <w:contextualSpacing w:val="true"/>
    </w:pPr>
    <w:rPr>
      <w:rFonts w:eastAsia="Calibri"/>
      <w:sz w:val="24"/>
      <w:szCs w:val="24"/>
    </w:rPr>
  </w:style>
  <w:style w:type="paragraph" w:styleId="1135">
    <w:name w:val="Quote"/>
    <w:basedOn w:val="1028"/>
    <w:next w:val="1028"/>
    <w:link w:val="1058"/>
    <w:uiPriority w:val="29"/>
    <w:qFormat/>
    <w:pPr>
      <w:pBdr/>
      <w:spacing/>
      <w:ind/>
    </w:pPr>
    <w:rPr>
      <w:rFonts w:ascii="Calibri" w:hAnsi="Calibri" w:eastAsia="Calibri"/>
      <w:i/>
      <w:iCs/>
      <w:color w:val="000000"/>
      <w:sz w:val="20"/>
      <w:szCs w:val="20"/>
    </w:rPr>
  </w:style>
  <w:style w:type="paragraph" w:styleId="1136">
    <w:name w:val="Intense Quote"/>
    <w:basedOn w:val="1028"/>
    <w:next w:val="1028"/>
    <w:link w:val="1059"/>
    <w:uiPriority w:val="30"/>
    <w:qFormat/>
    <w:pPr>
      <w:pBdr>
        <w:bottom w:val="single" w:color="4f81bd" w:sz="4" w:space="4"/>
      </w:pBdr>
      <w:spacing w:after="280" w:before="200"/>
      <w:ind w:right="936" w:firstLine="0" w:left="936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1137">
    <w:name w:val="Index Heading"/>
    <w:basedOn w:val="1087"/>
    <w:pPr>
      <w:pBdr/>
      <w:spacing/>
      <w:ind/>
    </w:pPr>
  </w:style>
  <w:style w:type="paragraph" w:styleId="1138">
    <w:name w:val="TOC Heading"/>
    <w:basedOn w:val="1029"/>
    <w:next w:val="1028"/>
    <w:uiPriority w:val="39"/>
    <w:qFormat/>
    <w:pPr>
      <w:keepLines w:val="true"/>
      <w:pBdr/>
      <w:spacing w:after="0" w:before="480"/>
      <w:ind/>
      <w:outlineLvl w:val="9"/>
    </w:pPr>
    <w:rPr>
      <w:rFonts w:ascii="Cambria" w:hAnsi="Cambria"/>
      <w:bCs/>
      <w:color w:val="365f91"/>
    </w:rPr>
  </w:style>
  <w:style w:type="paragraph" w:styleId="1139">
    <w:name w:val="E-mail Signature"/>
    <w:basedOn w:val="1028"/>
    <w:link w:val="1065"/>
    <w:uiPriority w:val="99"/>
    <w:unhideWhenUsed/>
    <w:qFormat/>
    <w:pPr>
      <w:pBdr/>
      <w:spacing/>
      <w:ind/>
    </w:pPr>
    <w:rPr>
      <w:rFonts w:eastAsia="Calibri"/>
      <w:sz w:val="24"/>
      <w:szCs w:val="24"/>
    </w:rPr>
  </w:style>
  <w:style w:type="paragraph" w:styleId="1140" w:customStyle="1">
    <w:name w:val="Знак"/>
    <w:basedOn w:val="1028"/>
    <w:qFormat/>
    <w:pPr>
      <w:pBdr/>
      <w:spacing w:after="160" w:before="0" w:line="240" w:lineRule="exact"/>
      <w:ind/>
    </w:pPr>
    <w:rPr>
      <w:rFonts w:ascii="Verdana" w:hAnsi="Verdana" w:cs="Verdana"/>
      <w:sz w:val="20"/>
      <w:szCs w:val="20"/>
      <w:lang w:val="en-US" w:eastAsia="en-US"/>
    </w:rPr>
  </w:style>
  <w:style w:type="paragraph" w:styleId="1141" w:customStyle="1">
    <w:name w:val="Нумерованный список ур3"/>
    <w:basedOn w:val="1028"/>
    <w:qFormat/>
    <w:pPr>
      <w:pBdr/>
      <w:tabs>
        <w:tab w:val="clear" w:leader="none" w:pos="708"/>
        <w:tab w:val="left" w:leader="none" w:pos="1233"/>
      </w:tabs>
      <w:spacing/>
      <w:ind w:hanging="360" w:left="1233"/>
      <w:jc w:val="both"/>
    </w:pPr>
    <w:rPr>
      <w:rFonts w:ascii="Garamond" w:hAnsi="Garamond"/>
      <w:sz w:val="24"/>
      <w:szCs w:val="20"/>
    </w:rPr>
  </w:style>
  <w:style w:type="paragraph" w:styleId="1142" w:customStyle="1">
    <w:name w:val="Маркированный список 41"/>
    <w:basedOn w:val="1028"/>
    <w:qFormat/>
    <w:pPr>
      <w:pBdr/>
      <w:tabs>
        <w:tab w:val="left" w:leader="none" w:pos="0"/>
        <w:tab w:val="clear" w:leader="none" w:pos="708"/>
      </w:tabs>
      <w:spacing w:after="0" w:before="120"/>
      <w:ind w:hanging="360" w:left="-207"/>
      <w:jc w:val="both"/>
    </w:pPr>
    <w:rPr>
      <w:rFonts w:ascii="Garamond" w:hAnsi="Garamond"/>
      <w:sz w:val="24"/>
      <w:szCs w:val="20"/>
    </w:rPr>
  </w:style>
  <w:style w:type="paragraph" w:styleId="1143" w:customStyle="1">
    <w:name w:val="Нумерованный список ур2"/>
    <w:basedOn w:val="1028"/>
    <w:qFormat/>
    <w:pPr>
      <w:pBdr/>
      <w:tabs>
        <w:tab w:val="left" w:leader="none" w:pos="513"/>
        <w:tab w:val="clear" w:leader="none" w:pos="708"/>
      </w:tabs>
      <w:spacing w:after="0" w:before="120"/>
      <w:ind w:hanging="360" w:left="513"/>
      <w:jc w:val="both"/>
    </w:pPr>
    <w:rPr>
      <w:rFonts w:ascii="Garamond" w:hAnsi="Garamond"/>
      <w:sz w:val="24"/>
      <w:szCs w:val="20"/>
    </w:rPr>
  </w:style>
  <w:style w:type="paragraph" w:styleId="1144">
    <w:name w:val="Revision"/>
    <w:uiPriority w:val="99"/>
    <w:semiHidden/>
    <w:qFormat/>
    <w:pPr>
      <w:widowControl w:val="true"/>
      <w:pBdr/>
      <w:bidi w:val="false"/>
      <w:spacing w:after="0" w:before="0"/>
      <w:ind/>
      <w:jc w:val="left"/>
    </w:pPr>
    <w:rPr>
      <w:rFonts w:ascii="Times New Roman" w:hAnsi="Times New Roman" w:eastAsia="Calibri" w:cs="Times New Roman"/>
      <w:color w:val="auto"/>
      <w:sz w:val="24"/>
      <w:szCs w:val="24"/>
      <w:lang w:val="ru-RU" w:eastAsia="ru-RU" w:bidi="ar-SA"/>
    </w:rPr>
  </w:style>
  <w:style w:type="paragraph" w:styleId="1145" w:customStyle="1">
    <w:name w:val="ConsPlusNormal"/>
    <w:qFormat/>
    <w:pPr>
      <w:widowControl w:val="false"/>
      <w:pBdr/>
      <w:bidi w:val="false"/>
      <w:spacing w:after="0" w:before="0"/>
      <w:ind w:firstLine="720"/>
      <w:jc w:val="left"/>
    </w:pPr>
    <w:rPr>
      <w:rFonts w:ascii="Arial" w:hAnsi="Arial" w:eastAsia="Times New Roman" w:cs="Arial"/>
      <w:color w:val="auto"/>
      <w:sz w:val="20"/>
      <w:szCs w:val="20"/>
      <w:lang w:val="ru-RU" w:eastAsia="ru-RU" w:bidi="ar-SA"/>
    </w:rPr>
  </w:style>
  <w:style w:type="paragraph" w:styleId="1146" w:customStyle="1">
    <w:name w:val="Знак Знак3 Знак Знак"/>
    <w:basedOn w:val="1028"/>
    <w:qFormat/>
    <w:pPr>
      <w:pBdr/>
      <w:spacing w:after="160" w:before="0" w:line="240" w:lineRule="exact"/>
      <w:ind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1147" w:customStyle="1">
    <w:name w:val="Пункт"/>
    <w:basedOn w:val="1028"/>
    <w:qFormat/>
    <w:pPr>
      <w:widowControl w:val="false"/>
      <w:pBdr/>
      <w:tabs>
        <w:tab w:val="clear" w:leader="none" w:pos="708"/>
        <w:tab w:val="left" w:leader="none" w:pos="1134"/>
      </w:tabs>
      <w:spacing w:after="0" w:before="120" w:line="360" w:lineRule="auto"/>
      <w:ind w:right="800" w:hanging="1134" w:left="1134"/>
      <w:jc w:val="both"/>
    </w:pPr>
    <w:rPr>
      <w:rFonts w:ascii="Arial" w:hAnsi="Arial"/>
      <w:b/>
      <w:i/>
      <w:szCs w:val="20"/>
    </w:rPr>
  </w:style>
  <w:style w:type="paragraph" w:styleId="1148" w:customStyle="1">
    <w:name w:val="Абзац списка1"/>
    <w:basedOn w:val="1028"/>
    <w:qFormat/>
    <w:pPr>
      <w:pBdr/>
      <w:spacing w:after="200" w:before="0" w:line="276" w:lineRule="auto"/>
      <w:ind w:firstLine="0" w:left="720"/>
      <w:contextualSpacing w:val="true"/>
    </w:pPr>
    <w:rPr>
      <w:rFonts w:ascii="Calibri" w:hAnsi="Calibri"/>
      <w:sz w:val="22"/>
      <w:szCs w:val="22"/>
      <w:lang w:eastAsia="en-US"/>
    </w:rPr>
  </w:style>
  <w:style w:type="paragraph" w:styleId="1149" w:customStyle="1">
    <w:name w:val="Таблица"/>
    <w:basedOn w:val="1028"/>
    <w:qFormat/>
    <w:pPr>
      <w:keepNext w:val="true"/>
      <w:pBdr/>
      <w:spacing w:after="60" w:before="60"/>
      <w:ind/>
      <w:jc w:val="center"/>
    </w:pPr>
    <w:rPr>
      <w:rFonts w:eastAsia="Calibri"/>
      <w:b/>
      <w:sz w:val="24"/>
      <w:szCs w:val="24"/>
    </w:rPr>
  </w:style>
  <w:style w:type="paragraph" w:styleId="1150" w:customStyle="1">
    <w:name w:val="Таблица шапка"/>
    <w:basedOn w:val="1028"/>
    <w:qFormat/>
    <w:pPr>
      <w:keepNext w:val="true"/>
      <w:pBdr/>
      <w:spacing w:after="40" w:before="40"/>
      <w:ind w:right="57" w:firstLine="0" w:left="57"/>
    </w:pPr>
    <w:rPr>
      <w:sz w:val="22"/>
      <w:szCs w:val="26"/>
    </w:rPr>
  </w:style>
  <w:style w:type="paragraph" w:styleId="1151" w:customStyle="1">
    <w:name w:val="Подподпункт"/>
    <w:basedOn w:val="1116"/>
    <w:link w:val="1072"/>
    <w:qFormat/>
    <w:pPr>
      <w:pBdr/>
      <w:tabs>
        <w:tab w:val="clear" w:leader="none" w:pos="1134"/>
        <w:tab w:val="left" w:leader="none" w:pos="5104"/>
      </w:tabs>
      <w:spacing w:after="0" w:before="120" w:line="240" w:lineRule="auto"/>
      <w:ind w:hanging="567" w:left="5104"/>
    </w:pPr>
    <w:rPr>
      <w:sz w:val="26"/>
      <w:szCs w:val="26"/>
      <w:lang w:val="ru-RU" w:eastAsia="ru-RU"/>
    </w:rPr>
  </w:style>
  <w:style w:type="paragraph" w:styleId="1152" w:customStyle="1">
    <w:name w:val="УРОВЕНЬ_(а)"/>
    <w:basedOn w:val="1134"/>
    <w:qFormat/>
    <w:pPr>
      <w:pBdr/>
      <w:tabs>
        <w:tab w:val="left" w:leader="none" w:pos="0"/>
        <w:tab w:val="clear" w:leader="none" w:pos="708"/>
      </w:tabs>
      <w:spacing w:after="0" w:before="120" w:line="360" w:lineRule="exact"/>
      <w:ind w:hanging="567" w:left="1985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1153" w:customStyle="1">
    <w:name w:val="УРОВЕНЬ_-"/>
    <w:basedOn w:val="1134"/>
    <w:qFormat/>
    <w:pPr>
      <w:pBdr/>
      <w:tabs>
        <w:tab w:val="left" w:leader="none" w:pos="0"/>
        <w:tab w:val="clear" w:leader="none" w:pos="708"/>
      </w:tabs>
      <w:spacing w:after="0" w:before="120" w:line="360" w:lineRule="exact"/>
      <w:ind w:hanging="567" w:left="2268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1154" w:customStyle="1">
    <w:name w:val="УРОВЕНЬ_Абзац_тип2"/>
    <w:basedOn w:val="1134"/>
    <w:qFormat/>
    <w:pPr>
      <w:pBdr/>
      <w:tabs>
        <w:tab w:val="left" w:leader="none" w:pos="0"/>
        <w:tab w:val="clear" w:leader="none" w:pos="708"/>
      </w:tabs>
      <w:spacing w:after="0" w:before="120" w:line="360" w:lineRule="exact"/>
      <w:ind w:firstLine="0" w:left="1701"/>
      <w:contextualSpacing w:val="false"/>
      <w:jc w:val="both"/>
    </w:pPr>
    <w:rPr>
      <w:sz w:val="26"/>
      <w:szCs w:val="28"/>
      <w:lang w:eastAsia="en-US"/>
    </w:rPr>
  </w:style>
  <w:style w:type="paragraph" w:styleId="1155" w:customStyle="1">
    <w:name w:val="УРОВЕНЬ_Абзац_тип3"/>
    <w:basedOn w:val="1134"/>
    <w:link w:val="1073"/>
    <w:qFormat/>
    <w:pPr>
      <w:pBdr/>
      <w:tabs>
        <w:tab w:val="left" w:leader="none" w:pos="0"/>
        <w:tab w:val="clear" w:leader="none" w:pos="708"/>
      </w:tabs>
      <w:spacing w:after="0" w:before="120" w:line="360" w:lineRule="exact"/>
      <w:ind w:firstLine="0" w:left="0"/>
      <w:contextualSpacing w:val="false"/>
      <w:jc w:val="both"/>
    </w:pPr>
    <w:rPr>
      <w:sz w:val="26"/>
      <w:szCs w:val="28"/>
      <w:lang w:eastAsia="en-US"/>
    </w:rPr>
  </w:style>
  <w:style w:type="paragraph" w:styleId="1156" w:customStyle="1">
    <w:name w:val="УРОВЕНЬ_Подпись"/>
    <w:basedOn w:val="1134"/>
    <w:qFormat/>
    <w:pPr>
      <w:keepNext w:val="true"/>
      <w:pBdr/>
      <w:tabs>
        <w:tab w:val="left" w:leader="none" w:pos="0"/>
        <w:tab w:val="clear" w:leader="none" w:pos="708"/>
      </w:tabs>
      <w:spacing w:after="120" w:before="120" w:line="360" w:lineRule="exact"/>
      <w:ind w:firstLine="0" w:left="1134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157" w:customStyle="1">
    <w:name w:val="Стиль Заголовок 1 + по ширине"/>
    <w:basedOn w:val="1029"/>
    <w:qFormat/>
    <w:pPr>
      <w:keepLines w:val="true"/>
      <w:pBdr/>
      <w:tabs>
        <w:tab w:val="left" w:leader="none" w:pos="567"/>
        <w:tab w:val="left" w:leader="none" w:pos="709"/>
      </w:tabs>
      <w:spacing w:after="240" w:before="480"/>
      <w:ind w:hanging="567" w:left="567"/>
    </w:pPr>
    <w:rPr>
      <w:rFonts w:ascii="Arial" w:hAnsi="Arial" w:eastAsia="Times New Roman"/>
      <w:bCs/>
      <w:sz w:val="40"/>
      <w:szCs w:val="20"/>
      <w:lang w:val="ru-RU" w:eastAsia="ru-RU"/>
    </w:rPr>
  </w:style>
  <w:style w:type="paragraph" w:styleId="1158">
    <w:name w:val="endnote text"/>
    <w:basedOn w:val="1028"/>
    <w:link w:val="1076"/>
    <w:pPr>
      <w:pBdr/>
      <w:spacing/>
      <w:ind/>
    </w:pPr>
    <w:rPr>
      <w:sz w:val="20"/>
      <w:szCs w:val="20"/>
    </w:rPr>
  </w:style>
  <w:style w:type="paragraph" w:styleId="1159" w:customStyle="1">
    <w:name w:val="Заголовок 2 КВВ"/>
    <w:basedOn w:val="1028"/>
    <w:qFormat/>
    <w:pPr>
      <w:keepNext w:val="true"/>
      <w:pBdr/>
      <w:tabs>
        <w:tab w:val="left" w:leader="none" w:pos="0"/>
        <w:tab w:val="clear" w:leader="none" w:pos="708"/>
      </w:tabs>
      <w:spacing w:after="120" w:before="120"/>
      <w:ind w:hanging="360" w:left="1429"/>
      <w:jc w:val="both"/>
      <w:outlineLvl w:val="0"/>
    </w:pPr>
    <w:rPr>
      <w:b/>
      <w:sz w:val="24"/>
      <w:szCs w:val="20"/>
    </w:rPr>
  </w:style>
  <w:style w:type="paragraph" w:styleId="1160" w:customStyle="1">
    <w:name w:val="Таблица текст"/>
    <w:basedOn w:val="1028"/>
    <w:qFormat/>
    <w:pPr>
      <w:pBdr/>
      <w:spacing w:after="40" w:before="40"/>
      <w:ind w:right="57" w:firstLine="0" w:left="57"/>
    </w:pPr>
    <w:rPr>
      <w:sz w:val="24"/>
      <w:szCs w:val="26"/>
    </w:rPr>
  </w:style>
  <w:style w:type="paragraph" w:styleId="1161">
    <w:name w:val="Normal (Web)"/>
    <w:basedOn w:val="1028"/>
    <w:uiPriority w:val="99"/>
    <w:unhideWhenUsed/>
    <w:qFormat/>
    <w:pPr>
      <w:pBdr/>
      <w:spacing w:afterAutospacing="1" w:beforeAutospacing="1"/>
      <w:ind/>
    </w:pPr>
    <w:rPr>
      <w:sz w:val="24"/>
      <w:szCs w:val="24"/>
    </w:rPr>
  </w:style>
  <w:style w:type="paragraph" w:styleId="1162" w:customStyle="1">
    <w:name w:val="УРОВЕНЬ_1."/>
    <w:basedOn w:val="1134"/>
    <w:link w:val="1081"/>
    <w:qFormat/>
    <w:pPr>
      <w:keepNext w:val="true"/>
      <w:keepLines w:val="true"/>
      <w:pBdr/>
      <w:spacing w:after="120" w:before="240" w:line="276" w:lineRule="auto"/>
      <w:ind w:firstLine="0" w:left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1163">
    <w:name w:val="TOC 6"/>
    <w:basedOn w:val="1028"/>
    <w:next w:val="1028"/>
    <w:unhideWhenUsed/>
    <w:pPr>
      <w:pBdr/>
      <w:spacing/>
      <w:ind w:firstLine="0" w:left="112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164">
    <w:name w:val="TOC 7"/>
    <w:basedOn w:val="1028"/>
    <w:next w:val="1028"/>
    <w:unhideWhenUsed/>
    <w:pPr>
      <w:pBdr/>
      <w:spacing/>
      <w:ind w:firstLine="0" w:left="140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165">
    <w:name w:val="TOC 8"/>
    <w:basedOn w:val="1028"/>
    <w:next w:val="1028"/>
    <w:unhideWhenUsed/>
    <w:pPr>
      <w:pBdr/>
      <w:spacing/>
      <w:ind w:firstLine="0" w:left="1680"/>
    </w:pPr>
    <w:rPr>
      <w:rFonts w:ascii="Calibri" w:hAnsi="Calibri" w:cs="Calibri" w:asciiTheme="minorHAnsi" w:hAnsiTheme="minorHAnsi" w:cstheme="minorHAnsi"/>
      <w:sz w:val="20"/>
      <w:szCs w:val="20"/>
    </w:rPr>
  </w:style>
  <w:style w:type="paragraph" w:styleId="1166" w:customStyle="1">
    <w:name w:val="font5"/>
    <w:basedOn w:val="1028"/>
    <w:qFormat/>
    <w:pPr>
      <w:pBdr/>
      <w:spacing w:afterAutospacing="1" w:beforeAutospacing="1"/>
      <w:ind/>
    </w:pPr>
    <w:rPr>
      <w:b/>
      <w:bCs/>
      <w:color w:val="000000"/>
      <w:sz w:val="22"/>
      <w:szCs w:val="22"/>
    </w:rPr>
  </w:style>
  <w:style w:type="paragraph" w:styleId="1167" w:customStyle="1">
    <w:name w:val="xl2073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68" w:customStyle="1">
    <w:name w:val="xl2074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69" w:customStyle="1">
    <w:name w:val="xl2075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70" w:customStyle="1">
    <w:name w:val="xl2076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71" w:customStyle="1">
    <w:name w:val="xl2077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72" w:customStyle="1">
    <w:name w:val="xl2078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sz w:val="20"/>
      <w:szCs w:val="20"/>
    </w:rPr>
  </w:style>
  <w:style w:type="paragraph" w:styleId="1173" w:customStyle="1">
    <w:name w:val="xl2079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sz w:val="20"/>
      <w:szCs w:val="20"/>
    </w:rPr>
  </w:style>
  <w:style w:type="paragraph" w:styleId="1174" w:customStyle="1">
    <w:name w:val="xl2080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sz w:val="20"/>
      <w:szCs w:val="20"/>
    </w:rPr>
  </w:style>
  <w:style w:type="paragraph" w:styleId="1175" w:customStyle="1">
    <w:name w:val="xl2081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sz w:val="20"/>
      <w:szCs w:val="20"/>
    </w:rPr>
  </w:style>
  <w:style w:type="paragraph" w:styleId="1176" w:customStyle="1">
    <w:name w:val="xl2082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77" w:customStyle="1">
    <w:name w:val="xl2083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sz w:val="20"/>
      <w:szCs w:val="20"/>
    </w:rPr>
  </w:style>
  <w:style w:type="paragraph" w:styleId="1178" w:customStyle="1">
    <w:name w:val="xl2084"/>
    <w:basedOn w:val="1028"/>
    <w:qFormat/>
    <w:pPr>
      <w:pBdr>
        <w:bottom w:val="single" w:color="000000" w:sz="4" w:space="0"/>
      </w:pBdr>
      <w:spacing w:afterAutospacing="1" w:beforeAutospacing="1"/>
      <w:ind/>
      <w:jc w:val="center"/>
    </w:pPr>
    <w:rPr>
      <w:b/>
      <w:bCs/>
      <w:sz w:val="24"/>
      <w:szCs w:val="24"/>
    </w:rPr>
  </w:style>
  <w:style w:type="paragraph" w:styleId="1179" w:customStyle="1">
    <w:name w:val="xl2085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sz w:val="24"/>
      <w:szCs w:val="24"/>
    </w:rPr>
  </w:style>
  <w:style w:type="paragraph" w:styleId="1180" w:customStyle="1">
    <w:name w:val="xl2086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color w:val="000000"/>
      <w:sz w:val="24"/>
      <w:szCs w:val="24"/>
    </w:rPr>
  </w:style>
  <w:style w:type="paragraph" w:styleId="1181" w:customStyle="1">
    <w:name w:val="xl2087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color w:val="000000"/>
      <w:sz w:val="24"/>
      <w:szCs w:val="24"/>
    </w:rPr>
  </w:style>
  <w:style w:type="paragraph" w:styleId="1182" w:customStyle="1">
    <w:name w:val="xl2088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sz w:val="24"/>
      <w:szCs w:val="24"/>
    </w:rPr>
  </w:style>
  <w:style w:type="paragraph" w:styleId="1183" w:customStyle="1">
    <w:name w:val="xl2089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84" w:customStyle="1">
    <w:name w:val="xl2090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85" w:customStyle="1">
    <w:name w:val="xl2091"/>
    <w:basedOn w:val="1028"/>
    <w:qFormat/>
    <w:pPr>
      <w:pBdr>
        <w:top w:val="single" w:color="993300" w:sz="4" w:space="0"/>
        <w:left w:val="single" w:color="993300" w:sz="4" w:space="0"/>
        <w:bottom w:val="single" w:color="993300" w:sz="4" w:space="0"/>
        <w:right w:val="single" w:color="993300" w:sz="4" w:space="0"/>
      </w:pBdr>
      <w:shd w:val="clear" w:color="000000" w:fill="ffffff"/>
      <w:spacing w:afterAutospacing="1" w:beforeAutospacing="1"/>
      <w:ind/>
      <w:jc w:val="center"/>
    </w:pPr>
    <w:rPr>
      <w:color w:val="000000"/>
      <w:sz w:val="20"/>
      <w:szCs w:val="20"/>
    </w:rPr>
  </w:style>
  <w:style w:type="paragraph" w:styleId="1186" w:customStyle="1">
    <w:name w:val="xl2092"/>
    <w:basedOn w:val="1028"/>
    <w:qFormat/>
    <w:pPr>
      <w:pBdr/>
      <w:spacing w:afterAutospacing="1" w:beforeAutospacing="1"/>
      <w:ind/>
      <w:jc w:val="center"/>
    </w:pPr>
    <w:rPr>
      <w:b/>
      <w:bCs/>
      <w:sz w:val="24"/>
      <w:szCs w:val="24"/>
    </w:rPr>
  </w:style>
  <w:style w:type="paragraph" w:styleId="1187" w:customStyle="1">
    <w:name w:val="xl94"/>
    <w:basedOn w:val="1028"/>
    <w:qFormat/>
    <w:pPr>
      <w:pBdr>
        <w:left w:val="single" w:color="000000" w:sz="8" w:space="0"/>
        <w:bottom w:val="single" w:color="000000" w:sz="8" w:space="0"/>
        <w:right w:val="single" w:color="000000" w:sz="8" w:space="0"/>
      </w:pBdr>
      <w:spacing w:afterAutospacing="1" w:beforeAutospacing="1"/>
      <w:ind/>
    </w:pPr>
    <w:rPr>
      <w:sz w:val="24"/>
      <w:szCs w:val="24"/>
    </w:rPr>
  </w:style>
  <w:style w:type="paragraph" w:styleId="1188" w:customStyle="1">
    <w:name w:val="Содержимое врезки"/>
    <w:basedOn w:val="1028"/>
    <w:qFormat/>
    <w:pPr>
      <w:pBdr/>
      <w:spacing/>
      <w:ind/>
    </w:pPr>
  </w:style>
  <w:style w:type="paragraph" w:styleId="1189" w:customStyle="1">
    <w:name w:val="Содержимое таблицы"/>
    <w:basedOn w:val="1028"/>
    <w:qFormat/>
    <w:pPr>
      <w:widowControl w:val="false"/>
      <w:suppressLineNumbers w:val="true"/>
      <w:pBdr/>
      <w:spacing/>
      <w:ind/>
    </w:pPr>
  </w:style>
  <w:style w:type="paragraph" w:styleId="1190" w:customStyle="1">
    <w:name w:val="Заголовок таблицы"/>
    <w:basedOn w:val="1189"/>
    <w:qFormat/>
    <w:pPr>
      <w:pBdr/>
      <w:spacing/>
      <w:ind/>
      <w:jc w:val="center"/>
    </w:pPr>
    <w:rPr>
      <w:b/>
      <w:bCs/>
    </w:rPr>
  </w:style>
  <w:style w:type="paragraph" w:styleId="1191" w:customStyle="1">
    <w:name w:val="Основной текст 31"/>
    <w:basedOn w:val="1028"/>
    <w:qFormat/>
    <w:pPr>
      <w:pBdr/>
      <w:spacing/>
      <w:ind/>
      <w:jc w:val="both"/>
    </w:pPr>
    <w:rPr>
      <w:sz w:val="20"/>
      <w:szCs w:val="20"/>
      <w:lang w:eastAsia="zh-CN"/>
    </w:rPr>
  </w:style>
  <w:style w:type="paragraph" w:styleId="1192" w:customStyle="1">
    <w:name w:val="Заголовок1"/>
    <w:basedOn w:val="1028"/>
    <w:next w:val="1088"/>
    <w:qFormat/>
    <w:pPr>
      <w:pBdr/>
      <w:spacing/>
      <w:ind/>
      <w:jc w:val="center"/>
    </w:pPr>
    <w:rPr>
      <w:rFonts w:ascii="Arial Narrow" w:hAnsi="Arial Narrow" w:cs="Arial Narrow"/>
      <w:sz w:val="24"/>
      <w:szCs w:val="20"/>
      <w:lang w:eastAsia="zh-CN"/>
    </w:rPr>
  </w:style>
  <w:style w:type="paragraph" w:styleId="1193" w:customStyle="1">
    <w:name w:val="msonormal"/>
    <w:basedOn w:val="1028"/>
    <w:qFormat/>
    <w:pPr>
      <w:pBdr/>
      <w:spacing w:afterAutospacing="1" w:beforeAutospacing="1"/>
      <w:ind/>
    </w:pPr>
    <w:rPr>
      <w:sz w:val="24"/>
      <w:szCs w:val="24"/>
    </w:rPr>
  </w:style>
  <w:style w:type="paragraph" w:styleId="1194" w:customStyle="1">
    <w:name w:val="xl67"/>
    <w:basedOn w:val="1028"/>
    <w:qFormat/>
    <w:pPr>
      <w:pBdr/>
      <w:spacing w:afterAutospacing="1" w:beforeAutospacing="1"/>
      <w:ind/>
      <w:jc w:val="center"/>
    </w:pPr>
    <w:rPr>
      <w:sz w:val="24"/>
      <w:szCs w:val="24"/>
    </w:rPr>
  </w:style>
  <w:style w:type="paragraph" w:styleId="1195" w:customStyle="1">
    <w:name w:val="xl68"/>
    <w:basedOn w:val="1028"/>
    <w:qFormat/>
    <w:pPr>
      <w:pBdr/>
      <w:spacing w:afterAutospacing="1" w:beforeAutospacing="1"/>
      <w:ind/>
      <w:jc w:val="center"/>
    </w:pPr>
    <w:rPr>
      <w:sz w:val="24"/>
      <w:szCs w:val="24"/>
    </w:rPr>
  </w:style>
  <w:style w:type="paragraph" w:styleId="1196" w:customStyle="1">
    <w:name w:val="xl69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197" w:customStyle="1">
    <w:name w:val="xl70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98" w:customStyle="1">
    <w:name w:val="xl71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199" w:customStyle="1">
    <w:name w:val="xl72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00" w:customStyle="1">
    <w:name w:val="xl73"/>
    <w:basedOn w:val="1028"/>
    <w:qFormat/>
    <w:pPr>
      <w:pBdr/>
      <w:spacing w:afterAutospacing="1" w:beforeAutospacing="1"/>
      <w:ind/>
      <w:jc w:val="center"/>
    </w:pPr>
    <w:rPr>
      <w:sz w:val="20"/>
      <w:szCs w:val="20"/>
    </w:rPr>
  </w:style>
  <w:style w:type="paragraph" w:styleId="1201" w:customStyle="1">
    <w:name w:val="xl74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02" w:customStyle="1">
    <w:name w:val="xl75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03" w:customStyle="1">
    <w:name w:val="xl76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04" w:customStyle="1">
    <w:name w:val="xl77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05" w:customStyle="1">
    <w:name w:val="xl78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06" w:customStyle="1">
    <w:name w:val="xl79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</w:pPr>
    <w:rPr>
      <w:sz w:val="24"/>
      <w:szCs w:val="24"/>
    </w:rPr>
  </w:style>
  <w:style w:type="paragraph" w:styleId="1207" w:customStyle="1">
    <w:name w:val="xl80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08" w:customStyle="1">
    <w:name w:val="xl81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09" w:customStyle="1">
    <w:name w:val="xl82"/>
    <w:basedOn w:val="1028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10" w:customStyle="1">
    <w:name w:val="xl83"/>
    <w:basedOn w:val="1028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color w:val="000000"/>
      <w:sz w:val="20"/>
      <w:szCs w:val="20"/>
    </w:rPr>
  </w:style>
  <w:style w:type="paragraph" w:styleId="1211" w:customStyle="1">
    <w:name w:val="xl84"/>
    <w:basedOn w:val="1028"/>
    <w:qFormat/>
    <w:pPr>
      <w:pBdr>
        <w:left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color w:val="000000"/>
      <w:sz w:val="20"/>
      <w:szCs w:val="20"/>
    </w:rPr>
  </w:style>
  <w:style w:type="paragraph" w:styleId="1212" w:customStyle="1">
    <w:name w:val="xl85"/>
    <w:basedOn w:val="1028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color w:val="000000"/>
      <w:sz w:val="20"/>
      <w:szCs w:val="20"/>
    </w:rPr>
  </w:style>
  <w:style w:type="paragraph" w:styleId="1213" w:customStyle="1">
    <w:name w:val="xl86"/>
    <w:basedOn w:val="1028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14" w:customStyle="1">
    <w:name w:val="xl87"/>
    <w:basedOn w:val="1028"/>
    <w:qFormat/>
    <w:pPr>
      <w:pBdr>
        <w:left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sz w:val="20"/>
      <w:szCs w:val="20"/>
    </w:rPr>
  </w:style>
  <w:style w:type="paragraph" w:styleId="1215" w:customStyle="1">
    <w:name w:val="xl88"/>
    <w:basedOn w:val="1028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16" w:customStyle="1">
    <w:name w:val="xl89"/>
    <w:basedOn w:val="1028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17" w:customStyle="1">
    <w:name w:val="xl90"/>
    <w:basedOn w:val="1028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18" w:customStyle="1">
    <w:name w:val="xl91"/>
    <w:basedOn w:val="1028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19" w:customStyle="1">
    <w:name w:val="xl92"/>
    <w:basedOn w:val="1028"/>
    <w:qFormat/>
    <w:pPr>
      <w:pBdr>
        <w:top w:val="single" w:color="000000" w:sz="4" w:space="0"/>
        <w:left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20" w:customStyle="1">
    <w:name w:val="xl93"/>
    <w:basedOn w:val="1028"/>
    <w:qFormat/>
    <w:pPr>
      <w:pBdr>
        <w:left w:val="single" w:color="000000" w:sz="4" w:space="0"/>
        <w:bottom w:val="single" w:color="000000" w:sz="4" w:space="0"/>
        <w:right w:val="single" w:color="000000" w:sz="4" w:space="0"/>
      </w:pBdr>
      <w:shd w:val="clear" w:color="000000" w:fill="ffffff"/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21" w:customStyle="1">
    <w:name w:val="xl95"/>
    <w:basedOn w:val="1028"/>
    <w:qFormat/>
    <w:pPr>
      <w:pBdr>
        <w:top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22" w:customStyle="1">
    <w:name w:val="xl96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23" w:customStyle="1">
    <w:name w:val="xl97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</w:pBdr>
      <w:spacing w:afterAutospacing="1" w:beforeAutospacing="1"/>
      <w:ind/>
      <w:jc w:val="center"/>
    </w:pPr>
    <w:rPr>
      <w:b/>
      <w:bCs/>
      <w:sz w:val="20"/>
      <w:szCs w:val="20"/>
    </w:rPr>
  </w:style>
  <w:style w:type="paragraph" w:styleId="1224" w:customStyle="1">
    <w:name w:val="font6"/>
    <w:basedOn w:val="1028"/>
    <w:qFormat/>
    <w:pPr>
      <w:pBdr/>
      <w:spacing w:afterAutospacing="1" w:beforeAutospacing="1"/>
      <w:ind/>
    </w:pPr>
    <w:rPr>
      <w:color w:val="000000"/>
      <w:sz w:val="26"/>
      <w:szCs w:val="26"/>
    </w:rPr>
  </w:style>
  <w:style w:type="paragraph" w:styleId="1225" w:customStyle="1">
    <w:name w:val="xl63"/>
    <w:basedOn w:val="1028"/>
    <w:qFormat/>
    <w:pPr>
      <w:pBdr/>
      <w:spacing w:afterAutospacing="1" w:beforeAutospacing="1"/>
      <w:ind/>
      <w:jc w:val="center"/>
    </w:pPr>
    <w:rPr>
      <w:sz w:val="26"/>
      <w:szCs w:val="26"/>
    </w:rPr>
  </w:style>
  <w:style w:type="paragraph" w:styleId="1226" w:customStyle="1">
    <w:name w:val="xl64"/>
    <w:basedOn w:val="1028"/>
    <w:qFormat/>
    <w:pPr>
      <w:pBdr/>
      <w:spacing w:afterAutospacing="1" w:beforeAutospacing="1"/>
      <w:ind/>
      <w:jc w:val="center"/>
    </w:pPr>
    <w:rPr>
      <w:sz w:val="26"/>
      <w:szCs w:val="26"/>
    </w:rPr>
  </w:style>
  <w:style w:type="paragraph" w:styleId="1227" w:customStyle="1">
    <w:name w:val="xl65"/>
    <w:basedOn w:val="1028"/>
    <w:qFormat/>
    <w:pPr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afterAutospacing="1" w:beforeAutospacing="1"/>
      <w:ind/>
      <w:jc w:val="center"/>
    </w:pPr>
    <w:rPr>
      <w:b/>
      <w:bCs/>
      <w:sz w:val="26"/>
      <w:szCs w:val="26"/>
    </w:rPr>
  </w:style>
  <w:style w:type="paragraph" w:styleId="1228" w:customStyle="1">
    <w:name w:val="xl66"/>
    <w:basedOn w:val="1028"/>
    <w:qFormat/>
    <w:pPr>
      <w:pBdr/>
      <w:spacing w:afterAutospacing="1" w:beforeAutospacing="1"/>
      <w:ind/>
      <w:jc w:val="center"/>
    </w:pPr>
    <w:rPr>
      <w:sz w:val="26"/>
      <w:szCs w:val="26"/>
    </w:rPr>
  </w:style>
  <w:style w:type="paragraph" w:styleId="1229" w:customStyle="1">
    <w:name w:val="font7"/>
    <w:basedOn w:val="1028"/>
    <w:qFormat/>
    <w:pPr>
      <w:pBdr/>
      <w:spacing w:afterAutospacing="1" w:beforeAutospacing="1"/>
      <w:ind/>
    </w:pPr>
    <w:rPr>
      <w:rFonts w:ascii="Tahoma" w:hAnsi="Tahoma" w:cs="Tahoma"/>
      <w:color w:val="000000"/>
      <w:sz w:val="18"/>
      <w:szCs w:val="18"/>
    </w:rPr>
  </w:style>
  <w:style w:type="paragraph" w:styleId="1230" w:customStyle="1">
    <w:name w:val="font8"/>
    <w:basedOn w:val="1028"/>
    <w:qFormat/>
    <w:pPr>
      <w:pBdr/>
      <w:spacing w:afterAutospacing="1" w:beforeAutospacing="1"/>
      <w:ind/>
    </w:pPr>
    <w:rPr>
      <w:rFonts w:ascii="Tahoma" w:hAnsi="Tahoma" w:cs="Tahoma"/>
      <w:b/>
      <w:bCs/>
      <w:color w:val="000000"/>
      <w:sz w:val="18"/>
      <w:szCs w:val="18"/>
    </w:rPr>
  </w:style>
  <w:style w:type="paragraph" w:styleId="1231" w:customStyle="1">
    <w:name w:val="font9"/>
    <w:basedOn w:val="1028"/>
    <w:qFormat/>
    <w:pPr>
      <w:pBdr/>
      <w:spacing w:afterAutospacing="1" w:beforeAutospacing="1"/>
      <w:ind/>
    </w:pPr>
    <w:rPr>
      <w:rFonts w:ascii="Tahoma" w:hAnsi="Tahoma" w:cs="Tahoma"/>
      <w:color w:val="000000"/>
      <w:sz w:val="18"/>
      <w:szCs w:val="18"/>
    </w:rPr>
  </w:style>
  <w:style w:type="paragraph" w:styleId="1232" w:customStyle="1">
    <w:name w:val="font10"/>
    <w:basedOn w:val="1028"/>
    <w:qFormat/>
    <w:pPr>
      <w:pBdr/>
      <w:spacing w:afterAutospacing="1" w:beforeAutospacing="1"/>
      <w:ind/>
    </w:pPr>
    <w:rPr>
      <w:rFonts w:ascii="Tahoma" w:hAnsi="Tahoma" w:cs="Tahoma"/>
      <w:b/>
      <w:bCs/>
      <w:color w:val="000000"/>
      <w:sz w:val="18"/>
      <w:szCs w:val="18"/>
    </w:rPr>
  </w:style>
  <w:style w:type="numbering" w:styleId="1233" w:default="1">
    <w:name w:val="No List"/>
    <w:uiPriority w:val="99"/>
    <w:semiHidden/>
    <w:unhideWhenUsed/>
    <w:qFormat/>
    <w:pPr>
      <w:pBdr/>
      <w:spacing/>
      <w:ind/>
    </w:pPr>
  </w:style>
  <w:style w:type="numbering" w:styleId="1234" w:customStyle="1">
    <w:name w:val="Стиль1"/>
    <w:uiPriority w:val="99"/>
    <w:qFormat/>
    <w:pPr>
      <w:pBdr/>
      <w:spacing/>
      <w:ind/>
    </w:pPr>
  </w:style>
  <w:style w:type="numbering" w:styleId="1235" w:customStyle="1">
    <w:name w:val="Стиль2"/>
    <w:uiPriority w:val="99"/>
    <w:qFormat/>
    <w:pPr>
      <w:pBdr/>
      <w:spacing/>
      <w:ind/>
    </w:pPr>
  </w:style>
  <w:style w:type="table" w:styleId="1236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7">
    <w:name w:val="Table Grid"/>
    <w:basedOn w:val="1236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8" w:customStyle="1">
    <w:name w:val="Сетка таблицы1"/>
    <w:basedOn w:val="1236"/>
    <w:uiPriority w:val="39"/>
    <w:pPr>
      <w:pBdr/>
      <w:spacing/>
      <w:ind/>
    </w:pPr>
    <w:rPr>
      <w:rFonts w:asciiTheme="minorHAnsi" w:hAnsiTheme="minorHAnsi" w:eastAsiaTheme="minorHAnsi" w:cstheme="minorBidi"/>
      <w:sz w:val="24"/>
      <w:szCs w:val="24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239" w:customStyle="1">
    <w:name w:val="Standard"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  <w:style w:type="paragraph" w:styleId="1240" w:customStyle="1">
    <w:name w:val="Table Contents"/>
    <w:qFormat/>
    <w:pPr>
      <w:keepNext w:val="false"/>
      <w:keepLines w:val="false"/>
      <w:pageBreakBefore w:val="false"/>
      <w:widowControl w:val="fals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/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Liberation Serif" w:hAnsi="Liberation Serif" w:eastAsia="Tahoma" w:cs="Lohit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zh-CN" w:bidi="hi-IN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header" Target="header4.xml" /><Relationship Id="rId13" Type="http://schemas.openxmlformats.org/officeDocument/2006/relationships/header" Target="header5.xm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footer" Target="footer3.xml" /><Relationship Id="rId17" Type="http://schemas.openxmlformats.org/officeDocument/2006/relationships/footer" Target="footer4.xml" /><Relationship Id="rId18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B7D4FC-45E6-4B05-AA59-737C4CF6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ONLYOFFICE/8.1.1.27</Application>
  <Company>Microsoft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dc:language>ru-RU</dc:language>
  <cp:revision>27</cp:revision>
  <dcterms:created xsi:type="dcterms:W3CDTF">2024-09-23T06:53:00Z</dcterms:created>
  <dcterms:modified xsi:type="dcterms:W3CDTF">2026-09-10T08:22:26Z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