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w:drawing>
          <wp:inline distT="0" distB="0" distL="0" distR="0">
            <wp:extent cx="2922905" cy="3121025"/>
            <wp:effectExtent l="0" t="0" r="0" b="0"/>
            <wp:docPr id="1" name="Рисунок 5" descr="Углы бланков филиалов 2025-08-27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Углы бланков филиалов 2025-08-27-7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229235</wp:posOffset>
                </wp:positionH>
                <wp:positionV relativeFrom="paragraph">
                  <wp:posOffset>2699385</wp:posOffset>
                </wp:positionV>
                <wp:extent cx="800100" cy="133350"/>
                <wp:effectExtent l="0" t="0" r="0" b="0"/>
                <wp:wrapNone/>
                <wp:docPr id="2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18.05pt;margin-top:212.5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1296670</wp:posOffset>
                </wp:positionH>
                <wp:positionV relativeFrom="paragraph">
                  <wp:posOffset>2699385</wp:posOffset>
                </wp:positionV>
                <wp:extent cx="927100" cy="133350"/>
                <wp:effectExtent l="0" t="0" r="0" b="0"/>
                <wp:wrapNone/>
                <wp:docPr id="4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02.1pt;margin-top:212.5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375920</wp:posOffset>
                </wp:positionH>
                <wp:positionV relativeFrom="paragraph">
                  <wp:posOffset>2876550</wp:posOffset>
                </wp:positionV>
                <wp:extent cx="647700" cy="133350"/>
                <wp:effectExtent l="0" t="0" r="0" b="0"/>
                <wp:wrapNone/>
                <wp:docPr id="6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lang w:val="en-US"/>
                              </w:rPr>
                              <w:softHyphen/>
                              <w:softHyphen/>
                              <w:softHyphen/>
                              <w:softHyphen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29.6pt;margin-top:226.5pt;width:50.95pt;height:10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000000"/>
                          <w:sz w:val="16"/>
                          <w:lang w:val="en-US"/>
                        </w:rPr>
                        <w:softHyphen/>
                        <w:softHyphen/>
                        <w:softHyphen/>
                        <w:softHyphen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1290955</wp:posOffset>
                </wp:positionH>
                <wp:positionV relativeFrom="paragraph">
                  <wp:posOffset>2876550</wp:posOffset>
                </wp:positionV>
                <wp:extent cx="828040" cy="133350"/>
                <wp:effectExtent l="0" t="0" r="0" b="0"/>
                <wp:wrapNone/>
                <wp:docPr id="8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101.65pt;margin-top:226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ЗАПРОС ТЕХНИКО-КОММЕРЧЕСКОГО ПРЕДЛОЖЕНИЯ 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рамках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упрощенной</w:t>
      </w:r>
      <w:r>
        <w:rPr>
          <w:rFonts w:ascii="Times New Roman" w:hAnsi="Times New Roman"/>
          <w:b/>
          <w:bCs/>
          <w:sz w:val="24"/>
          <w:szCs w:val="24"/>
        </w:rPr>
        <w:t xml:space="preserve"> закупки по лоту № 20-ЭКСП-БПД-2026-ДФ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ОКПД2 71.12.40 Поверка счетчиков АИИС КУЭ Филиала ПАО «РусГидро» - «Дагестанский филиал»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1. Филиал ПАО «РусГидро» - «Дагестанский филиал» (далее – Заказчик) сообщает о проведении анализа технико-коммерческих предложений потенциальных исполнителей в рамках </w:t>
      </w:r>
      <w:r>
        <w:rPr>
          <w:rFonts w:ascii="Times New Roman" w:hAnsi="Times New Roman"/>
          <w:sz w:val="24"/>
          <w:szCs w:val="24"/>
          <w:shd w:fill="auto" w:val="clear"/>
        </w:rPr>
        <w:t>упрощенной</w:t>
      </w:r>
      <w:r>
        <w:rPr>
          <w:rFonts w:ascii="Times New Roman" w:hAnsi="Times New Roman"/>
          <w:sz w:val="24"/>
          <w:szCs w:val="24"/>
        </w:rPr>
        <w:t xml:space="preserve"> закупки на право заключения договора по лоту № 20-ЭКСП-БПД-2026-ДФ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ОКПД2 71.12.40 Поверка счетчиков АИИС КУЭ Филиала ПАО «РусГидро» - «Дагестанский филиал»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jc w:val="both"/>
        <w:rPr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eastAsia="Geneva" w:cs="Times New Roman" w:ascii="Times New Roman" w:hAnsi="Times New Roman"/>
          <w:color w:val="auto"/>
          <w:kern w:val="0"/>
          <w:sz w:val="24"/>
          <w:szCs w:val="24"/>
          <w:lang w:val="ru-RU" w:eastAsia="en-US" w:bidi="ar-SA"/>
        </w:rPr>
        <w:t>Подробные</w:t>
      </w:r>
      <w:r>
        <w:rPr>
          <w:rFonts w:ascii="Times New Roman" w:hAnsi="Times New Roman"/>
          <w:sz w:val="24"/>
          <w:szCs w:val="24"/>
        </w:rPr>
        <w:t xml:space="preserve"> требования к оказанию услуг (в том числе, сведения об объеме, месте, сроках оказания услуг) приведены в приложении №1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jc w:val="both"/>
        <w:rPr/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eastAsia="Geneva" w:cs="Times New Roman" w:ascii="Times New Roman" w:hAnsi="Times New Roman"/>
          <w:color w:val="auto"/>
          <w:kern w:val="0"/>
          <w:sz w:val="24"/>
          <w:szCs w:val="24"/>
          <w:lang w:val="ru-RU" w:eastAsia="en-US" w:bidi="ar-SA"/>
        </w:rPr>
        <w:t>Единственным</w:t>
      </w:r>
      <w:r>
        <w:rPr>
          <w:rFonts w:ascii="Times New Roman" w:hAnsi="Times New Roman"/>
          <w:sz w:val="24"/>
          <w:szCs w:val="24"/>
        </w:rPr>
        <w:t xml:space="preserve"> критерием выбора контрагента, с которым впоследствии будет заключен договор при условии соответствия технико-коммерческого предложения исполнителя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5. Ответ с технико-коммерческим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юридический адрес, почтовый адрес, ИНН;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контактные данные: номер телефона, e-mail, ФИО контактного лица;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информацию / документы, подтверждающие соответствие Исполнителя установленным дополнительным требованиям, указанным в приложении 1 к настоящему запросу;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сроки оказания услуг в соответствии с установленными требованиями (см. приложение 1 к настоящему запросу);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согласие Исполнителя на существенные условия будущего договора, в том числе условия оплаты и поставки (см. приложение 2 к настоящему запросу);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сроки и условия гарантийных обязательств в соответствии с установленными требованиями (см. приложение 1 к настоящему запросу);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цену предложения в рублях (без учета НДС и с учетом НДС).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6. Срок подачи технико-коммерческих предложений: до 12:00 17.09.2026 г. 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7. Предложения должны быть представлены в виде сканированной электронной копии в адрес ответственного лица: Электронная (торговая) площадка: АО «Российский аукционный дом» https://tender.lot-online.ru.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1. Технические требования;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2. Проект типового договора.</w:t>
      </w:r>
    </w:p>
    <w:sectPr>
      <w:headerReference w:type="even" r:id="rId3"/>
      <w:headerReference w:type="default" r:id="rId4"/>
      <w:type w:val="nextPage"/>
      <w:pgSz w:w="11906" w:h="16838"/>
      <w:pgMar w:left="1701" w:right="1134" w:gutter="0" w:header="964" w:top="127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AlterOffice/2026.2.0.0$Linux_X86_64 LibreOffice_project/bc4ef1adf80b36c7a6365f8ed6cbf29021361edd</Application>
  <AppVersion>15.0000</AppVersion>
  <Pages>2</Pages>
  <Words>430</Words>
  <Characters>2999</Characters>
  <CharactersWithSpaces>3435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2025-08-27T09:58:00Z</dcterms:created>
  <dc:creator>Andrey Zhurin</dc:creator>
  <dc:description/>
  <dc:language>ru-RU</dc:language>
  <cp:lastModifiedBy>magomedovsua@corp.gidroogk.com</cp:lastModifiedBy>
  <cp:lastPrinted>2019-05-31T06:24:00Z</cp:lastPrinted>
  <dcterms:modified xsi:type="dcterms:W3CDTF">2026-09-10T11:48:10Z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