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1.xml" ContentType="application/vnd.openxmlformats-officedocument.wordprocessingml.header+xml"/>
  <Override PartName="/word/header8.xml" ContentType="application/vnd.openxmlformats-officedocument.wordprocessingml.header+xml"/>
  <Override PartName="/word/header10.xml" ContentType="application/vnd.openxmlformats-officedocument.wordprocessingml.header+xml"/>
  <Override PartName="/word/header7.xml" ContentType="application/vnd.openxmlformats-officedocument.wordprocessingml.header+xml"/>
  <Override PartName="/word/theme/theme1.xml" ContentType="application/vnd.openxmlformats-officedocument.theme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9.xml" ContentType="application/vnd.openxmlformats-officedocument.wordprocessingml.header+xml"/>
  <Override PartName="/word/header18.xml" ContentType="application/vnd.openxmlformats-officedocument.wordprocessingml.header+xml"/>
  <Override PartName="/word/header17.xml" ContentType="application/vnd.openxmlformats-officedocument.wordprocessingml.header+xml"/>
  <Override PartName="/word/header1.xml" ContentType="application/vnd.openxmlformats-officedocument.wordprocessingml.header+xml"/>
  <Override PartName="/word/header16.xml" ContentType="application/vnd.openxmlformats-officedocument.wordprocessingml.header+xml"/>
  <Override PartName="/word/header15.xml" ContentType="application/vnd.openxmlformats-officedocument.wordprocessingml.header+xml"/>
  <Override PartName="/word/header14.xml" ContentType="application/vnd.openxmlformats-officedocument.wordprocessingml.header+xml"/>
  <Override PartName="/word/header13.xml" ContentType="application/vnd.openxmlformats-officedocument.wordprocessingml.header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  <w:tab/>
        <w:t xml:space="preserve">    УТВЕРЖДАЮ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Первый заместитель директора -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главный инженер Филиала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 xml:space="preserve">ПАО «РусГидро» - </w:t>
      </w:r>
    </w:p>
    <w:p>
      <w:pPr>
        <w:pStyle w:val="Normal"/>
        <w:keepNext w:val="true"/>
        <w:numPr>
          <w:ilvl w:val="0"/>
          <w:numId w:val="0"/>
        </w:numPr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«Дагестанский филиал»</w:t>
      </w:r>
    </w:p>
    <w:p>
      <w:pPr>
        <w:pStyle w:val="Normal"/>
        <w:keepNext w:val="true"/>
        <w:numPr>
          <w:ilvl w:val="0"/>
          <w:numId w:val="0"/>
        </w:numPr>
        <w:ind w:left="5260" w:right="277" w:firstLine="5797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 М.Ш. Магомедов </w:t>
      </w:r>
    </w:p>
    <w:p>
      <w:pPr>
        <w:pStyle w:val="Normal"/>
        <w:keepNext w:val="true"/>
        <w:numPr>
          <w:ilvl w:val="0"/>
          <w:numId w:val="0"/>
        </w:numPr>
        <w:ind w:left="526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«_____»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 xml:space="preserve">г. </w:t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numPr>
          <w:ilvl w:val="0"/>
          <w:numId w:val="0"/>
        </w:numPr>
        <w:spacing w:before="120" w:after="60"/>
        <w:ind w:left="0" w:right="21" w:firstLine="708"/>
        <w:contextualSpacing/>
        <w:jc w:val="center"/>
        <w:rPr>
          <w:szCs w:val="24"/>
        </w:rPr>
      </w:pPr>
      <w:bookmarkStart w:id="0" w:name="_Toc121297144"/>
      <w:r>
        <w:rPr>
          <w:szCs w:val="24"/>
        </w:rPr>
        <w:t>ТЕХНИЧЕСКИЕ ТРЕБОВАНИЯ</w:t>
      </w:r>
      <w:bookmarkEnd w:id="0"/>
    </w:p>
    <w:p>
      <w:pPr>
        <w:pStyle w:val="BodyText"/>
        <w:spacing w:before="0" w:after="120"/>
        <w:ind w:right="21" w:firstLine="36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«Проведение экспертизы промышленной безопасности здания являющегося площадкой опасных производственных объектов Чирюртской ГЭС-1»</w:t>
      </w:r>
    </w:p>
    <w:p>
      <w:pPr>
        <w:pStyle w:val="BodyText"/>
        <w:spacing w:before="0" w:after="0"/>
        <w:ind w:right="21" w:firstLine="360"/>
        <w:contextualSpacing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ЛОТ № 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Style14"/>
              <w:vanish w:val="false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</w:rPr>
            <w:fldChar w:fldCharType="separate"/>
          </w:r>
          <w:hyperlink w:anchor="_Toc121297144">
            <w:r>
              <w:rPr>
                <w:webHidden/>
                <w:rStyle w:val="Style14"/>
                <w:vanish w:val="false"/>
              </w:rPr>
              <w:t>ТЕХНИЧЕСКИЕ ТРЕБОВАНИЯ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1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45">
            <w:r>
              <w:rPr>
                <w:webHidden/>
                <w:rStyle w:val="Style14"/>
                <w:vanish w:val="false"/>
              </w:rPr>
              <w:t>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6">
            <w:r>
              <w:rPr>
                <w:webHidden/>
                <w:rStyle w:val="Style14"/>
                <w:iCs/>
                <w:vanish w:val="false"/>
              </w:rPr>
              <w:t>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Обозначения и сокращения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7">
            <w:r>
              <w:rPr>
                <w:webHidden/>
                <w:rStyle w:val="Style14"/>
                <w:iCs/>
                <w:vanish w:val="false"/>
              </w:rPr>
              <w:t>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Наименование закупаемой продукции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8">
            <w:r>
              <w:rPr>
                <w:webHidden/>
                <w:rStyle w:val="Style14"/>
                <w:iCs/>
                <w:vanish w:val="false"/>
              </w:rPr>
              <w:t>1.3.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Наименование и место расположения функционального заказчика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49">
            <w:r>
              <w:rPr>
                <w:webHidden/>
                <w:rStyle w:val="Style14"/>
                <w:vanish w:val="false"/>
              </w:rPr>
              <w:t>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50">
            <w:r>
              <w:rPr>
                <w:webHidden/>
                <w:rStyle w:val="Style14"/>
                <w:iCs/>
                <w:vanish w:val="false"/>
              </w:rPr>
              <w:t>2.1.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этапам и срокам выполнения работ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1">
            <w:r>
              <w:rPr>
                <w:webHidden/>
                <w:rStyle w:val="Style14"/>
                <w:vanish w:val="false"/>
              </w:rPr>
              <w:t>Таблица 1. Требования по срокам выполнения работ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52">
            <w:r>
              <w:rPr>
                <w:webHidden/>
                <w:rStyle w:val="Style14"/>
                <w:iCs/>
                <w:vanish w:val="false"/>
              </w:rPr>
              <w:t>2.2.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качеству продукции</w:t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3">
            <w:r>
              <w:rPr>
                <w:webHidden/>
                <w:rStyle w:val="Style14"/>
                <w:vanish w:val="false"/>
              </w:rPr>
              <w:t>Таблица 2. Требования к качеству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4">
            <w:r>
              <w:rPr>
                <w:webHidden/>
                <w:rStyle w:val="Style14"/>
                <w:vanish w:val="false"/>
              </w:rPr>
              <w:t>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документации по ценообразованию на этапе закупки</w:t>
              <w:tab/>
              <w:t>12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  <w:lang w:val="en-US"/>
            </w:rPr>
          </w:pPr>
          <w:hyperlink w:anchor="_Toc121297155">
            <w:r>
              <w:rPr>
                <w:webHidden/>
                <w:rStyle w:val="Style14"/>
                <w:vanish w:val="false"/>
              </w:rPr>
              <w:t>4.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документации по ценообразованию на этапе заключения (исполнения) договора</w:t>
              <w:tab/>
              <w:t>1</w:t>
            </w:r>
          </w:hyperlink>
          <w:r>
            <w:rPr>
              <w:lang w:val="en-US"/>
            </w:rPr>
            <w:t>4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  <w:lang w:val="en-US"/>
            </w:rPr>
          </w:pPr>
          <w:hyperlink w:anchor="_Toc121297156">
            <w:r>
              <w:rPr>
                <w:webHidden/>
                <w:rStyle w:val="Style14"/>
                <w:vanish w:val="false"/>
              </w:rPr>
              <w:t>5.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Приложения</w:t>
            </w:r>
            <w:r>
              <w:rPr>
                <w:rStyle w:val="Style14"/>
              </w:rPr>
              <w:tab/>
              <w:t>1</w:t>
            </w:r>
          </w:hyperlink>
          <w:r>
            <w:rPr>
              <w:lang w:val="en-US"/>
            </w:rPr>
            <w:t>5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7">
            <w:r>
              <w:rPr>
                <w:webHidden/>
                <w:rStyle w:val="Style14"/>
                <w:vanish w:val="false"/>
              </w:rPr>
              <w:t>Требования к оформлению и составлению документации по ценообразованию</w:t>
            </w:r>
            <w:r>
              <w:rPr>
                <w:rStyle w:val="Style14"/>
              </w:rPr>
              <w:tab/>
              <w:t>1</w:t>
            </w:r>
          </w:hyperlink>
          <w:r>
            <w:rPr>
              <w:lang w:val="en-US"/>
            </w:rPr>
            <w:t>6</w:t>
          </w:r>
          <w:r>
            <w:rPr>
              <w:lang w:val="en-US"/>
            </w:rPr>
            <w:fldChar w:fldCharType="end"/>
          </w:r>
        </w:p>
      </w:sdtContent>
    </w:sdt>
    <w:p>
      <w:pPr>
        <w:pStyle w:val="Heading2"/>
        <w:numPr>
          <w:ilvl w:val="0"/>
        </w:numPr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1" w:name="_Toc51339692"/>
      <w:bookmarkStart w:id="2" w:name="_Toc121297145"/>
      <w:r>
        <w:rPr>
          <w:lang w:val="ru-RU"/>
        </w:rPr>
        <w:t>Общие сведения</w:t>
      </w:r>
      <w:bookmarkEnd w:id="1"/>
      <w:bookmarkEnd w:id="2"/>
    </w:p>
    <w:p>
      <w:pPr>
        <w:pStyle w:val="Heading4"/>
        <w:numPr>
          <w:ilvl w:val="1"/>
          <w:numId w:val="3"/>
        </w:numPr>
        <w:rPr/>
      </w:pPr>
      <w:bookmarkStart w:id="3" w:name="_Toc121297146"/>
      <w:bookmarkStart w:id="4" w:name="_Toc46743505"/>
      <w:r>
        <w:rPr/>
        <w:t>Обозначения и сокращения</w:t>
      </w:r>
      <w:bookmarkEnd w:id="3"/>
      <w:bookmarkEnd w:id="4"/>
    </w:p>
    <w:p>
      <w:pPr>
        <w:pStyle w:val="Normal"/>
        <w:rPr>
          <w:rStyle w:val="Style8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НИР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научно-исследовательские работы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sz w:val="24"/>
                <w:szCs w:val="24"/>
              </w:rPr>
              <w:t>СТО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стандарт организации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ОП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обособленное подразделение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свод правил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rPr/>
      </w:pPr>
      <w:bookmarkStart w:id="5" w:name="_Toc46743506"/>
      <w:bookmarkStart w:id="6" w:name="_Toc121297147"/>
      <w:r>
        <w:rPr/>
        <w:t>Наименование закупаемой продукции</w:t>
      </w:r>
      <w:bookmarkEnd w:id="5"/>
      <w:bookmarkEnd w:id="6"/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«Проведение экспертизы промышленной безопасности здания являющегося площадкой опасных производственных объектов Чирюртской ГЭС-1»</w:t>
      </w:r>
    </w:p>
    <w:p>
      <w:pPr>
        <w:pStyle w:val="Heading4"/>
        <w:numPr>
          <w:ilvl w:val="1"/>
          <w:numId w:val="3"/>
        </w:numPr>
        <w:spacing w:before="240" w:after="60"/>
        <w:ind w:left="431" w:hanging="431"/>
        <w:rPr/>
      </w:pPr>
      <w:bookmarkStart w:id="7" w:name="_Toc121297148"/>
      <w:bookmarkStart w:id="8" w:name="_Toc54646218"/>
      <w:bookmarkStart w:id="9" w:name="_Toc46743507"/>
      <w:bookmarkEnd w:id="9"/>
      <w:r>
        <w:rPr>
          <w:lang w:val="ru-RU"/>
        </w:rPr>
        <w:t>Наименование и место расположения функционального заказчика</w:t>
      </w:r>
      <w:bookmarkEnd w:id="7"/>
      <w:bookmarkEnd w:id="8"/>
    </w:p>
    <w:p>
      <w:pPr>
        <w:pStyle w:val="Normal"/>
        <w:spacing w:before="0" w:after="0"/>
        <w:contextualSpacing/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Филиал ПАО «РусГидро» - «Дагестанский филиал», ОП «Каскад Сулакских ГЭС».</w:t>
      </w:r>
    </w:p>
    <w:p>
      <w:pPr>
        <w:pStyle w:val="Normal"/>
        <w:spacing w:before="0" w:after="0"/>
        <w:contextualSpacing/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 xml:space="preserve">Месторасположение объекта работ: Россия, Республика Дагестан, Кизилюртовский район 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10" w:name="_Toc121297149"/>
      <w:bookmarkStart w:id="11" w:name="_Toc51339693"/>
      <w:r>
        <w:rPr>
          <w:iCs/>
        </w:rPr>
        <w:t>Требования к продукции</w:t>
      </w:r>
      <w:bookmarkEnd w:id="10"/>
      <w:bookmarkEnd w:id="11"/>
    </w:p>
    <w:p>
      <w:pPr>
        <w:pStyle w:val="Heading4"/>
        <w:numPr>
          <w:ilvl w:val="1"/>
          <w:numId w:val="3"/>
        </w:numPr>
        <w:rPr>
          <w:lang w:val="ru-RU"/>
        </w:rPr>
      </w:pPr>
      <w:bookmarkStart w:id="12" w:name="_Toc121297150"/>
      <w:r>
        <w:rPr/>
        <w:t xml:space="preserve">Требования к </w:t>
      </w:r>
      <w:r>
        <w:rPr>
          <w:lang w:val="ru-RU"/>
        </w:rPr>
        <w:t>этапам</w:t>
      </w:r>
      <w:r>
        <w:rPr/>
        <w:t xml:space="preserve"> и срокам </w:t>
      </w:r>
      <w:r>
        <w:rPr>
          <w:lang w:val="ru-RU"/>
        </w:rPr>
        <w:t>выполнения работ</w:t>
      </w:r>
      <w:bookmarkEnd w:id="12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3" w:name="_Toc121297151"/>
      <w:bookmarkStart w:id="14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</w:t>
      </w:r>
      <w:r>
        <w:rPr>
          <w:sz w:val="24"/>
          <w:szCs w:val="24"/>
        </w:rPr>
        <w:t xml:space="preserve"> </w:t>
      </w:r>
      <w:bookmarkEnd w:id="14"/>
      <w:r>
        <w:rPr>
          <w:sz w:val="24"/>
          <w:szCs w:val="24"/>
          <w:lang w:val="ru-RU"/>
        </w:rPr>
        <w:t>Требования по срокам выполнения работ</w:t>
      </w:r>
      <w:bookmarkEnd w:id="13"/>
    </w:p>
    <w:p>
      <w:pPr>
        <w:pStyle w:val="Normal"/>
        <w:rPr>
          <w:lang w:eastAsia="x-none"/>
        </w:rPr>
      </w:pPr>
      <w:r>
        <w:rPr>
          <w:lang w:eastAsia="x-none"/>
        </w:rPr>
      </w:r>
      <w:bookmarkStart w:id="15" w:name="_Toc50125126"/>
      <w:bookmarkStart w:id="16" w:name="_Toc50125126"/>
      <w:bookmarkEnd w:id="16"/>
    </w:p>
    <w:tbl>
      <w:tblPr>
        <w:tblW w:w="97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131"/>
        <w:gridCol w:w="2549"/>
        <w:gridCol w:w="2980"/>
        <w:gridCol w:w="3115"/>
      </w:tblGrid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Наименование работ/ этапа работ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выполнения работ/ этапа работ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работ / этапа работ</w:t>
            </w:r>
          </w:p>
        </w:tc>
      </w:tr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3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4</w:t>
            </w:r>
          </w:p>
        </w:tc>
      </w:tr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Общий срок работы/ предоставление технического отчета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момента подписания договора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bookmarkStart w:id="17" w:name="_Toc46743510"/>
            <w:bookmarkEnd w:id="17"/>
            <w:r>
              <w:rPr>
                <w:sz w:val="26"/>
                <w:szCs w:val="26"/>
                <w:lang w:val="en-US"/>
              </w:rPr>
              <w:t>15.09</w:t>
            </w:r>
            <w:r>
              <w:rPr>
                <w:sz w:val="26"/>
                <w:szCs w:val="26"/>
              </w:rPr>
              <w:t>.2027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/>
      </w:pPr>
      <w:bookmarkStart w:id="18" w:name="_Toc51339698"/>
      <w:bookmarkStart w:id="19" w:name="_Toc121297152"/>
      <w:bookmarkStart w:id="20" w:name="_Toc46743511"/>
      <w:r>
        <w:rPr/>
        <w:t xml:space="preserve">Требования к </w:t>
      </w:r>
      <w:bookmarkEnd w:id="20"/>
      <w:r>
        <w:rPr>
          <w:lang w:val="ru-RU"/>
        </w:rPr>
        <w:t>качеству продукции</w:t>
      </w:r>
      <w:bookmarkEnd w:id="19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</w:rPr>
      </w:pPr>
      <w:bookmarkStart w:id="21" w:name="_Toc121297153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. Требования к </w:t>
      </w:r>
      <w:bookmarkEnd w:id="18"/>
      <w:r>
        <w:rPr>
          <w:sz w:val="24"/>
          <w:szCs w:val="24"/>
          <w:lang w:val="ru-RU"/>
        </w:rPr>
        <w:t>качеству продукции</w:t>
      </w:r>
      <w:bookmarkEnd w:id="21"/>
      <w:r>
        <w:rPr>
          <w:sz w:val="24"/>
          <w:szCs w:val="24"/>
        </w:rPr>
        <w:t xml:space="preserve"> </w:t>
      </w:r>
    </w:p>
    <w:p>
      <w:pPr>
        <w:pStyle w:val="Normal"/>
        <w:rPr>
          <w:rStyle w:val="Style8"/>
          <w:b w:val="false"/>
        </w:rPr>
      </w:pPr>
      <w:r>
        <w:rPr>
          <w:b w:val="false"/>
        </w:rPr>
      </w:r>
    </w:p>
    <w:p>
      <w:pPr>
        <w:pStyle w:val="Normal"/>
        <w:snapToGrid w:val="false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Наименование работ/этапа работ (позиция №_1 Таблицы 2): </w:t>
      </w:r>
      <w:r>
        <w:rPr>
          <w:bCs/>
          <w:sz w:val="24"/>
          <w:szCs w:val="24"/>
        </w:rPr>
        <w:t>Проведение экспертизы промышленной безопасности здания Чирюртской ГЭС-1 являющегося площадкой опасных производственных объектов.</w:t>
      </w:r>
    </w:p>
    <w:p>
      <w:pPr>
        <w:pStyle w:val="ListParagraph"/>
        <w:tabs>
          <w:tab w:val="clear" w:pos="708"/>
          <w:tab w:val="left" w:pos="298" w:leader="none"/>
        </w:tabs>
        <w:spacing w:lineRule="auto" w:line="276" w:before="0" w:after="0"/>
        <w:ind w:left="444" w:hanging="0"/>
        <w:contextualSpacing w:val="false"/>
        <w:rPr>
          <w:rStyle w:val="Style8"/>
          <w:b w:val="false"/>
          <w:i w:val="false"/>
          <w:i w:val="false"/>
          <w:spacing w:val="-10"/>
          <w:shd w:fill="auto" w:val="clear"/>
        </w:rPr>
      </w:pPr>
      <w:r>
        <w:rPr>
          <w:b w:val="false"/>
          <w:i w:val="false"/>
          <w:spacing w:val="-10"/>
          <w:shd w:fill="auto" w:val="clear"/>
        </w:rPr>
      </w:r>
    </w:p>
    <w:tbl>
      <w:tblPr>
        <w:tblStyle w:val="affff8"/>
        <w:tblW w:w="1516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1"/>
        <w:gridCol w:w="2836"/>
        <w:gridCol w:w="3357"/>
        <w:gridCol w:w="2668"/>
        <w:gridCol w:w="2906"/>
        <w:gridCol w:w="2589"/>
      </w:tblGrid>
      <w:tr>
        <w:trPr>
          <w:trHeight w:val="690" w:hRule="atLeast"/>
        </w:trPr>
        <w:tc>
          <w:tcPr>
            <w:tcW w:w="81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283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357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55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58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1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83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357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58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качеству продукции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к наименованию и условному обозначению научно-технического результата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наименованию</w:t>
            </w:r>
          </w:p>
        </w:tc>
        <w:tc>
          <w:tcPr>
            <w:tcW w:w="335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Проведение экспертизы промышленной безопасности здания являющегося площадкой опасных производственных объектов Чирюртской ГЭС-1</w:t>
            </w:r>
          </w:p>
        </w:tc>
        <w:tc>
          <w:tcPr>
            <w:tcW w:w="26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условному обозначению научно-техническому результату</w:t>
            </w:r>
          </w:p>
        </w:tc>
        <w:tc>
          <w:tcPr>
            <w:tcW w:w="335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области применения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области применения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целям и задачам разработки, ожидаемому эффекту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Новизна разработки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Цель разработки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Оценка технического состояния площадки участка сосудов и копрессорной Чирюртской ГЭС-1, являющегося площадкой опасных производственных объектов, и получение заключения экспертизы промышленной безопасности с определением: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Срока ввода в эксплуатацию здания  ГЭС;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Нормированного срока службы здания  ГЭС;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Мероприятий по дальнейшей эксплуатации здания  ГЭС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задачам исследования: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Соблюдение Федеральных норм и правил в области промышленной безопасности, определение соответствия объекта экспертизы предъявляемым к нему требованиям промышленной безопасности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Экспертизе промышленной безопасности подлежит здание Чирюрсткой ГЭС-1, в которых расположены опасные производственные объекты: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jc w:val="left"/>
              <w:rPr/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Площадка участка сосудов Чирюрсткой ГЭС-1 (регистрационный номер объекта в государственном реестре опасных производственных объектов № А66-02932-0100). Оборудования, работающие под избыточным давлением: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1) Ресивер №3, рег.№15733, P=0,8 МПа, V=10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2) Ресивер №4, рег.№15732, P=0,8 МПа, V=10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3) Сосуд МНУ г/а №1, рег. №15215А, P=2,5 МПа, V=4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4) Сосуд МНУ г/а №2, рег. №15216А, P=2,5 МПа, V=4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Площадка участка компрессорной Чирюрсткой ГЭС-1 (регистрационный номер объекта в государственном реестре опасных производственных объектов № А66-02932-0106). Оборудования, работающие под избыточным давлением: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1) Ресивер №1, рег.№15217, P=0,8 МПа, V=6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2) Ресивер №2, рег.№15218, P=0,8 МПа, V=6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.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учету сведений о потребности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Краткое описание характера работ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Состав работ: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разработка программы производства работ и согласование с Заказчиком;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-проведение обследования с целью оценки технического состояния (с применением неразрушающего контроля);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обработка результатов обследования, подготовка заключения экспертизы;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выдача заключения экспертизы промышленной безопасности, которое должно быть внесено в реестр заключений экспертиз промышленной безопасности в Ростехнадзоре.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выполнению работ: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заключении экспертизы отразить следующее: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официальная фиксация срока ввода здания ГЭС в эксплуатацию по имеющейся у заказчика документации;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установление фактического срока эксплуатации здания ГЭС;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оценка текущего состояния здания ГЭС;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установление срока службы здания ГЭС (с учетом отнесения их к гидротехническому сооружению I класса).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проведении экспертизы использовать все необходимые нормативные документы и нормативно-правовые акты с последними изменениями и дополнениями. В пояснительной записке обязательно указать перечень используемых документов.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Основные требуемые параметры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731" w:hRule="atLeast"/>
        </w:trPr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выполнению работы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284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Федерального закона от 21 июля 1997 г. № 116- ФЗ «О промышленной безопасности опасных производственных объектов» - статья 13 (действующая редакция).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284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Приказ Федеральной службы по экологическому, технологическому и атомному надзору от 20 октября 2020 года №420 «Об утверждении Федеральных норм и правил в области промышленной безопасности «Правила проведения экспертизы промышленной безопасности- статья 7. (действующая редакция)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патентоспособности, перечень результатов интеллектуальной деятельности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патентным исследованиям</w:t>
            </w:r>
          </w:p>
        </w:tc>
        <w:tc>
          <w:tcPr>
            <w:tcW w:w="3357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этапам разработки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Работы выполняются в один этап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результату работы и форме его предоставления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форме предоставления результата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Технический отчет по этапу представить на бумажном (в 3-х экз.) и на электронном носителе в форматах разработки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Прочие требования к продукции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Условия производства работ</w:t>
            </w:r>
          </w:p>
        </w:tc>
        <w:tc>
          <w:tcPr>
            <w:tcW w:w="3357" w:type="dxa"/>
            <w:tcBorders/>
            <w:vAlign w:val="center"/>
          </w:tcPr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предоставление списка персонала, участвующего в выполнении работ;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допуск персонала Исполнителя на объект осуществляется в соответствии с «Временным положением о допуске персонала строительно-монтажных организаций и командированного персонала к выполнению работ на объектах ПАО «РусГидро»;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предоставить письмо за подписью уполномоченного представителя Исполнителя, что после вступления в силу изменений в законодательные акты РФ, регламентирующие деятельность экспертных организаций, выполняющих работы по экспертизе промышленной безопасности технических устройств, зданий и сооружений, использующихся на опасных производственных объектах, в частности: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«Об аттестации экспертов в области промышленной безопасности»;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 внесении изменений в Положение о лицензировании деятельности по проведению экспертизы промышленной безопасности, утвержденное постановлением Правительства РФ»;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 внесении изменений в федеральные нормы и правила в области промышленной безопасности «Правила проведения экспертизы промышленной безопасности», Исполнитель без изменения сроков выполнения и стоимости работ, до передачи Заказчику заключения проведенной экспертизы промышленной безопасности, обязуется: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аттестовать экспертов в области промышленной безопасности;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внести изменения в лицензию и своевременно предоставить Заказчику нотариально заверенную копию измененной лицензии в соответствии с изменениями в Положение от 16.09.2020 №1477.</w:t>
            </w:r>
          </w:p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соблюдать правила проведения экспертизы промышленной безопасности после вступления в силу изменений.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  <w:lang w:val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Требования к поставщику (подрядчику, исполнителю)</w:t>
            </w:r>
          </w:p>
        </w:tc>
        <w:tc>
          <w:tcPr>
            <w:tcW w:w="3357" w:type="dxa"/>
            <w:tcBorders/>
            <w:vAlign w:val="center"/>
          </w:tcPr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лицензии на проведение экспертизы промышленной безопасности опасных производственных объектов в соответствии с Постановлением Правительства РФ от 16.09.2020 №1477 «О лицензировании деятельности по проведению экспертизы промышленной безопасности»;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аттестованного Федеральной службой по экологическому, технологическому и атомному надзору персонала в области аттестации: Д - гидротехнические сооружения, А - общие требования промышленной безопасности, Б8, Б9 – сосуды под избыточным давлением, подъёмные сооружения;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Генподрядчик и привлекаемые субподрядные организации должны иметь допуск к следующим видам работ в свидетельстве СРО: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раздел II. Виды работ по подготовке проектной документации: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Работы по обследованию строительных конструкций зданий и сооружений;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действующего свидетельства об аттестации лаборатории неразрушающего контроля и технической диагностики;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необходимого сертифицированного и поверенного оборудования, инструмента, приспособлений и контрольно-измерительных приборов для проведения обследования и оценки технического состояния объекта обследования.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b w:val="false"/>
                <w:lang w:val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22" w:name="_Toc54646411"/>
      <w:bookmarkStart w:id="23" w:name="_Toc121297154"/>
      <w:bookmarkStart w:id="24" w:name="_Toc53393312"/>
      <w:r>
        <w:rPr>
          <w:lang w:val="ru-RU"/>
        </w:rPr>
        <w:t>Требования к документации по ценообразованию</w:t>
      </w:r>
      <w:bookmarkEnd w:id="24"/>
      <w:r>
        <w:rPr>
          <w:lang w:val="ru-RU"/>
        </w:rPr>
        <w:t xml:space="preserve"> на этапе закупки</w:t>
      </w:r>
      <w:bookmarkEnd w:id="22"/>
      <w:bookmarkEnd w:id="23"/>
    </w:p>
    <w:p>
      <w:pPr>
        <w:pStyle w:val="ConsPlusNormal1"/>
        <w:spacing w:before="0" w:after="0"/>
        <w:ind w:firstLine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определении стоимости работ (услуг) и оформлению сметной документации применять в обязательном порядке «Требования к оформлению и составлению сметной документации …», указанные в Приложениях №№ 1 Технических требований.</w:t>
      </w:r>
    </w:p>
    <w:p>
      <w:pPr>
        <w:pStyle w:val="Normal"/>
        <w:rPr>
          <w:rFonts w:eastAsia="Calibri"/>
          <w:b/>
          <w:iCs/>
          <w:lang w:val="x-none" w:eastAsia="x-none"/>
        </w:rPr>
      </w:pPr>
      <w:r>
        <w:rPr>
          <w:rFonts w:eastAsia="Calibri"/>
          <w:b/>
          <w:iCs/>
          <w:lang w:val="x-none" w:eastAsia="x-none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25" w:name="_Toc121297155"/>
      <w:bookmarkStart w:id="26" w:name="_Toc54646412"/>
      <w:r>
        <w:rPr>
          <w:lang w:val="ru-RU"/>
        </w:rPr>
        <w:t>Требования к документации по ценообразованию на этапе заключения (исполнения) договора</w:t>
      </w:r>
      <w:bookmarkEnd w:id="25"/>
      <w:bookmarkEnd w:id="26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rStyle w:val="Style8"/>
          <w:b w:val="false"/>
          <w:bCs/>
          <w:iCs/>
          <w:sz w:val="24"/>
          <w:szCs w:val="24"/>
        </w:rPr>
      </w:pPr>
      <w:r>
        <w:rPr>
          <w:rStyle w:val="Style8"/>
          <w:b w:val="false"/>
          <w:bCs/>
          <w:iCs/>
          <w:sz w:val="24"/>
          <w:szCs w:val="24"/>
        </w:rPr>
        <w:t>[заполнить при необходимости]</w:t>
      </w:r>
    </w:p>
    <w:p>
      <w:pPr>
        <w:pStyle w:val="Heading1"/>
        <w:keepLines/>
        <w:numPr>
          <w:ilvl w:val="0"/>
          <w:numId w:val="0"/>
        </w:numPr>
        <w:ind w:left="357" w:hanging="0"/>
        <w:rPr>
          <w:iCs/>
        </w:rPr>
      </w:pPr>
      <w:r>
        <w:rPr>
          <w:iCs/>
        </w:rPr>
      </w:r>
    </w:p>
    <w:p>
      <w:pPr>
        <w:pStyle w:val="Normal"/>
        <w:rPr>
          <w:rFonts w:eastAsia="Calibri"/>
          <w:b/>
          <w:iCs/>
          <w:lang w:val="x-none" w:eastAsia="x-none"/>
        </w:rPr>
      </w:pPr>
      <w:r>
        <w:rPr>
          <w:rFonts w:eastAsia="Calibri"/>
          <w:b/>
          <w:iCs/>
          <w:lang w:val="x-none" w:eastAsia="x-none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</w:rPr>
      </w:pPr>
      <w:bookmarkStart w:id="27" w:name="_Toc46743519"/>
      <w:bookmarkStart w:id="28" w:name="_Toc51339699"/>
      <w:bookmarkStart w:id="29" w:name="_Toc121297156"/>
      <w:bookmarkStart w:id="30" w:name="_Toc54646413"/>
      <w:r>
        <w:rPr>
          <w:iCs/>
        </w:rPr>
        <w:t>Приложения</w:t>
      </w:r>
      <w:bookmarkEnd w:id="27"/>
      <w:bookmarkEnd w:id="28"/>
      <w:bookmarkEnd w:id="29"/>
      <w:bookmarkEnd w:id="30"/>
    </w:p>
    <w:p>
      <w:pPr>
        <w:pStyle w:val="Normal"/>
        <w:spacing w:before="0" w:after="12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sectPr>
          <w:headerReference w:type="default" r:id="rId7"/>
          <w:headerReference w:type="first" r:id="rId8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81" w:charSpace="0"/>
        </w:sectPr>
        <w:pStyle w:val="Normal"/>
        <w:spacing w:before="0" w:after="1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№1</w:t>
      </w:r>
      <w:r>
        <w:rPr>
          <w:bCs/>
          <w:sz w:val="24"/>
          <w:szCs w:val="24"/>
        </w:rPr>
        <w:t xml:space="preserve"> - Требования к оформлению и составлению документации по ценообразованию</w:t>
      </w:r>
    </w:p>
    <w:p>
      <w:pPr>
        <w:pStyle w:val="Normal"/>
        <w:spacing w:before="0" w:after="120"/>
        <w:jc w:val="right"/>
        <w:rPr>
          <w:rStyle w:val="Style8"/>
          <w:bCs/>
          <w:caps/>
          <w:sz w:val="24"/>
          <w:szCs w:val="24"/>
        </w:rPr>
      </w:pPr>
      <w:bookmarkStart w:id="31" w:name="_Hlk48224758"/>
      <w:bookmarkStart w:id="32" w:name="_Ref40301253"/>
      <w:r>
        <w:rPr>
          <w:rStyle w:val="Style8"/>
          <w:bCs/>
          <w:caps/>
          <w:sz w:val="24"/>
          <w:szCs w:val="24"/>
        </w:rPr>
        <w:t>[</w:t>
      </w:r>
      <w:bookmarkStart w:id="33" w:name="_Hlk48222348"/>
      <w:r>
        <w:rPr>
          <w:rStyle w:val="Style8"/>
          <w:bCs/>
          <w:sz w:val="24"/>
          <w:szCs w:val="24"/>
        </w:rPr>
        <w:t>Приложение № 1 к ТТ]</w:t>
      </w:r>
      <w:r>
        <w:rPr>
          <w:rStyle w:val="Style8"/>
          <w:bCs/>
          <w:caps/>
          <w:sz w:val="24"/>
          <w:szCs w:val="24"/>
        </w:rPr>
        <w:t xml:space="preserve"> </w:t>
      </w:r>
      <w:bookmarkEnd w:id="31"/>
      <w:bookmarkEnd w:id="32"/>
      <w:bookmarkEnd w:id="33"/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Требования к оформлению и составлению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смет или расчетов на выполнение услуг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по программе научно-исследовательских,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экспериментальных и опытно-конструкторских работ.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Настоящие требования разработаны для единого подхода к определению стоимости научно-исследовательских, экспериментальных и опытно-конструкторских работ (далее по тексту–НИР/НИОКР).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Сметы или расчеты на НИР/НИОКР составлять на основании технических требований (технического задания) заказчика, графиков производства работ.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/>
      </w:pPr>
      <w:r>
        <w:rPr/>
        <w:t>Стоимость НИР/НИОКР (обследований, обмерных работ и т.д.), определяется на основе Справочников базовых цен и других нормативных сборников, внесенных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 (далее – ФРСН).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При использовании в сметах коэффициентов (доплат, процентов и т.д.) в графе «Номер частей, глав, таблиц, процентов…» указывать обоснование из методических указаний, общих положений сборников или других нормативных документов и приложений к ним.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/>
          <w:color w:val="000000"/>
          <w:sz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Пересчет сметной стоимости НИР/НИОКР по состоянию на 01.01.2001г, 01.01.1995г. (1991г.) следует производить согласно индексам на указанные работы, рекомендованным к применению </w:t>
      </w:r>
      <w:r>
        <w:rPr>
          <w:rFonts w:ascii="Times New Roman" w:hAnsi="Times New Roman"/>
          <w:color w:val="000000"/>
          <w:sz w:val="22"/>
        </w:rPr>
        <w:t>письмом соответствующего органа исполнительной власти, уполномоченного в области сметного нормирования и ценообразования в сфере градостроительной деятельности.</w:t>
      </w:r>
    </w:p>
    <w:p>
      <w:pPr>
        <w:pStyle w:val="ConsPlusNormal1"/>
        <w:widowControl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При определении стоимости НИР/НИОКР, затраты организации, расположенной в </w:t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районах, в которых, в соответствии с действующим законодательством производятся выплаты, обусловленные районным регулированием оплаты труда, в т.ч. выплаты по районным коэффициентам, а также надбавки за непрерывный стаж и других льгот, предусмотренных законодательством в районах Крайнего Севера и приравненных к ним местностям, на основании: «Рекомендаций по определению коэффициента к базовым ценам на проектные работы, учитывающего дополнительные затраты организаций на льготные выплаты по заработной плате», одобренных и рекомендованных к применению письмом Госстроя России от 30.06.98 № 9-10-17/40, дополнительно учитываются путем введения к итогу базовой цены повышающих коэффициентов. Указывать размер примененных коэффициентов, доплат и т.д. с обоснованиями из технической части, вводных указаний сборников или других нормативных документов.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Стоимость НИР/НИОКР, цены на которые отсутствуют в СБЦ, СЦ и других нормативных сборниках, внесенных в ФРСН, определять сметным расчетом по себестоимости и уровню рентабельности (форма №3п) по согласованию с Заказчиком.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Средства на выполнение НИР/НИОКР определяются отдельными расчетами в </w:t>
      </w:r>
    </w:p>
    <w:p>
      <w:pPr>
        <w:pStyle w:val="ConsPlusNormal1"/>
        <w:widowControl/>
        <w:tabs>
          <w:tab w:val="clear" w:pos="708"/>
          <w:tab w:val="left" w:pos="993" w:leader="none"/>
        </w:tabs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соответствии с видом выполняемых работ и включаются (по необходимости) в сводную смету (Приложение №3).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568" w:leader="none"/>
        </w:tabs>
        <w:ind w:left="0" w:firstLine="568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В случае заключений дополнительных соглашений к договору (далее - д/с), сводную смету необходимо выполнять в накопительной форме с учетом </w:t>
      </w:r>
      <w:r>
        <w:rPr>
          <w:rFonts w:cs="Times New Roman" w:ascii="Times New Roman" w:hAnsi="Times New Roman"/>
          <w:color w:val="000000"/>
          <w:sz w:val="22"/>
          <w:szCs w:val="22"/>
        </w:rPr>
        <w:t>ЛСР (</w:t>
      </w:r>
      <w:r>
        <w:rPr>
          <w:rFonts w:ascii="Times New Roman" w:hAnsi="Times New Roman"/>
          <w:color w:val="000000"/>
          <w:sz w:val="22"/>
        </w:rPr>
        <w:t xml:space="preserve">ЛС) к основному договору и ко всем заключенным д/с к нему. В итогах сводной сметы в накопительной форме(справочно) указывать суммы изменения (уменьшения, увеличения) основного договора на основании заключения д/с, которые определяются как разница между суммой сводной сметы в накопительной форме очередного д/с и стоимостью основного договора. Форма сводной сметы в накопительной </w:t>
      </w:r>
      <w:r>
        <w:rPr>
          <w:rFonts w:cs="Times New Roman" w:ascii="Times New Roman" w:hAnsi="Times New Roman"/>
          <w:sz w:val="22"/>
          <w:szCs w:val="22"/>
        </w:rPr>
        <w:t>(образец приложение № 3.1)</w:t>
      </w:r>
      <w:r>
        <w:rPr>
          <w:rFonts w:ascii="Times New Roman" w:hAnsi="Times New Roman"/>
          <w:color w:val="000000"/>
          <w:sz w:val="22"/>
        </w:rPr>
        <w:t xml:space="preserve"> ЛСР (ЛС) разрабатываются отдельно на исключаемые и дополнительные объемы работ. </w:t>
      </w:r>
    </w:p>
    <w:p>
      <w:pPr>
        <w:pStyle w:val="ConsPlusNormal1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</w:rPr>
        <w:t>ЛС являются приложениями к сводной смете в накопительной форме. Нумерация приложений указывается по мере включения ЛС в Сводную смету в накопительной форме - по порядку.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Результаты вычислений (построчные) и итоговые данные округляются</w:t>
      </w:r>
      <w:r>
        <w:rPr>
          <w:rFonts w:ascii="Times New Roman" w:hAnsi="Times New Roman"/>
          <w:sz w:val="22"/>
        </w:rPr>
        <w:t xml:space="preserve"> до целых рублей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 xml:space="preserve"> </w:t>
      </w:r>
      <w:r>
        <w:rPr/>
        <w:t xml:space="preserve">графа 5 «Стоимость» (образец 2П приложения 2); 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 xml:space="preserve"> </w:t>
      </w:r>
      <w:r>
        <w:rPr/>
        <w:t>графа 7 «Оплата труда (всего)» (образец 3П приложения 2).</w:t>
      </w:r>
    </w:p>
    <w:p>
      <w:pPr>
        <w:pStyle w:val="ConsPlusNormal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Результаты вычислений (построчные) и итоговые данные в локальных сметных расчетах, (сметах), приводятся в рублях,</w:t>
      </w:r>
    </w:p>
    <w:p>
      <w:pPr>
        <w:pStyle w:val="ConsPlusNormal1"/>
        <w:tabs>
          <w:tab w:val="clear" w:pos="708"/>
          <w:tab w:val="left" w:pos="567" w:leader="none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-при базисно-индексном методе, с округлением до целых рублей;</w:t>
      </w:r>
    </w:p>
    <w:p>
      <w:pPr>
        <w:pStyle w:val="ConsPlusNormal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-при ресурсно-индексном и ресурсным методах, а также сметных расчетах на отдельные виды затрат - с округлением до целых единиц;</w:t>
      </w:r>
    </w:p>
    <w:p>
      <w:pPr>
        <w:pStyle w:val="ListParagraph"/>
        <w:tabs>
          <w:tab w:val="clear" w:pos="708"/>
          <w:tab w:val="left" w:pos="993" w:leader="none"/>
        </w:tabs>
        <w:ind w:left="567" w:hanging="0"/>
        <w:jc w:val="both"/>
        <w:rPr/>
      </w:pPr>
      <w:r>
        <w:rPr/>
        <w:t>в сводной смете - в рублях с округлением до двух знаков после запятой.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Сметы предоставляются в 2-х вариантах: бумажном и электронном (в формате «</w:t>
      </w:r>
      <w:r>
        <w:rPr>
          <w:rFonts w:cs="Times New Roman" w:ascii="Times New Roman" w:hAnsi="Times New Roman"/>
          <w:sz w:val="22"/>
          <w:szCs w:val="22"/>
          <w:lang w:val="en-US"/>
        </w:rPr>
        <w:t>Excel</w:t>
      </w:r>
      <w:r>
        <w:rPr>
          <w:rFonts w:cs="Times New Roman" w:ascii="Times New Roman" w:hAnsi="Times New Roman"/>
          <w:sz w:val="22"/>
          <w:szCs w:val="22"/>
        </w:rPr>
        <w:t>»).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При необходимости учета командировочных расходов в сметной документации составляется расчет. Размер суточных командировочных расходов определить в соответствии с действующим законодательством РФ и с учетом норм, определяемых внутренним документом организации. 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Лимиты командировочных расходов при производстве НИР/НИОКР по статьям затрат следующие: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>суточные - 700 руб./сутки;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>проживание – 4000 руб./сутки;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993" w:hanging="142"/>
        <w:jc w:val="both"/>
        <w:rPr/>
      </w:pPr>
      <w:r>
        <w:rPr/>
        <w:t xml:space="preserve">проезд: поезд (купе) или самолет </w:t>
      </w:r>
      <w:r>
        <w:rPr>
          <w:color w:val="000000"/>
        </w:rPr>
        <w:t>(класс–эконом с багажом до 20 (двадцати) кг, ручная кладь до 10 (десяти) кг)</w:t>
      </w:r>
      <w:r>
        <w:rPr/>
        <w:t>.</w:t>
      </w:r>
    </w:p>
    <w:p>
      <w:pPr>
        <w:pStyle w:val="ConsPlusNormal1"/>
        <w:widowControl/>
        <w:tabs>
          <w:tab w:val="clear" w:pos="708"/>
          <w:tab w:val="left" w:pos="284" w:leader="none"/>
          <w:tab w:val="left" w:pos="993" w:leader="none"/>
        </w:tabs>
        <w:ind w:firstLine="567"/>
        <w:jc w:val="both"/>
        <w:rPr>
          <w:rFonts w:ascii="Times New Roman" w:hAnsi="Times New Roman" w:cs="Times New Roman"/>
          <w:b/>
          <w:i/>
          <w:i/>
          <w:sz w:val="22"/>
          <w:szCs w:val="22"/>
        </w:rPr>
      </w:pPr>
      <w:r>
        <w:rPr>
          <w:rFonts w:cs="Times New Roman" w:ascii="Times New Roman" w:hAnsi="Times New Roman"/>
          <w:b/>
          <w:i/>
          <w:sz w:val="22"/>
          <w:szCs w:val="22"/>
        </w:rPr>
        <w:t>Данные лимиты могут быть пересмотрены на этапе согласования технических требований.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В случае учета строительно-монтажных работ в рамках исполнения работ при производстве НИР/НИОКР необходимо руководствоваться соответствующими требованиями к оформлению и составлению сметной документации при ремонте, реконструкции и техническом перевооружении.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В случае применения понижающего коэффициента к итогу смет или расчетов, корректирующего их стоимость в меньшую сторону, величину данного коэффициента необходимо учитывать с округлением до 3 знаков после запятой.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Стоимость субподрядных работ (в случае наличия таковых) следует отразить отдельной строкой в Сводной смете (образец приложение № 3) с представлением соответствующих расчетов. 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Стоимость материальных ресурсов и комплектующих, необходимых для создания опытных образцов, следует отразить отдельными строками в Сводной смете (образец приложение № 3).</w:t>
      </w:r>
    </w:p>
    <w:p>
      <w:pPr>
        <w:sectPr>
          <w:headerReference w:type="default" r:id="rId9"/>
          <w:headerReference w:type="first" r:id="rId10"/>
          <w:type w:val="nextPage"/>
          <w:pgSz w:w="11906" w:h="16838"/>
          <w:pgMar w:left="1304" w:right="924" w:gutter="0" w:header="709" w:top="851" w:footer="0" w:bottom="720"/>
          <w:pgNumType w:fmt="decimal"/>
          <w:formProt w:val="false"/>
          <w:textDirection w:val="lrTb"/>
          <w:docGrid w:type="default" w:linePitch="360" w:charSpace="0"/>
        </w:sect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Стоимость строительно-монтажных работ, выполняемым в целях создания опытных образов и макетов, следует отразить отдельными строками в Сводной смете (образец приложение № 3) с представлением соответствующих расчетов (в случае наличия таковых).</w:t>
      </w:r>
    </w:p>
    <w:p>
      <w:pPr>
        <w:pStyle w:val="ConsPlusNormal1"/>
        <w:widowControl/>
        <w:tabs>
          <w:tab w:val="clear" w:pos="708"/>
          <w:tab w:val="left" w:pos="1080" w:leader="none"/>
        </w:tabs>
        <w:ind w:left="540"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Приложение № 1</w:t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ind w:left="5670" w:firstLine="720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ПОЯСНИТЕЛЬНАЯ ЗАПИСКА </w:t>
      </w:r>
    </w:p>
    <w:p>
      <w:pPr>
        <w:pStyle w:val="Normal"/>
        <w:jc w:val="center"/>
        <w:rPr>
          <w:b/>
        </w:rPr>
      </w:pPr>
      <w:r>
        <w:rPr>
          <w:b/>
        </w:rPr>
        <w:t>по заполнению формы №3п</w:t>
      </w:r>
    </w:p>
    <w:p>
      <w:pPr>
        <w:pStyle w:val="Normal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>при составлении смет на НИР/НИОКР.</w:t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center"/>
        <w:rPr/>
      </w:pPr>
      <w:r>
        <w:rPr/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При составлении сметного расчета по трудозатратам (форма №3п), разработанным организацией, выполняющей НИР/НИОКР, обоснование расчета трудозатрат представляется заказчику по его просьбе. Сметные расчеты составляются в ценах текущего периода.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Расчетом по трудозатратам (форма №3п) рекомендуется определять стоимость работ, цены на которые отсутствуют в СБЦ, СЦ и других нормативных сборниках, внесенных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 (далее – ФРСН)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Форма сметы для определения затрат по себестоимости и уровню рентабельности (форма №3п) приведена в Образце 3П Приложения №2.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93" w:leader="none"/>
        </w:tabs>
        <w:ind w:left="720" w:hanging="153"/>
        <w:jc w:val="both"/>
        <w:rPr/>
      </w:pPr>
      <w:r>
        <w:rPr/>
        <w:t xml:space="preserve">Результаты вычислений и итоговые данные по разделам расчета </w:t>
      </w:r>
      <w:r>
        <w:rPr>
          <w:u w:val="single"/>
        </w:rPr>
        <w:t>округлять до целых рублей.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Особенности заполнения формы 3П.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1. Расчет заработной платы: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1 приводится нумерация выполняемых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2 приводится наименование выполняемых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3 указывается количество привлекаемых работников;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4 указывается наименование должности (при необходимости, с указанием конкретных фамилий) работников, участвующих в выполнении каждой из приведенных работ в графе 2;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5 для каждой должностной группы (при необходимости с указанием конкретных фамилий) работников, участвующих в выполнении данной работы, указывается общее количество рабочих дней, необходимых данной квалификационной группе для её выполнения; рабочее время не должно превышать значений, определенных по временным нормам;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6 приводятся данные по стоимости 1 человеко-дня в рублях по категориям работников. Стоимость 1 человеко-дня непосредственных исполнителей приводится по штатному расписанию основного производственного персонала исходя из установленных в нем окладов, а также выплат стимулирующего и компенсирующего характера, установленных Положением о премировании работников предприятия.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7 указывается заработная плата в рублях (</w:t>
      </w:r>
      <w:r>
        <w:rPr>
          <w:b/>
          <w:u w:val="single"/>
        </w:rPr>
        <w:t>результат перемножения граф 5 и 6</w:t>
      </w:r>
      <w:r>
        <w:rPr/>
        <w:t>);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Данные по количеству человек, дней и категорий непосредственных исполнителей, приведенные в графах 3, 4, 5, указываются в соответствии с экспертной оценкой трудоемкости этих работ, выполненных главным инженером проекта, или на базе имеющихся в организации проработок, определяющих нормативы их трудоемкости.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2. Расчет стоимости выполнения работ: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2.1 указывается процент заработной платы производственного персонала в составе себестоимости (</w:t>
      </w:r>
      <w:r>
        <w:rPr>
          <w:b/>
          <w:u w:val="single"/>
        </w:rPr>
        <w:t>без учета субподрядных работ</w:t>
      </w:r>
      <w:r>
        <w:rPr/>
        <w:t>), находящийся в пределах не менее 30% – уточняется по данным организации в соответствии с бизнес-планом. Данные по оплате труда, процент заработной платы в составе себестоимости, уровень рентабельности организации принимаются в соответствии с плановыми показателями на соответствующий период выполнения работ и утверждаются внутренним документом организации.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2.2 производится расчет себестоимости работ на основании выполненного в разделе 1 расчета заработной платы и ее процента в составе себестоимости работ (отношение итога графы 7 раздела 1 к пункту 2.1);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2.3 указывается уровень рентабельности (размер сметной прибыли), принимается по данным организации в соответствии с финансовым планом;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>
          <w:color w:val="000000"/>
        </w:rPr>
      </w:pPr>
      <w:r>
        <w:rPr/>
        <w:t xml:space="preserve">уровень рентабельности по отношению к себестоимости может составлять </w:t>
      </w:r>
      <w:r>
        <w:rPr>
          <w:color w:val="000000"/>
        </w:rPr>
        <w:t>до 15%.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К сметной документации необходимо приложить все справочные данные по вышеуказанным экономическим характеристикам предприятия в виде официальной справки (образец в Приложении №1 к пояснительной записке по заполнению формы 3П).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3. Расчет командировочных расходов.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Командировочные расходы включаются в сметный расчет отдельной строкой (пункт 3 формы 3П) по отдельно выполненному расчету с расшифровкой затрат на проезд, проживание, суточные расходы.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Стоимость проезда необходимо указывать по каждому виду транспорта отдельно туда и отдельно обратно.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Размер расходов на проезд и стоимость проживания в гостинице определяется на момент составления расчета. Форма расчета приведена в Приложении 4.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Размеры возмещения расходов, связанных со служебными командировками, определяются коллективным договором и/или локальным нормативным актом организации–исполнителя, но не выше нормативов возмещения расходов, связанных со служебными командировками, установленных локальным нормативным актом организации–заказчика.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Лимиты командировочных расходов при производстве НИР/НИОКР: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суточные - 700 руб./сутки;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проживание – 4000 руб./сутки;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 xml:space="preserve">проезд: поезд (купе) или самолет (класс </w:t>
      </w:r>
      <w:r>
        <w:rPr>
          <w:color w:val="000000"/>
        </w:rPr>
        <w:t>–эконом с багажом до 20 (двадцати) кг, ручная кладь до 10 (десяти) кг).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>
          <w:b/>
          <w:i/>
          <w:i/>
          <w:color w:val="000000" w:themeColor="text1"/>
        </w:rPr>
      </w:pPr>
      <w:r>
        <w:rPr>
          <w:b/>
          <w:i/>
          <w:color w:val="000000" w:themeColor="text1"/>
        </w:rPr>
        <w:t xml:space="preserve">Данные лимиты могут быть пересмотрены на этапе согласования технических требований. </w:t>
      </w:r>
    </w:p>
    <w:p>
      <w:pPr>
        <w:pStyle w:val="Normal"/>
        <w:tabs>
          <w:tab w:val="clear" w:pos="708"/>
          <w:tab w:val="left" w:pos="851" w:leader="none"/>
          <w:tab w:val="left" w:pos="993" w:leader="none"/>
          <w:tab w:val="left" w:pos="1080" w:leader="none"/>
        </w:tabs>
        <w:spacing w:before="0" w:after="0"/>
        <w:ind w:firstLine="567"/>
        <w:contextualSpacing/>
        <w:jc w:val="both"/>
        <w:rPr/>
      </w:pPr>
      <w:r>
        <w:rPr/>
        <w:t xml:space="preserve">При учете командировочных расходов стоимость проезда (авиа-, ж/д, …) и проживания определяется Методом анализа ТКП в соответствии с Методикой формирования плановой цены на закупаемую продукцию для организаций Группы РусГидро (далее – Методика ПЦ) </w:t>
      </w:r>
      <w:r>
        <w:rPr>
          <w:b/>
          <w:color w:val="FF0000"/>
        </w:rPr>
        <w:t>(включить соответствующие требования Методики ПЦ отдельным приложением)</w:t>
      </w:r>
      <w:r>
        <w:rPr/>
        <w:t>.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При наличии командировочных расходов необходимо составлять общий реестр стоимости проездных билетов с разбивкой по сметам, к которым они относятся.</w:t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Приложение №1</w:t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к пояснительной записке по заполнению формы 3П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СПРАВКА от _______________________________(Образец)</w:t>
      </w:r>
    </w:p>
    <w:p>
      <w:pPr>
        <w:pStyle w:val="Normal"/>
        <w:rPr/>
      </w:pPr>
      <w:r>
        <w:rPr/>
        <w:t>Настоящим (краткое/полное наименование организации подрядчика/контрагента) сообщает о том, что средняя оплата труда специалистов за рабочий день составляет:</w:t>
      </w:r>
    </w:p>
    <w:p>
      <w:pPr>
        <w:pStyle w:val="Normal"/>
        <w:rPr/>
      </w:pPr>
      <w:r>
        <w:rPr/>
      </w:r>
    </w:p>
    <w:tbl>
      <w:tblPr>
        <w:tblW w:w="8793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7"/>
        <w:gridCol w:w="3942"/>
        <w:gridCol w:w="3104"/>
      </w:tblGrid>
      <w:tr>
        <w:trPr>
          <w:trHeight w:val="325" w:hRule="atLeast"/>
        </w:trPr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п/п</w:t>
            </w:r>
          </w:p>
        </w:tc>
        <w:tc>
          <w:tcPr>
            <w:tcW w:w="3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Должность специалиста</w:t>
            </w:r>
          </w:p>
        </w:tc>
        <w:tc>
          <w:tcPr>
            <w:tcW w:w="3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Заработная плата в день, в руб.</w:t>
            </w:r>
          </w:p>
        </w:tc>
      </w:tr>
      <w:tr>
        <w:trPr>
          <w:trHeight w:val="630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val="581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val="634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  <w:t>Доля заработной платы в себестоимости работ, выполняемых собственными /силами____ (%)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Рентабельность предприятия_______ (%)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(Должность единоличного исполнительного органа контрагента/подрядчика)</w:t>
        <w:tab/>
        <w:tab/>
      </w:r>
    </w:p>
    <w:p>
      <w:pPr>
        <w:pStyle w:val="Normal"/>
        <w:jc w:val="both"/>
        <w:rPr/>
      </w:pPr>
      <w:r>
        <w:rPr/>
        <w:t>(краткое/полное наименование организации) ________________ (ФИО)</w:t>
      </w:r>
    </w:p>
    <w:p>
      <w:pPr>
        <w:pStyle w:val="Normal"/>
        <w:jc w:val="both"/>
        <w:rPr/>
      </w:pPr>
      <w:r>
        <w:rPr/>
        <w:t>м.п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(Главный бухгалтер)</w:t>
      </w:r>
      <w:r>
        <w:rPr>
          <w:rStyle w:val="FootnoteReference"/>
        </w:rPr>
        <w:footnoteReference w:id="2"/>
      </w:r>
      <w:r>
        <w:rPr/>
        <w:tab/>
        <w:tab/>
      </w:r>
    </w:p>
    <w:p>
      <w:pPr>
        <w:pStyle w:val="Normal"/>
        <w:jc w:val="both"/>
        <w:rPr/>
      </w:pPr>
      <w:r>
        <w:rPr/>
        <w:t>(краткое/полное наименование организации контрагента/подрядчика)________________ (ФИО)</w:t>
      </w:r>
    </w:p>
    <w:p>
      <w:pPr>
        <w:pStyle w:val="Normal"/>
        <w:jc w:val="both"/>
        <w:rPr/>
      </w:pPr>
      <w:r>
        <w:rPr/>
      </w:r>
    </w:p>
    <w:p>
      <w:pPr>
        <w:sectPr>
          <w:headerReference w:type="default" r:id="rId11"/>
          <w:headerReference w:type="first" r:id="rId12"/>
          <w:footnotePr>
            <w:numFmt w:val="decimal"/>
            <w:numRestart w:val="eachPage"/>
          </w:footnotePr>
          <w:type w:val="nextPage"/>
          <w:pgSz w:w="11906" w:h="16838"/>
          <w:pgMar w:left="1304" w:right="924" w:gutter="0" w:header="709" w:top="851" w:footer="0" w:bottom="72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/>
        <w:t>м.п</w:t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Приложение № 2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/>
      </w:pPr>
      <w:r>
        <w:rPr/>
      </w:r>
    </w:p>
    <w:p>
      <w:pPr>
        <w:pStyle w:val="Normal"/>
        <w:shd w:val="clear" w:color="auto" w:fill="FFFFFF"/>
        <w:ind w:left="720" w:firstLine="284"/>
        <w:jc w:val="center"/>
        <w:rPr>
          <w:b/>
          <w:bCs/>
          <w:iCs/>
          <w:spacing w:val="-4"/>
        </w:rPr>
      </w:pPr>
      <w:r>
        <w:rPr>
          <w:b/>
          <w:bCs/>
          <w:iCs/>
          <w:spacing w:val="-4"/>
        </w:rPr>
        <w:t>Образцы оформления сметной документации на НИР/НИОКР</w:t>
      </w:r>
    </w:p>
    <w:p>
      <w:pPr>
        <w:pStyle w:val="Normal"/>
        <w:shd w:val="clear" w:color="auto" w:fill="FFFFFF"/>
        <w:ind w:left="720" w:firstLine="284"/>
        <w:jc w:val="center"/>
        <w:rPr>
          <w:b/>
          <w:bCs/>
          <w:iCs/>
          <w:spacing w:val="-4"/>
          <w:sz w:val="24"/>
          <w:szCs w:val="24"/>
        </w:rPr>
      </w:pPr>
      <w:r>
        <w:rPr>
          <w:b/>
          <w:bCs/>
          <w:iCs/>
          <w:spacing w:val="-4"/>
          <w:sz w:val="24"/>
          <w:szCs w:val="24"/>
        </w:rPr>
      </w:r>
    </w:p>
    <w:p>
      <w:pPr>
        <w:pStyle w:val="Normal"/>
        <w:shd w:val="clear" w:color="auto" w:fill="FFFFFF"/>
        <w:ind w:left="284" w:hanging="0"/>
        <w:rPr>
          <w:b/>
        </w:rPr>
      </w:pPr>
      <w:r>
        <w:rPr>
          <w:b/>
        </w:rPr>
        <w:t>Образец 2П</w:t>
      </w:r>
    </w:p>
    <w:tbl>
      <w:tblPr>
        <w:tblW w:w="95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570"/>
      </w:tblGrid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</w:rPr>
              <w:t>Приложение №_____</w:t>
            </w:r>
          </w:p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</w:rPr>
            </w:pPr>
            <w:r>
              <w:rPr>
                <w:sz w:val="20"/>
              </w:rPr>
              <w:t>к договору, дополнительному соглашению</w:t>
            </w:r>
            <w:r>
              <w:rPr>
                <w:sz w:val="20"/>
                <w:szCs w:val="20"/>
              </w:rPr>
              <w:t xml:space="preserve"> №____от _______</w:t>
            </w:r>
          </w:p>
          <w:p>
            <w:pPr>
              <w:pStyle w:val="Normal"/>
              <w:widowControl w:val="false"/>
              <w:shd w:val="clear" w:color="auto" w:fill="FFFFFF"/>
              <w:ind w:left="3829" w:hanging="0"/>
              <w:rPr/>
            </w:pPr>
            <w:r>
              <w:rPr/>
            </w:r>
          </w:p>
          <w:tbl>
            <w:tblPr>
              <w:tblW w:w="935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376"/>
              <w:gridCol w:w="4977"/>
            </w:tblGrid>
            <w:tr>
              <w:trPr>
                <w:trHeight w:val="417" w:hRule="atLeast"/>
              </w:trPr>
              <w:tc>
                <w:tcPr>
                  <w:tcW w:w="4376" w:type="dxa"/>
                  <w:tcBorders/>
                  <w:vAlign w:val="bottom"/>
                </w:tcPr>
                <w:p>
                  <w:pPr>
                    <w:pStyle w:val="Normal"/>
                    <w:widowControl w:val="false"/>
                    <w:rPr/>
                  </w:pPr>
                  <w:r>
                    <w:rPr>
                      <w:b/>
                      <w:bCs/>
                    </w:rPr>
                    <w:t>СОГЛАСОВАНО:</w:t>
                  </w:r>
                </w:p>
                <w:p>
                  <w:pPr>
                    <w:pStyle w:val="Normal"/>
                    <w:widowControl w:val="false"/>
                    <w:rPr>
                      <w:sz w:val="20"/>
                      <w:szCs w:val="20"/>
                    </w:rPr>
                  </w:pPr>
                  <w:r>
                    <w:rPr/>
                    <w:t>_________________(</w:t>
                  </w:r>
                  <w:r>
                    <w:rPr>
                      <w:sz w:val="20"/>
                      <w:szCs w:val="20"/>
                    </w:rPr>
                    <w:t>Подрядчик)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_________________Ф.И.О.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4977" w:type="dxa"/>
                  <w:tcBorders/>
                </w:tcPr>
                <w:p>
                  <w:pPr>
                    <w:pStyle w:val="Normal"/>
                    <w:widowControl w:val="false"/>
                    <w:ind w:left="1460" w:hanging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УТВЕРЖДАЮ: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>
                      <w:bCs/>
                    </w:rPr>
                  </w:pPr>
                  <w:r>
                    <w:rPr>
                      <w:bCs/>
                    </w:rPr>
                    <w:t>_________________(</w:t>
                  </w:r>
                  <w:r>
                    <w:rPr>
                      <w:bCs/>
                      <w:sz w:val="20"/>
                      <w:szCs w:val="20"/>
                    </w:rPr>
                    <w:t>Заказчик)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/>
                  </w:pPr>
                  <w:r>
                    <w:rPr/>
                    <w:t>_________________Ф.И.О.</w:t>
                  </w:r>
                </w:p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СМЕТА № </w:t>
              <w:br/>
              <w:t>на научно-исследовательские работы (НИР/НИОКР)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предприятия, здания, сооружения, стадии проектирования, этапа, вида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НИР/НИОКР___________________________________________________________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подрядной организации_________________________________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pBdr>
                <w:bottom w:val="single" w:sz="12" w:space="1" w:color="000000"/>
              </w:pBdr>
              <w:shd w:val="clear" w:color="auto" w:fill="FFFFFF"/>
              <w:rPr/>
            </w:pPr>
            <w:r>
              <w:rPr/>
              <w:t>Наименование организации заказчика_________________________________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 xml:space="preserve"> </w:t>
            </w:r>
            <w:r>
              <w:rPr/>
              <w:t>Составлена в текущих ценах, соответствующих периоду выполнения работ по договору</w:t>
            </w:r>
          </w:p>
          <w:p>
            <w:pPr>
              <w:pStyle w:val="Normal"/>
              <w:widowControl w:val="false"/>
              <w:shd w:val="clear" w:color="auto" w:fill="FFFFFF"/>
              <w:jc w:val="right"/>
              <w:rPr/>
            </w:pPr>
            <w:r>
              <w:rPr/>
              <w:t>руб.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4a0" w:noHBand="0" w:noVBand="1" w:firstColumn="1" w:lastRow="0" w:lastColumn="0" w:firstRow="1"/>
            </w:tblPr>
            <w:tblGrid>
              <w:gridCol w:w="578"/>
              <w:gridCol w:w="2042"/>
              <w:gridCol w:w="3229"/>
              <w:gridCol w:w="2401"/>
              <w:gridCol w:w="1104"/>
            </w:tblGrid>
            <w:tr>
              <w:trPr>
                <w:tblHeader w:val="true"/>
              </w:trPr>
              <w:tc>
                <w:tcPr>
                  <w:tcW w:w="57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№ </w:t>
                  </w:r>
                  <w:r>
                    <w:rPr>
                      <w:sz w:val="20"/>
                    </w:rPr>
                    <w:t>пп</w:t>
                  </w:r>
                </w:p>
              </w:tc>
              <w:tc>
                <w:tcPr>
                  <w:tcW w:w="2042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Характеристика предприятия, здания, сооружения или виды работ</w:t>
                  </w:r>
                </w:p>
              </w:tc>
              <w:tc>
                <w:tcPr>
                  <w:tcW w:w="3229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Расчет стоимости: </w:t>
                  </w:r>
                  <w:r>
                    <w:rPr>
                      <w:sz w:val="20"/>
                      <w:szCs w:val="20"/>
                    </w:rPr>
                    <w:br/>
                  </w:r>
                  <w:r>
                    <w:rPr>
                      <w:sz w:val="20"/>
                    </w:rPr>
                    <w:t xml:space="preserve">(a + bx)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K</w:t>
                  </w:r>
                  <w:r>
                    <w:rPr>
                      <w:sz w:val="20"/>
                      <w:vertAlign w:val="subscript"/>
                    </w:rPr>
                    <w:t>i</w:t>
                  </w:r>
                  <w:r>
                    <w:rPr>
                      <w:sz w:val="20"/>
                    </w:rPr>
                    <w:t xml:space="preserve">, или (объем строительно-монтажных работ)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проц.</w:t>
                  </w:r>
                </w:p>
              </w:tc>
              <w:tc>
                <w:tcPr>
                  <w:tcW w:w="1104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Стоимость</w:t>
                  </w:r>
                </w:p>
              </w:tc>
            </w:tr>
            <w:tr>
              <w:trPr>
                <w:tblHeader w:val="true"/>
              </w:trPr>
              <w:tc>
                <w:tcPr>
                  <w:tcW w:w="578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042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3229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или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количество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цена</w:t>
                  </w:r>
                </w:p>
              </w:tc>
              <w:tc>
                <w:tcPr>
                  <w:tcW w:w="1104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>
                <w:tblHeader w:val="true"/>
              </w:trPr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042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3229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042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322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57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322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104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Составил:_________/должность, организация/____________/подпись/____________/расшифровка подписи/</w:t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Проверил:_____________/должность, организация/____________ /подпись/____________/расшифровка подписи/</w:t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13"/>
          <w:headerReference w:type="first" r:id="rId14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hd w:val="clear" w:color="auto" w:fill="FFFFFF"/>
        <w:ind w:left="142" w:firstLine="142"/>
        <w:rPr>
          <w:b/>
        </w:rPr>
      </w:pPr>
      <w:r>
        <w:rPr>
          <w:b/>
        </w:rPr>
        <w:t>Образец 3п</w:t>
      </w:r>
    </w:p>
    <w:p>
      <w:pPr>
        <w:pStyle w:val="Normal"/>
        <w:shd w:val="clear" w:color="auto" w:fill="FFFFFF"/>
        <w:jc w:val="right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5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570"/>
      </w:tblGrid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</w:rPr>
              <w:t>Приложение №_____</w:t>
            </w:r>
          </w:p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</w:rPr>
            </w:pPr>
            <w:r>
              <w:rPr>
                <w:sz w:val="20"/>
              </w:rPr>
              <w:t>к договору, дополнительному соглашению</w:t>
            </w:r>
            <w:r>
              <w:rPr>
                <w:sz w:val="20"/>
                <w:szCs w:val="20"/>
              </w:rPr>
              <w:t xml:space="preserve"> №____от _______</w:t>
            </w:r>
          </w:p>
          <w:p>
            <w:pPr>
              <w:pStyle w:val="Normal"/>
              <w:widowControl w:val="false"/>
              <w:shd w:val="clear" w:color="auto" w:fill="FFFFFF"/>
              <w:ind w:left="269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tbl>
            <w:tblPr>
              <w:tblW w:w="935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387"/>
              <w:gridCol w:w="4966"/>
            </w:tblGrid>
            <w:tr>
              <w:trPr>
                <w:trHeight w:val="417" w:hRule="atLeast"/>
              </w:trPr>
              <w:tc>
                <w:tcPr>
                  <w:tcW w:w="4387" w:type="dxa"/>
                  <w:tcBorders/>
                  <w:vAlign w:val="bottom"/>
                </w:tcPr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>
                      <w:b/>
                      <w:bCs/>
                    </w:rPr>
                    <w:t>СОГЛАСОВАНО: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</w:t>
                  </w:r>
                  <w:r>
                    <w:rPr>
                      <w:sz w:val="20"/>
                      <w:szCs w:val="20"/>
                    </w:rPr>
                    <w:t xml:space="preserve"> (Подрядчик)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 Ф.И.О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4966" w:type="dxa"/>
                  <w:tcBorders/>
                </w:tcPr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  <w:p>
                  <w:pPr>
                    <w:pStyle w:val="Normal"/>
                    <w:widowControl w:val="false"/>
                    <w:ind w:left="1602" w:hanging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УТВЕРЖДАЮ: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>
                      <w:bCs/>
                    </w:rPr>
                  </w:pPr>
                  <w:r>
                    <w:rPr>
                      <w:bCs/>
                    </w:rPr>
                    <w:t>________________(</w:t>
                  </w:r>
                  <w:r>
                    <w:rPr>
                      <w:bCs/>
                      <w:sz w:val="20"/>
                      <w:szCs w:val="20"/>
                    </w:rPr>
                    <w:t>Заказчик)</w:t>
                  </w:r>
                </w:p>
                <w:p>
                  <w:pPr>
                    <w:pStyle w:val="Normal"/>
                    <w:widowControl w:val="false"/>
                    <w:ind w:left="1602" w:hanging="0"/>
                    <w:rPr/>
                  </w:pPr>
                  <w:r>
                    <w:rPr/>
                    <w:t>_________________Ф.И.О</w:t>
                  </w:r>
                </w:p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СМЕТА № </w:t>
              <w:br/>
              <w:t>на научно-исследовательские работы (НИР/НИОКР)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предприятия, здания, сооружения, стадии проектирования, этапа, вида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НИР/НИОКР___________________________________________________________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организации__________________________________________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pBdr>
                <w:bottom w:val="single" w:sz="12" w:space="1" w:color="000000"/>
              </w:pBdr>
              <w:shd w:val="clear" w:color="auto" w:fill="FFFFFF"/>
              <w:rPr/>
            </w:pPr>
            <w:r>
              <w:rPr/>
              <w:t>Наименование организации заказчика_________________________________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br/>
              <w:t xml:space="preserve"> Составлена в текущих ценах, соответствующих периоду выполнения работ по договору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</w:rPr>
              <w:t>1. Расчет заработной платы</w:t>
            </w:r>
            <w:r>
              <w:rPr/>
              <w:tab/>
              <w:tab/>
              <w:tab/>
              <w:tab/>
              <w:tab/>
              <w:tab/>
              <w:tab/>
              <w:tab/>
              <w:t>руб.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4a0" w:noHBand="0" w:noVBand="1" w:firstColumn="1" w:lastRow="0" w:lastColumn="0" w:firstRow="1"/>
            </w:tblPr>
            <w:tblGrid>
              <w:gridCol w:w="418"/>
              <w:gridCol w:w="2389"/>
              <w:gridCol w:w="1064"/>
              <w:gridCol w:w="1005"/>
              <w:gridCol w:w="1321"/>
              <w:gridCol w:w="1321"/>
              <w:gridCol w:w="1835"/>
            </w:tblGrid>
            <w:tr>
              <w:trPr>
                <w:tblHeader w:val="true"/>
              </w:trPr>
              <w:tc>
                <w:tcPr>
                  <w:tcW w:w="41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№ </w:t>
                  </w:r>
                  <w:r>
                    <w:rPr>
                      <w:sz w:val="20"/>
                    </w:rPr>
                    <w:t>п.п.</w:t>
                  </w:r>
                </w:p>
              </w:tc>
              <w:tc>
                <w:tcPr>
                  <w:tcW w:w="2389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Перечень выполняемых работ</w:t>
                  </w:r>
                </w:p>
              </w:tc>
              <w:tc>
                <w:tcPr>
                  <w:tcW w:w="2069" w:type="dxa"/>
                  <w:gridSpan w:val="2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Исполнители</w:t>
                  </w:r>
                </w:p>
              </w:tc>
              <w:tc>
                <w:tcPr>
                  <w:tcW w:w="1321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Количество человеко-дней</w:t>
                  </w:r>
                </w:p>
              </w:tc>
              <w:tc>
                <w:tcPr>
                  <w:tcW w:w="132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Средняя оплата труда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за 1 день</w:t>
                  </w:r>
                </w:p>
              </w:tc>
              <w:tc>
                <w:tcPr>
                  <w:tcW w:w="1835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Оплата труда (всего)</w:t>
                  </w:r>
                </w:p>
              </w:tc>
            </w:tr>
            <w:tr>
              <w:trPr>
                <w:tblHeader w:val="true"/>
              </w:trPr>
              <w:tc>
                <w:tcPr>
                  <w:tcW w:w="418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389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количество</w:t>
                  </w:r>
                </w:p>
              </w:tc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>должность</w:t>
                  </w:r>
                </w:p>
              </w:tc>
              <w:tc>
                <w:tcPr>
                  <w:tcW w:w="1321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835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>
                <w:tblHeader w:val="true"/>
              </w:trPr>
              <w:tc>
                <w:tcPr>
                  <w:tcW w:w="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89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835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41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38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05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835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/>
              <w:tc>
                <w:tcPr>
                  <w:tcW w:w="41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38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83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/>
              <w:t>Итого заработной платы, в руб. 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>
                <w:b/>
              </w:rPr>
            </w:pPr>
            <w:r>
              <w:rPr>
                <w:b/>
              </w:rPr>
              <w:t>2. Расчет стоимости выполнения работ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2.1 Процент заработной платы в составе себестоимости, %_______________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2.2 Себестоимость работ____________________________________________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2.3 Уровень рентабельности, %______________________________________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  <w:bCs/>
              </w:rPr>
              <w:t>Итого:</w:t>
            </w:r>
            <w:r>
              <w:rPr/>
              <w:t>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3 Командировочные расходы (по расчету)____________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</w:rPr>
              <w:t>Всего (руб.)</w:t>
            </w:r>
            <w:r>
              <w:rPr/>
              <w:t xml:space="preserve"> 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ind w:firstLine="2070"/>
              <w:jc w:val="center"/>
              <w:rPr/>
            </w:pPr>
            <w:r>
              <w:rPr/>
              <w:t>(сумма прописью)</w:t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Составил:_______/должность, организация/________________/подпись/___________/расшифровка подписи/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Проверил:__________/должность, организация/____________________/подпись/_________/расшифровка подписи/</w:t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6" w:hRule="atLeast"/>
        </w:trPr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ind w:left="5670" w:hanging="0"/>
        <w:rPr>
          <w:sz w:val="20"/>
        </w:rPr>
      </w:pPr>
      <w:r>
        <w:br w:type="page"/>
      </w:r>
      <w:r>
        <w:rPr>
          <w:sz w:val="20"/>
        </w:rPr>
        <w:t>Приложение № 3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rPr/>
      </w:pPr>
      <w:r>
        <w:rPr>
          <w:b/>
        </w:rPr>
        <w:t>Образец</w:t>
      </w:r>
    </w:p>
    <w:p>
      <w:pPr>
        <w:pStyle w:val="Normal"/>
        <w:shd w:val="clear" w:color="auto" w:fill="FFFFFF"/>
        <w:ind w:left="5530" w:hanging="0"/>
        <w:rPr>
          <w:sz w:val="20"/>
          <w:szCs w:val="20"/>
        </w:rPr>
      </w:pPr>
      <w:r>
        <w:rPr>
          <w:sz w:val="20"/>
        </w:rPr>
        <w:t>Приложение №_____</w:t>
      </w:r>
    </w:p>
    <w:p>
      <w:pPr>
        <w:pStyle w:val="Normal"/>
        <w:shd w:val="clear" w:color="auto" w:fill="FFFFFF"/>
        <w:ind w:left="5530" w:hanging="0"/>
        <w:rPr>
          <w:sz w:val="20"/>
        </w:rPr>
      </w:pPr>
      <w:r>
        <w:rPr>
          <w:sz w:val="20"/>
        </w:rPr>
        <w:t>к договору, дополнительному соглашению</w:t>
      </w:r>
      <w:r>
        <w:rPr>
          <w:sz w:val="20"/>
          <w:szCs w:val="20"/>
        </w:rPr>
        <w:t xml:space="preserve"> №____от _______</w:t>
      </w:r>
    </w:p>
    <w:p>
      <w:pPr>
        <w:pStyle w:val="Normal"/>
        <w:shd w:val="clear" w:color="auto" w:fill="FFFFFF"/>
        <w:ind w:left="5530" w:hanging="0"/>
        <w:rPr/>
      </w:pPr>
      <w:r>
        <w:rPr/>
      </w:r>
    </w:p>
    <w:tbl>
      <w:tblPr>
        <w:tblW w:w="95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26"/>
        <w:gridCol w:w="4977"/>
      </w:tblGrid>
      <w:tr>
        <w:trPr>
          <w:trHeight w:val="417" w:hRule="atLeast"/>
        </w:trPr>
        <w:tc>
          <w:tcPr>
            <w:tcW w:w="4526" w:type="dxa"/>
            <w:tcBorders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</w:rPr>
              <w:t>СОГЛАСОВАНО: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/>
              <w:t>_________________(</w:t>
            </w:r>
            <w:r>
              <w:rPr>
                <w:sz w:val="20"/>
                <w:szCs w:val="20"/>
              </w:rPr>
              <w:t>Подрядчик)</w:t>
            </w:r>
          </w:p>
          <w:p>
            <w:pPr>
              <w:pStyle w:val="Normal"/>
              <w:widowControl w:val="false"/>
              <w:rPr/>
            </w:pPr>
            <w:r>
              <w:rPr/>
              <w:t>_________________Ф.И.О.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 w:val="false"/>
              <w:ind w:left="1460" w:hanging="0"/>
              <w:rPr>
                <w:b/>
                <w:bCs/>
              </w:rPr>
            </w:pPr>
            <w:r>
              <w:rPr>
                <w:b/>
                <w:bCs/>
              </w:rPr>
              <w:t>УТВЕРЖДАЮ:</w:t>
            </w:r>
          </w:p>
          <w:p>
            <w:pPr>
              <w:pStyle w:val="Normal"/>
              <w:widowControl w:val="false"/>
              <w:ind w:left="1460" w:hanging="0"/>
              <w:rPr>
                <w:bCs/>
              </w:rPr>
            </w:pPr>
            <w:r>
              <w:rPr>
                <w:bCs/>
              </w:rPr>
              <w:t>_________________(</w:t>
            </w:r>
            <w:r>
              <w:rPr>
                <w:bCs/>
                <w:sz w:val="20"/>
                <w:szCs w:val="20"/>
              </w:rPr>
              <w:t>Заказчик)</w:t>
            </w:r>
          </w:p>
          <w:p>
            <w:pPr>
              <w:pStyle w:val="Normal"/>
              <w:widowControl w:val="false"/>
              <w:ind w:left="1460" w:hanging="0"/>
              <w:rPr/>
            </w:pPr>
            <w:r>
              <w:rPr/>
              <w:t>_________________Ф.И.О</w:t>
            </w:r>
          </w:p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СВОДНАЯ СМЕТА № </w:t>
        <w:br/>
        <w:t>на научно-исследовательские работы (НИР/НИОКР)</w:t>
      </w:r>
    </w:p>
    <w:p>
      <w:pPr>
        <w:pStyle w:val="Normal"/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rPr/>
      </w:pPr>
      <w:r>
        <w:rPr/>
        <w:t xml:space="preserve">Наименование предприятия, здания, сооружения, стадии проектирования, этапа, вида </w:t>
      </w:r>
    </w:p>
    <w:p>
      <w:pPr>
        <w:pStyle w:val="Normal"/>
        <w:shd w:val="clear" w:color="auto" w:fill="FFFFFF"/>
        <w:rPr/>
      </w:pPr>
      <w:r>
        <w:rPr/>
        <w:t>НИР/НИОКР___________________________________________________________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подрядной организации_________________________________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организации заказчика_________________________________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rPr/>
      </w:pPr>
      <w:r>
        <w:rPr/>
        <w:t>Составлена в текущих ценах, соответствующих периоду выполнения работ по договору</w:t>
      </w:r>
    </w:p>
    <w:p>
      <w:pPr>
        <w:pStyle w:val="Normal"/>
        <w:jc w:val="right"/>
        <w:rPr/>
      </w:pPr>
      <w:r>
        <w:rPr/>
        <w:t>руб.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4a0" w:noHBand="0" w:noVBand="1" w:firstColumn="1" w:lastRow="0" w:lastColumn="0" w:firstRow="1"/>
      </w:tblPr>
      <w:tblGrid>
        <w:gridCol w:w="492"/>
        <w:gridCol w:w="3743"/>
        <w:gridCol w:w="1556"/>
        <w:gridCol w:w="3562"/>
      </w:tblGrid>
      <w:tr>
        <w:trPr>
          <w:tblHeader w:val="true"/>
          <w:trHeight w:val="87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>п.п.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Перечень (наименование) выполняемых работ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Ссылка на № смет и расчетов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Стоимость работ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blHeader w:val="true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4</w:t>
            </w:r>
          </w:p>
        </w:tc>
      </w:tr>
      <w:tr>
        <w:trPr/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rPr/>
      </w:pPr>
      <w:r>
        <w:rPr/>
      </w:r>
    </w:p>
    <w:p>
      <w:pPr>
        <w:pStyle w:val="Normal"/>
        <w:shd w:val="clear" w:color="auto" w:fill="FFFFFF"/>
        <w:rPr>
          <w:sz w:val="24"/>
          <w:szCs w:val="24"/>
        </w:rPr>
      </w:pPr>
      <w:r>
        <w:rPr/>
        <w:t>Итого по смете ___________________________________________________</w:t>
      </w:r>
    </w:p>
    <w:p>
      <w:pPr>
        <w:pStyle w:val="Normal"/>
        <w:shd w:val="clear" w:color="auto" w:fill="FFFFFF"/>
        <w:ind w:firstLine="1845"/>
        <w:jc w:val="center"/>
        <w:rPr/>
      </w:pPr>
      <w:r>
        <w:rPr/>
        <w:t>(сумма прописью)</w:t>
      </w:r>
    </w:p>
    <w:p>
      <w:pPr>
        <w:pStyle w:val="Normal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>Составил:_________/должность, организация/___________/подпись/_____________/расшифровка подписи/</w:t>
      </w:r>
    </w:p>
    <w:p>
      <w:pPr>
        <w:pStyle w:val="Normal"/>
        <w:shd w:val="clear" w:color="auto" w:fill="FFFFFF"/>
        <w:rPr/>
      </w:pPr>
      <w:r>
        <w:rPr/>
      </w:r>
    </w:p>
    <w:p>
      <w:pPr>
        <w:sectPr>
          <w:headerReference w:type="default" r:id="rId15"/>
          <w:headerReference w:type="first" r:id="rId16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rPr>
          <w:sz w:val="20"/>
          <w:szCs w:val="20"/>
        </w:rPr>
      </w:pPr>
      <w:r>
        <w:rPr>
          <w:sz w:val="20"/>
          <w:szCs w:val="20"/>
        </w:rPr>
        <w:t>Проверил:___________/должность, организация/_____________/подпись/___________/расшифровка подписи/</w:t>
      </w:r>
    </w:p>
    <w:p>
      <w:pPr>
        <w:pStyle w:val="Normal"/>
        <w:ind w:left="5670" w:hanging="0"/>
        <w:rPr>
          <w:sz w:val="20"/>
        </w:rPr>
      </w:pPr>
      <w:r>
        <w:rPr>
          <w:sz w:val="20"/>
        </w:rPr>
        <w:t>Приложение № 3.1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rPr/>
      </w:pPr>
      <w:r>
        <w:rPr>
          <w:b/>
        </w:rPr>
        <w:t>Образец сводной сметы в накопительной форме</w:t>
      </w:r>
    </w:p>
    <w:p>
      <w:pPr>
        <w:pStyle w:val="Normal"/>
        <w:shd w:val="clear" w:color="auto" w:fill="FFFFFF"/>
        <w:ind w:left="5670" w:hanging="0"/>
        <w:rPr>
          <w:sz w:val="20"/>
          <w:szCs w:val="20"/>
        </w:rPr>
      </w:pPr>
      <w:r>
        <w:rPr>
          <w:sz w:val="20"/>
        </w:rPr>
        <w:t>Приложение №_____</w:t>
      </w:r>
    </w:p>
    <w:p>
      <w:pPr>
        <w:pStyle w:val="Normal"/>
        <w:shd w:val="clear" w:color="auto" w:fill="FFFFFF"/>
        <w:ind w:left="5670" w:hanging="0"/>
        <w:rPr>
          <w:sz w:val="20"/>
        </w:rPr>
      </w:pPr>
      <w:r>
        <w:rPr>
          <w:sz w:val="20"/>
        </w:rPr>
        <w:t>к дополнительному соглашению</w:t>
      </w:r>
      <w:r>
        <w:rPr>
          <w:sz w:val="20"/>
          <w:szCs w:val="20"/>
        </w:rPr>
        <w:t xml:space="preserve"> №____от</w:t>
      </w:r>
      <w:r>
        <w:rPr>
          <w:sz w:val="20"/>
        </w:rPr>
        <w:t xml:space="preserve"> договор №___от</w:t>
      </w:r>
      <w:r>
        <w:rPr>
          <w:sz w:val="20"/>
          <w:szCs w:val="20"/>
        </w:rPr>
        <w:t>___</w:t>
      </w:r>
    </w:p>
    <w:p>
      <w:pPr>
        <w:pStyle w:val="Normal"/>
        <w:shd w:val="clear" w:color="auto" w:fill="FFFFFF"/>
        <w:ind w:left="5530" w:hanging="0"/>
        <w:rPr/>
      </w:pPr>
      <w:r>
        <w:rPr/>
      </w:r>
    </w:p>
    <w:tbl>
      <w:tblPr>
        <w:tblW w:w="95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26"/>
        <w:gridCol w:w="4977"/>
      </w:tblGrid>
      <w:tr>
        <w:trPr>
          <w:trHeight w:val="417" w:hRule="atLeast"/>
        </w:trPr>
        <w:tc>
          <w:tcPr>
            <w:tcW w:w="4526" w:type="dxa"/>
            <w:tcBorders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</w:rPr>
              <w:t>СОГЛАСОВАНО: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/>
              <w:t>_________________(</w:t>
            </w:r>
            <w:r>
              <w:rPr>
                <w:sz w:val="20"/>
                <w:szCs w:val="20"/>
              </w:rPr>
              <w:t>Подрядчик)</w:t>
            </w:r>
          </w:p>
          <w:p>
            <w:pPr>
              <w:pStyle w:val="Normal"/>
              <w:widowControl w:val="false"/>
              <w:rPr/>
            </w:pPr>
            <w:r>
              <w:rPr/>
              <w:t>_________________Ф.И.О.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 w:val="false"/>
              <w:ind w:left="1460" w:hanging="0"/>
              <w:rPr>
                <w:b/>
                <w:bCs/>
              </w:rPr>
            </w:pPr>
            <w:r>
              <w:rPr>
                <w:b/>
                <w:bCs/>
              </w:rPr>
              <w:t>УТВЕРЖДАЮ:</w:t>
            </w:r>
          </w:p>
          <w:p>
            <w:pPr>
              <w:pStyle w:val="Normal"/>
              <w:widowControl w:val="false"/>
              <w:ind w:left="1460" w:hanging="0"/>
              <w:rPr>
                <w:bCs/>
              </w:rPr>
            </w:pPr>
            <w:r>
              <w:rPr>
                <w:bCs/>
              </w:rPr>
              <w:t>_________________(</w:t>
            </w:r>
            <w:r>
              <w:rPr>
                <w:bCs/>
                <w:sz w:val="20"/>
                <w:szCs w:val="20"/>
              </w:rPr>
              <w:t>Заказчик)</w:t>
            </w:r>
          </w:p>
          <w:p>
            <w:pPr>
              <w:pStyle w:val="Normal"/>
              <w:widowControl w:val="false"/>
              <w:ind w:left="1460" w:hanging="0"/>
              <w:rPr/>
            </w:pPr>
            <w:r>
              <w:rPr/>
              <w:t>_________________Ф.И.О</w:t>
            </w:r>
          </w:p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СВОДНАЯ СМЕТА № </w:t>
        <w:br/>
        <w:t>на научно-исследовательские работы (НИР/НИОКР)</w:t>
      </w:r>
    </w:p>
    <w:p>
      <w:pPr>
        <w:pStyle w:val="Normal"/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rPr/>
      </w:pPr>
      <w:r>
        <w:rPr/>
        <w:t xml:space="preserve">Наименование предприятия, здания, сооружения, стадии проектирования, этапа, вида </w:t>
      </w:r>
    </w:p>
    <w:p>
      <w:pPr>
        <w:pStyle w:val="Normal"/>
        <w:shd w:val="clear" w:color="auto" w:fill="FFFFFF"/>
        <w:rPr/>
      </w:pPr>
      <w:r>
        <w:rPr/>
        <w:t>НИР/НИОКР___________________________________________________________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подрядной организации_________________________________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организации заказчика_________________________________</w:t>
      </w:r>
    </w:p>
    <w:p>
      <w:pPr>
        <w:pStyle w:val="Normal"/>
        <w:rPr/>
      </w:pPr>
      <w:r>
        <w:rPr/>
        <w:t>Составлена в текущих ценах, соответствующих периоду выполнения работ по договору</w:t>
      </w:r>
    </w:p>
    <w:p>
      <w:pPr>
        <w:pStyle w:val="Normal"/>
        <w:jc w:val="right"/>
        <w:rPr/>
      </w:pPr>
      <w:r>
        <w:rPr/>
        <w:t>руб.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4a0" w:noHBand="0" w:noVBand="1" w:firstColumn="1" w:lastRow="0" w:lastColumn="0" w:firstRow="1"/>
      </w:tblPr>
      <w:tblGrid>
        <w:gridCol w:w="492"/>
        <w:gridCol w:w="3743"/>
        <w:gridCol w:w="1556"/>
        <w:gridCol w:w="3562"/>
      </w:tblGrid>
      <w:tr>
        <w:trPr>
          <w:tblHeader w:val="true"/>
          <w:trHeight w:val="87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п.п.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(наименование) выполняемых работ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№ смет и расчетов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работ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true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Сметы основного договора</w:t>
            </w:r>
          </w:p>
        </w:tc>
      </w:tr>
      <w:tr>
        <w:trPr/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по сметам основного договора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Исключено ДС №1</w:t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исключено дополнительным соглашением № 1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Включено ДС №1</w:t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включено дополнительным соглашением № 1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по договору подряда с учетом ДС №… без НДС: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Справочно: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основного договора,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изменения</w:t>
              <w:br/>
              <w:t>(увеличения/уменьшения) стоимости основного договора на основании ДС № 1,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изменения</w:t>
              <w:br/>
              <w:t>(увеличения/уменьшения) стоимости основного договора на основании ДС № 2,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shd w:val="clear" w:color="auto" w:fill="FFFFFF"/>
        <w:rPr/>
      </w:pPr>
      <w:r>
        <w:rPr/>
      </w:r>
    </w:p>
    <w:p>
      <w:pPr>
        <w:pStyle w:val="Normal"/>
        <w:shd w:val="clear" w:color="auto" w:fill="FFFFFF"/>
        <w:rPr>
          <w:sz w:val="24"/>
          <w:szCs w:val="24"/>
        </w:rPr>
      </w:pPr>
      <w:r>
        <w:rPr/>
        <w:t>Итого по смете ___________________________________________________</w:t>
      </w:r>
    </w:p>
    <w:p>
      <w:pPr>
        <w:pStyle w:val="Normal"/>
        <w:shd w:val="clear" w:color="auto" w:fill="FFFFFF"/>
        <w:ind w:firstLine="1845"/>
        <w:jc w:val="center"/>
        <w:rPr/>
      </w:pPr>
      <w:r>
        <w:rPr/>
        <w:t>(сумма прописью)</w:t>
      </w:r>
    </w:p>
    <w:p>
      <w:pPr>
        <w:pStyle w:val="Normal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>Составил:_________/должность, организация/___________/подпись/_____________/расшифровка подписи/</w:t>
      </w:r>
    </w:p>
    <w:p>
      <w:pPr>
        <w:pStyle w:val="Normal"/>
        <w:shd w:val="clear" w:color="auto" w:fill="FFFFFF"/>
        <w:rPr/>
      </w:pPr>
      <w:r>
        <w:rPr/>
      </w:r>
    </w:p>
    <w:p>
      <w:pPr>
        <w:sectPr>
          <w:headerReference w:type="default" r:id="rId17"/>
          <w:headerReference w:type="first" r:id="rId18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rPr/>
      </w:pPr>
      <w:r>
        <w:rPr>
          <w:sz w:val="20"/>
          <w:szCs w:val="20"/>
        </w:rPr>
        <w:t>Проверил:___________/должность, организация/_____________/подпись/___________/расшифровка подписи/</w:t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Приложение № 4</w:t>
      </w:r>
    </w:p>
    <w:p>
      <w:pPr>
        <w:pStyle w:val="Normal"/>
        <w:ind w:left="5670" w:hanging="0"/>
        <w:jc w:val="right"/>
        <w:rPr>
          <w:sz w:val="20"/>
        </w:rPr>
      </w:pPr>
      <w:r>
        <w:rPr>
          <w:sz w:val="20"/>
        </w:rPr>
        <w:t>к пояснительной записке по заполнению формы 3п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Образец расчета командировочных расходов</w:t>
      </w:r>
    </w:p>
    <w:p>
      <w:pPr>
        <w:pStyle w:val="Normal"/>
        <w:ind w:hanging="5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567"/>
        <w:jc w:val="right"/>
        <w:rPr>
          <w:b/>
        </w:rPr>
      </w:pPr>
      <w:r>
        <w:rPr/>
        <w:t>Приложение № __ к смете № __</w:t>
      </w:r>
    </w:p>
    <w:p>
      <w:pPr>
        <w:pStyle w:val="Normal"/>
        <w:ind w:hanging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командировочных расходов</w:t>
      </w:r>
    </w:p>
    <w:tbl>
      <w:tblPr>
        <w:tblW w:w="10787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51"/>
        <w:gridCol w:w="630"/>
        <w:gridCol w:w="876"/>
        <w:gridCol w:w="997"/>
        <w:gridCol w:w="1254"/>
        <w:gridCol w:w="730"/>
        <w:gridCol w:w="1179"/>
        <w:gridCol w:w="1278"/>
        <w:gridCol w:w="892"/>
        <w:gridCol w:w="923"/>
        <w:gridCol w:w="1251"/>
        <w:gridCol w:w="224"/>
      </w:tblGrid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пп.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Пункт назначения </w:t>
              <w:br/>
              <w:t>(туда / обратно)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транспорта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проезда, руб. (без НДС)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дней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суточных, руб./сут. </w:t>
              <w:br/>
              <w:t>(без НДС)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проживания, руб./сут. </w:t>
              <w:br/>
              <w:t>(без НДС)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командировок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командированных человек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стоимость командировочных расходов, руб. </w:t>
              <w:br/>
              <w:t>(без НДС)</w:t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6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 пункта 1 в пункт 5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1 в пункт 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2 в пункт 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4 в пункт 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стоимость командировочных расходов из пункта 1 в пункт 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6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 пункта 5 в пункт 1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5 в пункт 4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4 в пункт 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2 в пункт 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стоимость командировочных расходов из пункта 5 в пункт 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94" w:hRule="atLeast"/>
        </w:trPr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стоимость командировочных расходов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260" w:leader="none"/>
        </w:tabs>
        <w:ind w:left="1260" w:hanging="1080"/>
        <w:jc w:val="right"/>
        <w:rPr>
          <w:sz w:val="22"/>
          <w:szCs w:val="22"/>
        </w:rPr>
      </w:pPr>
      <w:r>
        <w:rPr>
          <w:sz w:val="24"/>
          <w:szCs w:val="24"/>
        </w:rPr>
        <w:t xml:space="preserve"> </w:t>
      </w:r>
    </w:p>
    <w:p>
      <w:pPr>
        <w:pStyle w:val="Normal"/>
        <w:ind w:left="8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p>
      <w:pPr>
        <w:pStyle w:val="Normal"/>
        <w:rPr>
          <w:i/>
          <w:i/>
          <w:iCs/>
          <w:sz w:val="24"/>
          <w:szCs w:val="24"/>
          <w:shd w:fill="FFFF99" w:val="clear"/>
        </w:rPr>
      </w:pPr>
      <w:r>
        <w:rPr>
          <w:i/>
          <w:iCs/>
          <w:sz w:val="24"/>
          <w:szCs w:val="24"/>
          <w:shd w:fill="FFFF99" w:val="clear"/>
        </w:rPr>
      </w:r>
      <w:r>
        <w:br w:type="page"/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iCs/>
          <w:sz w:val="26"/>
          <w:szCs w:val="26"/>
        </w:rPr>
      </w:pPr>
      <w:r>
        <w:rPr>
          <w:b w:val="false"/>
          <w:iCs/>
          <w:sz w:val="26"/>
          <w:szCs w:val="26"/>
        </w:rPr>
      </w:r>
    </w:p>
    <w:p>
      <w:pPr>
        <w:pStyle w:val="Normal"/>
        <w:spacing w:before="240" w:after="120"/>
        <w:jc w:val="center"/>
        <w:rPr>
          <w:b/>
          <w:bCs/>
          <w:i/>
          <w:i/>
          <w:caps/>
          <w:sz w:val="26"/>
          <w:szCs w:val="26"/>
          <w:shd w:fill="FFFF99" w:val="clear"/>
        </w:rPr>
      </w:pPr>
      <w:r>
        <w:rPr>
          <w:b/>
          <w:bCs/>
          <w:caps/>
        </w:rPr>
        <w:t>Лист согласования к техническим требованиям на выполнение научно-исследовательских, опытно-конструкторских и технологических работ</w:t>
      </w:r>
    </w:p>
    <w:p>
      <w:pPr>
        <w:pStyle w:val="Normal"/>
        <w:spacing w:before="0" w:after="1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120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По теме:</w:t>
      </w:r>
    </w:p>
    <w:p>
      <w:pPr>
        <w:pStyle w:val="Normal"/>
        <w:rPr>
          <w:b/>
        </w:rPr>
      </w:pPr>
      <w:r>
        <w:rPr>
          <w:sz w:val="24"/>
          <w:szCs w:val="24"/>
        </w:rPr>
        <w:t>«</w:t>
      </w:r>
      <w:r>
        <w:rPr>
          <w:b/>
          <w:bCs/>
        </w:rPr>
        <w:t>Проведение экспертизы промышленной безопасности здания являющегося площадкой опасных производственных объектов Гунибской ГЭС</w:t>
      </w:r>
      <w:r>
        <w:rPr>
          <w:b/>
          <w:sz w:val="24"/>
          <w:szCs w:val="24"/>
        </w:rPr>
        <w:t>»</w:t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Согласовано: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Технический руководитель </w:t>
        <w:tab/>
        <w:tab/>
        <w:tab/>
        <w:tab/>
        <w:t xml:space="preserve">Начальник ПТС 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 «Ирганайская ГЭС»                 </w:t>
      </w:r>
      <w:bookmarkStart w:id="34" w:name="_GoBack"/>
      <w:bookmarkEnd w:id="34"/>
      <w:r>
        <w:rPr>
          <w:b/>
          <w:sz w:val="24"/>
          <w:szCs w:val="24"/>
        </w:rPr>
        <w:t xml:space="preserve">                                 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 И.Ш. Гаджиев</w:t>
        <w:tab/>
        <w:tab/>
        <w:tab/>
        <w:t xml:space="preserve">           ___________З.А. Ахмедов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службы СОТ и ПК </w:t>
        <w:tab/>
        <w:tab/>
        <w:tab/>
        <w:tab/>
        <w:t>Начальник СПСР, ТПиР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__________С.В. Шевченко</w:t>
        <w:tab/>
        <w:tab/>
        <w:tab/>
        <w:tab/>
        <w:t>___________Д.М. Саидов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Зам. главного инженера </w:t>
        <w:tab/>
        <w:tab/>
        <w:t xml:space="preserve">                                   Зам. главного инженера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эксплуатации</w:t>
        <w:tab/>
        <w:tab/>
        <w:tab/>
        <w:tab/>
        <w:tab/>
        <w:tab/>
        <w:t>по технической части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__________Н.А. Щуцкий</w:t>
        <w:tab/>
        <w:tab/>
        <w:tab/>
        <w:tab/>
        <w:tab/>
        <w:t>____________Б.Т. Юшаев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______________2026г.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Руководитель ГТС и ПЗ ПТС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____________Ш.О. Шагрудинов</w:t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 xml:space="preserve">г. </w:t>
        <w:tab/>
        <w:tab/>
        <w:tab/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spacing w:before="0" w:after="120"/>
        <w:jc w:val="both"/>
        <w:rPr>
          <w:i/>
          <w:i/>
          <w:iCs/>
          <w:sz w:val="24"/>
          <w:szCs w:val="24"/>
          <w:shd w:fill="FFFF99" w:val="clear"/>
        </w:rPr>
      </w:pPr>
      <w:r>
        <w:rPr>
          <w:i/>
          <w:iCs/>
          <w:sz w:val="24"/>
          <w:szCs w:val="24"/>
          <w:shd w:fill="FFFF99" w:val="clear"/>
        </w:rPr>
      </w:r>
    </w:p>
    <w:p>
      <w:pPr>
        <w:pStyle w:val="Normal"/>
        <w:spacing w:before="0" w:after="120"/>
        <w:jc w:val="right"/>
        <w:rPr>
          <w:i/>
          <w:i/>
          <w:iCs/>
          <w:sz w:val="24"/>
          <w:szCs w:val="24"/>
          <w:shd w:fill="FFFF99" w:val="clear"/>
        </w:rPr>
      </w:pPr>
      <w:r>
        <w:rPr/>
      </w:r>
    </w:p>
    <w:sectPr>
      <w:headerReference w:type="default" r:id="rId19"/>
      <w:headerReference w:type="first" r:id="rId20"/>
      <w:footnotePr>
        <w:numFmt w:val="decimal"/>
        <w:numRestart w:val="eachPage"/>
      </w:footnotePr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Style"/>
        </w:rPr>
        <w:footnoteRef/>
      </w:r>
      <w:r>
        <w:rPr/>
        <w:t xml:space="preserve"> </w:t>
      </w:r>
      <w:r>
        <w:rPr/>
        <w:t>Если в организации функции главного бухгалтера выполняет генеральный директор – ставится только его виза.</w:t>
      </w:r>
    </w:p>
    <w:p>
      <w:pPr>
        <w:pStyle w:val="FootnoteText"/>
        <w:rPr/>
      </w:pPr>
      <w:r>
        <w:rPr/>
        <w:t>*Возможно предоставление иной формы справки в соответствии с внутренним документооборотом организации.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12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17</w:t>
    </w:r>
    <w:r>
      <w:rPr/>
      <w:fldChar w:fldCharType="end"/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21</w:t>
    </w:r>
    <w:r>
      <w:rPr/>
      <w:fldChar w:fldCharType="end"/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23</w:t>
    </w:r>
    <w:r>
      <w:rPr/>
      <w:fldChar w:fldCharType="end"/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25</w:t>
    </w:r>
    <w:r>
      <w:rPr/>
      <w:fldChar w:fldCharType="end"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footnotePr>
    <w:numFmt w:val="decimal"/>
    <w:numRestart w:val="eachPage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left="432" w:hanging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842be6"/>
    <w:rPr>
      <w:vertAlign w:val="superscript"/>
    </w:rPr>
  </w:style>
  <w:style w:type="character" w:styleId="1" w:customStyle="1">
    <w:name w:val="Знак сноски1"/>
    <w:qFormat/>
    <w:rsid w:val="00842be6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6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2" w:customStyle="1">
    <w:name w:val="Подпункт Знак1"/>
    <w:link w:val="Style22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3" w:customStyle="1">
    <w:name w:val="УРОВЕНЬ_1. Знак"/>
    <w:link w:val="110"/>
    <w:qFormat/>
    <w:rsid w:val="004a17ae"/>
    <w:rPr>
      <w:rFonts w:eastAsia="Calibri"/>
      <w:caps/>
      <w:sz w:val="28"/>
      <w:szCs w:val="28"/>
      <w:lang w:eastAsia="en-US"/>
    </w:rPr>
  </w:style>
  <w:style w:type="character" w:styleId="14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FootnoteCharacters" w:customStyle="1">
    <w:name w:val="Footnote Characters"/>
    <w:uiPriority w:val="99"/>
    <w:unhideWhenUsed/>
    <w:qFormat/>
    <w:rsid w:val="00842be6"/>
    <w:rPr>
      <w:vertAlign w:val="superscript"/>
    </w:rPr>
  </w:style>
  <w:style w:type="character" w:styleId="ConsPlusNormal" w:customStyle="1">
    <w:name w:val="ConsPlusNormal Знак"/>
    <w:link w:val="ConsPlusNormal1"/>
    <w:qFormat/>
    <w:rsid w:val="00e13ebc"/>
    <w:rPr>
      <w:rFonts w:ascii="Arial" w:hAnsi="Arial" w:cs="Arial"/>
    </w:rPr>
  </w:style>
  <w:style w:type="character" w:styleId="Style14" w:customStyle="1">
    <w:name w:val="Ссылка указателя"/>
    <w:qFormat/>
    <w:rPr/>
  </w:style>
  <w:style w:type="character" w:styleId="FootnoteReference">
    <w:name w:val="Footnote Reference"/>
    <w:rPr>
      <w:vertAlign w:val="superscript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Style18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qFormat/>
    <w:rsid w:val="00d561d9"/>
    <w:pPr/>
    <w:rPr>
      <w:sz w:val="20"/>
      <w:szCs w:val="20"/>
    </w:rPr>
  </w:style>
  <w:style w:type="paragraph" w:styleId="15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6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1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2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7314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3" w:customStyle="1">
    <w:name w:val="Раздел регламента"/>
    <w:basedOn w:val="Normal"/>
    <w:qFormat/>
    <w:rsid w:val="00e228fa"/>
    <w:pPr/>
    <w:rPr/>
  </w:style>
  <w:style w:type="paragraph" w:styleId="Style24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7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1" w:customStyle="1">
    <w:name w:val="caption1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8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9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10" w:customStyle="1">
    <w:name w:val="УРОВЕНЬ_1."/>
    <w:basedOn w:val="ListParagraph"/>
    <w:link w:val="13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DefaultParagraphFontParaCharChar" w:customStyle="1">
    <w:name w:val="Default Paragraph Font Para Char Char Знак"/>
    <w:basedOn w:val="Normal"/>
    <w:qFormat/>
    <w:rsid w:val="00496937"/>
    <w:pPr>
      <w:spacing w:lineRule="exact" w:line="240" w:before="0" w:after="160"/>
      <w:jc w:val="both"/>
    </w:pPr>
    <w:rPr>
      <w:rFonts w:ascii="Verdana" w:hAnsi="Verdana"/>
      <w:sz w:val="20"/>
      <w:szCs w:val="20"/>
      <w:lang w:val="en-US" w:eastAsia="en-US"/>
    </w:rPr>
  </w:style>
  <w:style w:type="paragraph" w:styleId="Style34" w:customStyle="1">
    <w:name w:val="Обычный таблица"/>
    <w:basedOn w:val="Normal"/>
    <w:qFormat/>
    <w:rsid w:val="00013167"/>
    <w:pPr/>
    <w:rPr>
      <w:rFonts w:eastAsia="" w:cs="" w:cstheme="minorBidi" w:eastAsiaTheme="minorEastAsia"/>
      <w:sz w:val="20"/>
      <w:szCs w:val="24"/>
      <w:lang w:eastAsia="en-US"/>
    </w:rPr>
  </w:style>
  <w:style w:type="paragraph" w:styleId="Style35" w:customStyle="1">
    <w:name w:val="Содержимое врезки"/>
    <w:basedOn w:val="Normal"/>
    <w:qFormat/>
    <w:pPr/>
    <w:rPr/>
  </w:style>
  <w:style w:type="paragraph" w:styleId="Style3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7" w:customStyle="1">
    <w:name w:val="Заголовок таблицы"/>
    <w:basedOn w:val="Style3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numbering" w:styleId="39941089391">
    <w:name w:val="3994108939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8">
    <w:name w:val="Table Grid"/>
    <w:basedOn w:val="a5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header" Target="header12.xml"/><Relationship Id="rId14" Type="http://schemas.openxmlformats.org/officeDocument/2006/relationships/header" Target="header13.xml"/><Relationship Id="rId15" Type="http://schemas.openxmlformats.org/officeDocument/2006/relationships/header" Target="header14.xml"/><Relationship Id="rId16" Type="http://schemas.openxmlformats.org/officeDocument/2006/relationships/header" Target="header15.xml"/><Relationship Id="rId17" Type="http://schemas.openxmlformats.org/officeDocument/2006/relationships/header" Target="header16.xml"/><Relationship Id="rId18" Type="http://schemas.openxmlformats.org/officeDocument/2006/relationships/header" Target="header17.xml"/><Relationship Id="rId19" Type="http://schemas.openxmlformats.org/officeDocument/2006/relationships/header" Target="header18.xml"/><Relationship Id="rId20" Type="http://schemas.openxmlformats.org/officeDocument/2006/relationships/header" Target="header19.xml"/><Relationship Id="rId21" Type="http://schemas.openxmlformats.org/officeDocument/2006/relationships/footnotes" Target="footnotes.xml"/><Relationship Id="rId22" Type="http://schemas.openxmlformats.org/officeDocument/2006/relationships/numbering" Target="numbering.xm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<Relationship Id="rId2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16DD6-992B-4E60-98E2-2D4DE9FE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Application>AlterOffice/2025.2.1.0$Linux_X86_64 LibreOffice_project/d2c615264c9535987c375e0f04a158be6015ce3d</Application>
  <AppVersion>15.0000</AppVersion>
  <Pages>27</Pages>
  <Words>3553</Words>
  <Characters>26645</Characters>
  <CharactersWithSpaces>30198</CharactersWithSpaces>
  <Paragraphs>523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2024-05-20T13:16:00Z</dcterms:created>
  <dc:creator>Быстров Олег Геннадьевич</dc:creator>
  <dc:description/>
  <dc:language>ru-RU</dc:language>
  <cp:lastModifiedBy>shagrudinovia@corp.gidroogk.com</cp:lastModifiedBy>
  <cp:lastPrinted>2026-01-16T08:51:06Z</cp:lastPrinted>
  <dcterms:modified xsi:type="dcterms:W3CDTF">2026-09-08T13:18:58Z</dcterms:modified>
  <cp:revision>35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