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header9.xml" ContentType="application/vnd.openxmlformats-officedocument.wordprocessingml.header+xml"/>
  <Override PartName="/word/header12.xml" ContentType="application/vnd.openxmlformats-officedocument.wordprocessingml.header+xml"/>
  <Override PartName="/word/header11.xml" ContentType="application/vnd.openxmlformats-officedocument.wordprocessingml.header+xml"/>
  <Override PartName="/word/header8.xml" ContentType="application/vnd.openxmlformats-officedocument.wordprocessingml.header+xml"/>
  <Override PartName="/word/header10.xml" ContentType="application/vnd.openxmlformats-officedocument.wordprocessingml.header+xml"/>
  <Override PartName="/word/header7.xml" ContentType="application/vnd.openxmlformats-officedocument.wordprocessingml.header+xml"/>
  <Override PartName="/word/theme/theme1.xml" ContentType="application/vnd.openxmlformats-officedocument.theme+xml"/>
  <Override PartName="/word/header6.xml" ContentType="application/vnd.openxmlformats-officedocument.wordprocessingml.header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header4.xml" ContentType="application/vnd.openxmlformats-officedocument.wordprocessingml.header+xml"/>
  <Override PartName="/word/header3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9.xml" ContentType="application/vnd.openxmlformats-officedocument.wordprocessingml.header+xml"/>
  <Override PartName="/word/header18.xml" ContentType="application/vnd.openxmlformats-officedocument.wordprocessingml.header+xml"/>
  <Override PartName="/word/header17.xml" ContentType="application/vnd.openxmlformats-officedocument.wordprocessingml.header+xml"/>
  <Override PartName="/word/header1.xml" ContentType="application/vnd.openxmlformats-officedocument.wordprocessingml.header+xml"/>
  <Override PartName="/word/header16.xml" ContentType="application/vnd.openxmlformats-officedocument.wordprocessingml.header+xml"/>
  <Override PartName="/word/header15.xml" ContentType="application/vnd.openxmlformats-officedocument.wordprocessingml.header+xml"/>
  <Override PartName="/word/header14.xml" ContentType="application/vnd.openxmlformats-officedocument.wordprocessingml.header+xml"/>
  <Override PartName="/word/header13.xml" ContentType="application/vnd.openxmlformats-officedocument.wordprocessingml.header+xml"/>
  <Override PartName="/word/styles.xml" ContentType="application/vnd.openxmlformats-officedocument.wordprocessingml.styles+xml"/>
  <Override PartName="/word/header5.xml" ContentType="application/vnd.openxmlformats-officedocument.wordprocessingml.header+xml"/>
  <Override PartName="/word/settings.xml" ContentType="application/vnd.openxmlformats-officedocument.wordprocessingml.settings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keepNext w:val="true"/>
        <w:numPr>
          <w:ilvl w:val="0"/>
          <w:numId w:val="0"/>
        </w:numPr>
        <w:tabs>
          <w:tab w:val="clear" w:pos="708"/>
          <w:tab w:val="left" w:pos="0" w:leader="none"/>
        </w:tabs>
        <w:ind w:left="0" w:right="277" w:hanging="0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ab/>
        <w:tab/>
        <w:tab/>
        <w:tab/>
        <w:tab/>
        <w:tab/>
        <w:tab/>
        <w:t xml:space="preserve">    УТВЕРЖДАЮ</w:t>
      </w:r>
    </w:p>
    <w:p>
      <w:pPr>
        <w:pStyle w:val="Normal"/>
        <w:keepNext w:val="true"/>
        <w:numPr>
          <w:ilvl w:val="0"/>
          <w:numId w:val="0"/>
        </w:numPr>
        <w:tabs>
          <w:tab w:val="clear" w:pos="708"/>
          <w:tab w:val="left" w:pos="0" w:leader="none"/>
        </w:tabs>
        <w:ind w:left="0" w:right="277" w:hanging="0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                 </w:t>
      </w:r>
      <w:r>
        <w:rPr>
          <w:b/>
          <w:sz w:val="24"/>
          <w:szCs w:val="24"/>
        </w:rPr>
        <w:t>Первый заместитель директора -</w:t>
      </w:r>
    </w:p>
    <w:p>
      <w:pPr>
        <w:pStyle w:val="Normal"/>
        <w:keepNext w:val="true"/>
        <w:numPr>
          <w:ilvl w:val="0"/>
          <w:numId w:val="0"/>
        </w:numPr>
        <w:tabs>
          <w:tab w:val="clear" w:pos="708"/>
          <w:tab w:val="left" w:pos="0" w:leader="none"/>
        </w:tabs>
        <w:ind w:left="0" w:right="277" w:hanging="0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                 </w:t>
      </w:r>
      <w:r>
        <w:rPr>
          <w:b/>
          <w:sz w:val="24"/>
          <w:szCs w:val="24"/>
        </w:rPr>
        <w:t>главный инженер Филиала</w:t>
      </w:r>
    </w:p>
    <w:p>
      <w:pPr>
        <w:pStyle w:val="Normal"/>
        <w:keepNext w:val="true"/>
        <w:numPr>
          <w:ilvl w:val="0"/>
          <w:numId w:val="0"/>
        </w:numPr>
        <w:tabs>
          <w:tab w:val="clear" w:pos="708"/>
          <w:tab w:val="left" w:pos="0" w:leader="none"/>
        </w:tabs>
        <w:ind w:left="0" w:right="277" w:hanging="0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                 </w:t>
      </w:r>
      <w:r>
        <w:rPr>
          <w:b/>
          <w:sz w:val="24"/>
          <w:szCs w:val="24"/>
        </w:rPr>
        <w:t xml:space="preserve">ПАО «РусГидро» - </w:t>
      </w:r>
    </w:p>
    <w:p>
      <w:pPr>
        <w:pStyle w:val="Normal"/>
        <w:keepNext w:val="true"/>
        <w:numPr>
          <w:ilvl w:val="0"/>
          <w:numId w:val="0"/>
        </w:numPr>
        <w:ind w:left="0" w:right="277" w:hanging="0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                           </w:t>
      </w:r>
      <w:r>
        <w:rPr>
          <w:b/>
          <w:sz w:val="24"/>
          <w:szCs w:val="24"/>
        </w:rPr>
        <w:t>«Дагестанский филиал»</w:t>
      </w:r>
    </w:p>
    <w:p>
      <w:pPr>
        <w:pStyle w:val="Normal"/>
        <w:keepNext w:val="true"/>
        <w:numPr>
          <w:ilvl w:val="0"/>
          <w:numId w:val="0"/>
        </w:numPr>
        <w:ind w:left="5260" w:right="277" w:firstLine="5797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____________ М.Ш. Магомедов </w:t>
      </w:r>
    </w:p>
    <w:p>
      <w:pPr>
        <w:pStyle w:val="Normal"/>
        <w:keepNext w:val="true"/>
        <w:numPr>
          <w:ilvl w:val="0"/>
          <w:numId w:val="0"/>
        </w:numPr>
        <w:ind w:left="5260" w:right="277" w:hanging="0"/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>«_____» ______________202</w:t>
      </w:r>
      <w:r>
        <w:rPr>
          <w:b/>
          <w:sz w:val="24"/>
          <w:szCs w:val="24"/>
          <w:lang w:val="en-US"/>
        </w:rPr>
        <w:t>6</w:t>
      </w:r>
      <w:r>
        <w:rPr>
          <w:b/>
          <w:sz w:val="24"/>
          <w:szCs w:val="24"/>
        </w:rPr>
        <w:t xml:space="preserve">г. </w:t>
      </w:r>
    </w:p>
    <w:p>
      <w:pPr>
        <w:pStyle w:val="Normal"/>
        <w:keepNext w:val="true"/>
        <w:keepLines/>
        <w:jc w:val="right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</w:r>
    </w:p>
    <w:p>
      <w:pPr>
        <w:pStyle w:val="Normal"/>
        <w:keepNext w:val="true"/>
        <w:keepLines/>
        <w:jc w:val="right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</w:r>
    </w:p>
    <w:p>
      <w:pPr>
        <w:pStyle w:val="Normal"/>
        <w:keepNext w:val="true"/>
        <w:keepLines/>
        <w:jc w:val="right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</w:r>
    </w:p>
    <w:p>
      <w:pPr>
        <w:pStyle w:val="Normal"/>
        <w:keepNext w:val="true"/>
        <w:keepLines/>
        <w:jc w:val="right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</w:r>
    </w:p>
    <w:p>
      <w:pPr>
        <w:pStyle w:val="Normal"/>
        <w:keepNext w:val="true"/>
        <w:keepLines/>
        <w:jc w:val="right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</w:r>
    </w:p>
    <w:p>
      <w:pPr>
        <w:pStyle w:val="Normal"/>
        <w:keepNext w:val="true"/>
        <w:keepLines/>
        <w:jc w:val="right"/>
        <w:rPr>
          <w:b/>
          <w:bCs/>
          <w:sz w:val="26"/>
          <w:szCs w:val="26"/>
        </w:rPr>
      </w:pPr>
      <w:r>
        <w:rPr>
          <w:b/>
          <w:bCs/>
          <w:sz w:val="26"/>
          <w:szCs w:val="26"/>
        </w:rPr>
      </w:r>
    </w:p>
    <w:p>
      <w:pPr>
        <w:pStyle w:val="Normal"/>
        <w:keepNext w:val="true"/>
        <w:keepLines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keepNext w:val="true"/>
        <w:keepLines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keepNext w:val="true"/>
        <w:keepLines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keepNext w:val="true"/>
        <w:keepLines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keepNext w:val="true"/>
        <w:keepLines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keepNext w:val="true"/>
        <w:keepLines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keepNext w:val="true"/>
        <w:keepLines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keepNext w:val="true"/>
        <w:keepLines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keepNext w:val="true"/>
        <w:keepLines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Heading1"/>
        <w:numPr>
          <w:ilvl w:val="0"/>
          <w:numId w:val="0"/>
        </w:numPr>
        <w:spacing w:before="120" w:after="60"/>
        <w:ind w:left="0" w:right="21" w:firstLine="708"/>
        <w:contextualSpacing/>
        <w:jc w:val="center"/>
        <w:rPr>
          <w:szCs w:val="24"/>
        </w:rPr>
      </w:pPr>
      <w:bookmarkStart w:id="0" w:name="_Toc121297144"/>
      <w:r>
        <w:rPr>
          <w:szCs w:val="24"/>
        </w:rPr>
        <w:t>ТЕХНИЧЕСКИЕ ТРЕБОВАНИЯ</w:t>
      </w:r>
      <w:bookmarkEnd w:id="0"/>
    </w:p>
    <w:p>
      <w:pPr>
        <w:pStyle w:val="BodyText"/>
        <w:spacing w:before="0" w:after="120"/>
        <w:ind w:right="21" w:firstLine="360"/>
        <w:contextualSpacing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«Проведение экспертизы промышленной безопасности здания являющегося площадкой опасных производственных объектов Чирюртской ГЭС-2»</w:t>
      </w:r>
    </w:p>
    <w:p>
      <w:pPr>
        <w:pStyle w:val="BodyText"/>
        <w:spacing w:before="0" w:after="0"/>
        <w:ind w:right="21" w:firstLine="360"/>
        <w:contextualSpacing/>
        <w:jc w:val="center"/>
        <w:rPr>
          <w:b/>
          <w:sz w:val="24"/>
          <w:szCs w:val="24"/>
          <w:lang w:val="en-US"/>
        </w:rPr>
      </w:pPr>
      <w:r>
        <w:rPr>
          <w:b/>
          <w:sz w:val="24"/>
          <w:szCs w:val="24"/>
        </w:rPr>
        <w:t xml:space="preserve">ЛОТ № </w:t>
      </w:r>
    </w:p>
    <w:p>
      <w:pPr>
        <w:pStyle w:val="Normal"/>
        <w:keepNext w:val="true"/>
        <w:keepLines/>
        <w:jc w:val="center"/>
        <w:rPr>
          <w:rFonts w:eastAsia="Calibri"/>
          <w:b/>
          <w:i/>
          <w:i/>
          <w:sz w:val="26"/>
          <w:szCs w:val="26"/>
        </w:rPr>
      </w:pPr>
      <w:r>
        <w:rPr>
          <w:rFonts w:eastAsia="Calibri"/>
          <w:b/>
          <w:i/>
          <w:sz w:val="26"/>
          <w:szCs w:val="26"/>
        </w:rPr>
      </w:r>
    </w:p>
    <w:p>
      <w:pPr>
        <w:pStyle w:val="Normal"/>
        <w:keepNext w:val="true"/>
        <w:keepLines/>
        <w:jc w:val="both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</w:rPr>
      </w:r>
      <w:r>
        <w:br w:type="page"/>
      </w:r>
    </w:p>
    <w:p>
      <w:pPr>
        <w:pStyle w:val="Normal"/>
        <w:jc w:val="center"/>
        <w:rPr>
          <w:b/>
        </w:rPr>
      </w:pPr>
      <w:r>
        <w:rPr>
          <w:b/>
        </w:rPr>
        <w:t>СОДЕРЖАНИЕ</w:t>
      </w:r>
    </w:p>
    <w:sdt>
      <w:sdtPr>
        <w:docPartObj>
          <w:docPartGallery w:val="Table of Contents"/>
          <w:docPartUnique w:val="true"/>
        </w:docPartObj>
      </w:sdtPr>
      <w:sdtContent>
        <w:p>
          <w:pPr>
            <w:pStyle w:val="TOC1"/>
            <w:tabs>
              <w:tab w:val="clear" w:pos="708"/>
              <w:tab w:val="right" w:pos="9911" w:leader="dot"/>
            </w:tabs>
            <w:rPr>
              <w:rFonts w:ascii="Calibri" w:hAnsi="Calibri" w:eastAsia="" w:cs="" w:asciiTheme="minorHAnsi" w:cstheme="minorBidi" w:eastAsiaTheme="minorEastAsia" w:hAnsiTheme="minorHAnsi"/>
              <w:b w:val="false"/>
              <w:bCs w:val="false"/>
              <w:sz w:val="22"/>
              <w:szCs w:val="22"/>
            </w:rPr>
          </w:pPr>
          <w:r>
            <w:fldChar w:fldCharType="begin"/>
          </w:r>
          <w:r>
            <w:rPr>
              <w:webHidden/>
              <w:rStyle w:val="Style14"/>
              <w:vanish w:val="false"/>
            </w:rPr>
            <w:instrText xml:space="preserve"> TOC \z \o "1-4" \u \h</w:instrText>
          </w:r>
          <w:r>
            <w:rPr>
              <w:webHidden/>
              <w:rStyle w:val="Style14"/>
              <w:vanish w:val="false"/>
            </w:rPr>
            <w:fldChar w:fldCharType="separate"/>
          </w:r>
          <w:hyperlink w:anchor="_Toc121297144">
            <w:r>
              <w:rPr>
                <w:webHidden/>
                <w:rStyle w:val="Style14"/>
                <w:vanish w:val="false"/>
              </w:rPr>
              <w:t>ТЕХНИЧЕСКИЕ ТРЕБОВАНИЯ</w:t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_Toc121297144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14"/>
              </w:rPr>
              <w:tab/>
              <w:t>1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TOC1"/>
            <w:tabs>
              <w:tab w:val="clear" w:pos="708"/>
              <w:tab w:val="left" w:pos="560" w:leader="none"/>
              <w:tab w:val="right" w:pos="9911" w:leader="dot"/>
            </w:tabs>
            <w:rPr>
              <w:rFonts w:ascii="Calibri" w:hAnsi="Calibri" w:eastAsia="" w:cs="" w:asciiTheme="minorHAnsi" w:cstheme="minorBidi" w:eastAsiaTheme="minorEastAsia" w:hAnsiTheme="minorHAnsi"/>
              <w:b w:val="false"/>
              <w:bCs w:val="false"/>
              <w:sz w:val="22"/>
              <w:szCs w:val="22"/>
            </w:rPr>
          </w:pPr>
          <w:hyperlink w:anchor="_Toc121297145">
            <w:r>
              <w:rPr>
                <w:webHidden/>
                <w:rStyle w:val="Style14"/>
                <w:vanish w:val="false"/>
              </w:rPr>
              <w:t>1.</w:t>
            </w:r>
            <w:r>
              <w:rPr>
                <w:rStyle w:val="Style14"/>
                <w:rFonts w:eastAsia="" w:cs="" w:ascii="Calibri" w:hAnsi="Calibri" w:asciiTheme="minorHAnsi" w:cstheme="minorBidi" w:eastAsiaTheme="minorEastAsia" w:hAnsiTheme="minorHAnsi"/>
                <w:b w:val="false"/>
                <w:bCs w:val="false"/>
                <w:sz w:val="22"/>
                <w:szCs w:val="22"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_Toc121297145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14"/>
              </w:rPr>
              <w:t>Общие сведения</w:t>
              <w:tab/>
              <w:t>3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TOC4"/>
            <w:tabs>
              <w:tab w:val="clear" w:pos="708"/>
              <w:tab w:val="left" w:pos="1120" w:leader="none"/>
              <w:tab w:val="right" w:pos="9911" w:leader="dot"/>
            </w:tabs>
            <w:rPr>
              <w:rFonts w:ascii="Calibri" w:hAnsi="Calibri" w:eastAsia="" w:cs="" w:asciiTheme="minorHAnsi" w:cstheme="minorBidi" w:eastAsiaTheme="minorEastAsia" w:hAnsiTheme="minorHAnsi"/>
              <w:sz w:val="22"/>
              <w:szCs w:val="22"/>
            </w:rPr>
          </w:pPr>
          <w:hyperlink w:anchor="_Toc121297146">
            <w:r>
              <w:rPr>
                <w:webHidden/>
                <w:rStyle w:val="Style14"/>
                <w:iCs/>
                <w:vanish w:val="false"/>
              </w:rPr>
              <w:t>1.1.</w:t>
            </w:r>
            <w:r>
              <w:rPr>
                <w:rStyle w:val="Style14"/>
                <w:rFonts w:eastAsia="" w:cs="" w:ascii="Calibri" w:hAnsi="Calibri" w:asciiTheme="minorHAnsi" w:cstheme="minorBidi" w:eastAsiaTheme="minorEastAsia" w:hAnsiTheme="minorHAnsi"/>
                <w:sz w:val="22"/>
                <w:szCs w:val="22"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_Toc121297146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14"/>
              </w:rPr>
              <w:t>Обозначения и сокращения</w:t>
              <w:tab/>
              <w:t>3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TOC4"/>
            <w:tabs>
              <w:tab w:val="clear" w:pos="708"/>
              <w:tab w:val="left" w:pos="1120" w:leader="none"/>
              <w:tab w:val="right" w:pos="9911" w:leader="dot"/>
            </w:tabs>
            <w:rPr>
              <w:rFonts w:ascii="Calibri" w:hAnsi="Calibri" w:eastAsia="" w:cs="" w:asciiTheme="minorHAnsi" w:cstheme="minorBidi" w:eastAsiaTheme="minorEastAsia" w:hAnsiTheme="minorHAnsi"/>
              <w:sz w:val="22"/>
              <w:szCs w:val="22"/>
            </w:rPr>
          </w:pPr>
          <w:hyperlink w:anchor="_Toc121297147">
            <w:r>
              <w:rPr>
                <w:webHidden/>
                <w:rStyle w:val="Style14"/>
                <w:iCs/>
                <w:vanish w:val="false"/>
              </w:rPr>
              <w:t>1.2.</w:t>
            </w:r>
            <w:r>
              <w:rPr>
                <w:rStyle w:val="Style14"/>
                <w:rFonts w:eastAsia="" w:cs="" w:ascii="Calibri" w:hAnsi="Calibri" w:asciiTheme="minorHAnsi" w:cstheme="minorBidi" w:eastAsiaTheme="minorEastAsia" w:hAnsiTheme="minorHAnsi"/>
                <w:sz w:val="22"/>
                <w:szCs w:val="22"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_Toc121297147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14"/>
              </w:rPr>
              <w:t>Наименование закупаемой продукции</w:t>
              <w:tab/>
              <w:t>4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TOC4"/>
            <w:tabs>
              <w:tab w:val="clear" w:pos="708"/>
              <w:tab w:val="left" w:pos="1120" w:leader="none"/>
              <w:tab w:val="right" w:pos="9911" w:leader="dot"/>
            </w:tabs>
            <w:rPr>
              <w:rFonts w:ascii="Calibri" w:hAnsi="Calibri" w:eastAsia="" w:cs="" w:asciiTheme="minorHAnsi" w:cstheme="minorBidi" w:eastAsiaTheme="minorEastAsia" w:hAnsiTheme="minorHAnsi"/>
              <w:sz w:val="22"/>
              <w:szCs w:val="22"/>
            </w:rPr>
          </w:pPr>
          <w:hyperlink w:anchor="_Toc121297148">
            <w:r>
              <w:rPr>
                <w:webHidden/>
                <w:rStyle w:val="Style14"/>
                <w:iCs/>
                <w:vanish w:val="false"/>
              </w:rPr>
              <w:t>1.3.</w:t>
            </w:r>
            <w:r>
              <w:rPr>
                <w:rStyle w:val="Style14"/>
                <w:rFonts w:eastAsia="" w:cs="" w:ascii="Calibri" w:hAnsi="Calibri" w:asciiTheme="minorHAnsi" w:cstheme="minorBidi" w:eastAsiaTheme="minorEastAsia" w:hAnsiTheme="minorHAnsi"/>
                <w:sz w:val="22"/>
                <w:szCs w:val="22"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_Toc121297148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14"/>
              </w:rPr>
              <w:t>Наименование и место расположения функционального заказчика</w:t>
              <w:tab/>
              <w:t>4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TOC1"/>
            <w:tabs>
              <w:tab w:val="clear" w:pos="708"/>
              <w:tab w:val="left" w:pos="560" w:leader="none"/>
              <w:tab w:val="right" w:pos="9911" w:leader="dot"/>
            </w:tabs>
            <w:rPr>
              <w:rFonts w:ascii="Calibri" w:hAnsi="Calibri" w:eastAsia="" w:cs="" w:asciiTheme="minorHAnsi" w:cstheme="minorBidi" w:eastAsiaTheme="minorEastAsia" w:hAnsiTheme="minorHAnsi"/>
              <w:b w:val="false"/>
              <w:bCs w:val="false"/>
              <w:sz w:val="22"/>
              <w:szCs w:val="22"/>
            </w:rPr>
          </w:pPr>
          <w:hyperlink w:anchor="_Toc121297149">
            <w:r>
              <w:rPr>
                <w:webHidden/>
                <w:rStyle w:val="Style14"/>
                <w:vanish w:val="false"/>
              </w:rPr>
              <w:t>2.</w:t>
            </w:r>
            <w:r>
              <w:rPr>
                <w:rStyle w:val="Style14"/>
                <w:rFonts w:eastAsia="" w:cs="" w:ascii="Calibri" w:hAnsi="Calibri" w:asciiTheme="minorHAnsi" w:cstheme="minorBidi" w:eastAsiaTheme="minorEastAsia" w:hAnsiTheme="minorHAnsi"/>
                <w:b w:val="false"/>
                <w:bCs w:val="false"/>
                <w:sz w:val="22"/>
                <w:szCs w:val="22"/>
              </w:rPr>
              <w:tab/>
            </w:r>
            <w:r>
              <w:rPr>
                <w:rStyle w:val="Style14"/>
                <w:iCs/>
              </w:rPr>
              <w:t>Требования к продукции</w:t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_Toc121297149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14"/>
              </w:rPr>
              <w:tab/>
              <w:t>4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TOC4"/>
            <w:tabs>
              <w:tab w:val="clear" w:pos="708"/>
              <w:tab w:val="left" w:pos="1120" w:leader="none"/>
              <w:tab w:val="right" w:pos="9911" w:leader="dot"/>
            </w:tabs>
            <w:rPr>
              <w:rFonts w:ascii="Calibri" w:hAnsi="Calibri" w:eastAsia="" w:cs="" w:asciiTheme="minorHAnsi" w:cstheme="minorBidi" w:eastAsiaTheme="minorEastAsia" w:hAnsiTheme="minorHAnsi"/>
              <w:sz w:val="22"/>
              <w:szCs w:val="22"/>
            </w:rPr>
          </w:pPr>
          <w:hyperlink w:anchor="_Toc121297150">
            <w:r>
              <w:rPr>
                <w:webHidden/>
                <w:rStyle w:val="Style14"/>
                <w:iCs/>
                <w:vanish w:val="false"/>
              </w:rPr>
              <w:t>2.1.</w:t>
            </w:r>
            <w:r>
              <w:rPr>
                <w:rStyle w:val="Style14"/>
                <w:rFonts w:eastAsia="" w:cs="" w:ascii="Calibri" w:hAnsi="Calibri" w:asciiTheme="minorHAnsi" w:cstheme="minorBidi" w:eastAsiaTheme="minorEastAsia" w:hAnsiTheme="minorHAnsi"/>
                <w:sz w:val="22"/>
                <w:szCs w:val="22"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_Toc121297150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14"/>
              </w:rPr>
              <w:t>Требования к этапам и срокам выполнения работ</w:t>
              <w:tab/>
              <w:t>4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TOC1"/>
            <w:tabs>
              <w:tab w:val="clear" w:pos="708"/>
              <w:tab w:val="right" w:pos="9911" w:leader="dot"/>
            </w:tabs>
            <w:rPr>
              <w:rFonts w:ascii="Calibri" w:hAnsi="Calibri" w:eastAsia="" w:cs="" w:asciiTheme="minorHAnsi" w:cstheme="minorBidi" w:eastAsiaTheme="minorEastAsia" w:hAnsiTheme="minorHAnsi"/>
              <w:b w:val="false"/>
              <w:bCs w:val="false"/>
              <w:sz w:val="22"/>
              <w:szCs w:val="22"/>
            </w:rPr>
          </w:pPr>
          <w:hyperlink w:anchor="_Toc121297151">
            <w:r>
              <w:rPr>
                <w:webHidden/>
                <w:rStyle w:val="Style14"/>
                <w:vanish w:val="false"/>
              </w:rPr>
              <w:t>Таблица 1. Требования по срокам выполнения работ</w:t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_Toc121297151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14"/>
              </w:rPr>
              <w:tab/>
              <w:t>4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TOC4"/>
            <w:tabs>
              <w:tab w:val="clear" w:pos="708"/>
              <w:tab w:val="left" w:pos="1120" w:leader="none"/>
              <w:tab w:val="right" w:pos="9911" w:leader="dot"/>
            </w:tabs>
            <w:rPr>
              <w:rFonts w:ascii="Calibri" w:hAnsi="Calibri" w:eastAsia="" w:cs="" w:asciiTheme="minorHAnsi" w:cstheme="minorBidi" w:eastAsiaTheme="minorEastAsia" w:hAnsiTheme="minorHAnsi"/>
              <w:sz w:val="22"/>
              <w:szCs w:val="22"/>
            </w:rPr>
          </w:pPr>
          <w:hyperlink w:anchor="_Toc121297152">
            <w:r>
              <w:rPr>
                <w:webHidden/>
                <w:rStyle w:val="Style14"/>
                <w:iCs/>
                <w:vanish w:val="false"/>
              </w:rPr>
              <w:t>2.2.</w:t>
            </w:r>
            <w:r>
              <w:rPr>
                <w:rStyle w:val="Style14"/>
                <w:rFonts w:eastAsia="" w:cs="" w:ascii="Calibri" w:hAnsi="Calibri" w:asciiTheme="minorHAnsi" w:cstheme="minorBidi" w:eastAsiaTheme="minorEastAsia" w:hAnsiTheme="minorHAnsi"/>
                <w:sz w:val="22"/>
                <w:szCs w:val="22"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_Toc121297152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14"/>
              </w:rPr>
              <w:t>Требования к качеству продукции</w:t>
              <w:tab/>
              <w:t>5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TOC1"/>
            <w:tabs>
              <w:tab w:val="clear" w:pos="708"/>
              <w:tab w:val="right" w:pos="9911" w:leader="dot"/>
            </w:tabs>
            <w:rPr>
              <w:rFonts w:ascii="Calibri" w:hAnsi="Calibri" w:eastAsia="" w:cs="" w:asciiTheme="minorHAnsi" w:cstheme="minorBidi" w:eastAsiaTheme="minorEastAsia" w:hAnsiTheme="minorHAnsi"/>
              <w:b w:val="false"/>
              <w:bCs w:val="false"/>
              <w:sz w:val="22"/>
              <w:szCs w:val="22"/>
            </w:rPr>
          </w:pPr>
          <w:hyperlink w:anchor="_Toc121297153">
            <w:r>
              <w:rPr>
                <w:webHidden/>
                <w:rStyle w:val="Style14"/>
                <w:vanish w:val="false"/>
              </w:rPr>
              <w:t>Таблица 2. Требования к качеству продукции</w:t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_Toc121297153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14"/>
              </w:rPr>
              <w:tab/>
              <w:t>5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TOC1"/>
            <w:tabs>
              <w:tab w:val="clear" w:pos="708"/>
              <w:tab w:val="left" w:pos="560" w:leader="none"/>
              <w:tab w:val="right" w:pos="9911" w:leader="dot"/>
            </w:tabs>
            <w:rPr>
              <w:rFonts w:ascii="Calibri" w:hAnsi="Calibri" w:eastAsia="" w:cs="" w:asciiTheme="minorHAnsi" w:cstheme="minorBidi" w:eastAsiaTheme="minorEastAsia" w:hAnsiTheme="minorHAnsi"/>
              <w:b w:val="false"/>
              <w:bCs w:val="false"/>
              <w:sz w:val="22"/>
              <w:szCs w:val="22"/>
            </w:rPr>
          </w:pPr>
          <w:hyperlink w:anchor="_Toc121297154">
            <w:r>
              <w:rPr>
                <w:webHidden/>
                <w:rStyle w:val="Style14"/>
                <w:vanish w:val="false"/>
              </w:rPr>
              <w:t>3.</w:t>
            </w:r>
            <w:r>
              <w:rPr>
                <w:rStyle w:val="Style14"/>
                <w:rFonts w:eastAsia="" w:cs="" w:ascii="Calibri" w:hAnsi="Calibri" w:asciiTheme="minorHAnsi" w:cstheme="minorBidi" w:eastAsiaTheme="minorEastAsia" w:hAnsiTheme="minorHAnsi"/>
                <w:b w:val="false"/>
                <w:bCs w:val="false"/>
                <w:sz w:val="22"/>
                <w:szCs w:val="22"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PAGEREF _Toc121297154 \h</w:instrText>
            </w:r>
            <w:r>
              <w:rPr>
                <w:webHidden/>
              </w:rPr>
              <w:fldChar w:fldCharType="separate"/>
            </w:r>
            <w:r>
              <w:rPr>
                <w:rStyle w:val="Style14"/>
              </w:rPr>
              <w:t>Требования к документации по ценообразованию на этапе закупки</w:t>
              <w:tab/>
              <w:t>12</w:t>
            </w:r>
            <w:r>
              <w:rPr>
                <w:webHidden/>
              </w:rPr>
              <w:fldChar w:fldCharType="end"/>
            </w:r>
          </w:hyperlink>
        </w:p>
        <w:p>
          <w:pPr>
            <w:pStyle w:val="TOC1"/>
            <w:tabs>
              <w:tab w:val="clear" w:pos="708"/>
              <w:tab w:val="left" w:pos="560" w:leader="none"/>
              <w:tab w:val="right" w:pos="9911" w:leader="dot"/>
            </w:tabs>
            <w:rPr>
              <w:rFonts w:ascii="Calibri" w:hAnsi="Calibri" w:eastAsia="" w:cs="" w:asciiTheme="minorHAnsi" w:cstheme="minorBidi" w:eastAsiaTheme="minorEastAsia" w:hAnsiTheme="minorHAnsi"/>
              <w:b w:val="false"/>
              <w:bCs w:val="false"/>
              <w:sz w:val="22"/>
              <w:szCs w:val="22"/>
              <w:lang w:val="en-US"/>
            </w:rPr>
          </w:pPr>
          <w:hyperlink w:anchor="_Toc121297155">
            <w:r>
              <w:rPr>
                <w:webHidden/>
                <w:rStyle w:val="Style14"/>
                <w:vanish w:val="false"/>
              </w:rPr>
              <w:t>4.</w:t>
            </w:r>
            <w:r>
              <w:rPr>
                <w:rStyle w:val="Style14"/>
                <w:rFonts w:eastAsia="" w:cs="" w:ascii="Calibri" w:hAnsi="Calibri" w:asciiTheme="minorHAnsi" w:cstheme="minorBidi" w:eastAsiaTheme="minorEastAsia" w:hAnsiTheme="minorHAnsi"/>
                <w:b w:val="false"/>
                <w:bCs w:val="false"/>
                <w:sz w:val="22"/>
                <w:szCs w:val="22"/>
              </w:rPr>
              <w:tab/>
            </w:r>
            <w:r>
              <w:rPr>
                <w:rStyle w:val="Style14"/>
              </w:rPr>
              <w:t>Требования к документации по ценообразованию на этапе заключения (исполнения) договора</w:t>
              <w:tab/>
              <w:t>1</w:t>
            </w:r>
          </w:hyperlink>
          <w:r>
            <w:rPr>
              <w:lang w:val="en-US"/>
            </w:rPr>
            <w:t>4</w:t>
          </w:r>
        </w:p>
        <w:p>
          <w:pPr>
            <w:pStyle w:val="TOC1"/>
            <w:tabs>
              <w:tab w:val="clear" w:pos="708"/>
              <w:tab w:val="left" w:pos="560" w:leader="none"/>
              <w:tab w:val="right" w:pos="9911" w:leader="dot"/>
            </w:tabs>
            <w:rPr>
              <w:rFonts w:ascii="Calibri" w:hAnsi="Calibri" w:eastAsia="" w:cs="" w:asciiTheme="minorHAnsi" w:cstheme="minorBidi" w:eastAsiaTheme="minorEastAsia" w:hAnsiTheme="minorHAnsi"/>
              <w:b w:val="false"/>
              <w:bCs w:val="false"/>
              <w:sz w:val="22"/>
              <w:szCs w:val="22"/>
              <w:lang w:val="en-US"/>
            </w:rPr>
          </w:pPr>
          <w:hyperlink w:anchor="_Toc121297156">
            <w:r>
              <w:rPr>
                <w:webHidden/>
                <w:rStyle w:val="Style14"/>
                <w:vanish w:val="false"/>
              </w:rPr>
              <w:t>5.</w:t>
            </w:r>
            <w:r>
              <w:rPr>
                <w:rStyle w:val="Style14"/>
                <w:rFonts w:eastAsia="" w:cs="" w:ascii="Calibri" w:hAnsi="Calibri" w:asciiTheme="minorHAnsi" w:cstheme="minorBidi" w:eastAsiaTheme="minorEastAsia" w:hAnsiTheme="minorHAnsi"/>
                <w:b w:val="false"/>
                <w:bCs w:val="false"/>
                <w:sz w:val="22"/>
                <w:szCs w:val="22"/>
              </w:rPr>
              <w:tab/>
            </w:r>
            <w:r>
              <w:rPr>
                <w:rStyle w:val="Style14"/>
                <w:iCs/>
              </w:rPr>
              <w:t>Приложения</w:t>
            </w:r>
            <w:r>
              <w:rPr>
                <w:rStyle w:val="Style14"/>
              </w:rPr>
              <w:tab/>
              <w:t>1</w:t>
            </w:r>
          </w:hyperlink>
          <w:r>
            <w:rPr>
              <w:lang w:val="en-US"/>
            </w:rPr>
            <w:t>5</w:t>
          </w:r>
        </w:p>
        <w:p>
          <w:pPr>
            <w:pStyle w:val="TOC1"/>
            <w:tabs>
              <w:tab w:val="clear" w:pos="708"/>
              <w:tab w:val="right" w:pos="9911" w:leader="dot"/>
            </w:tabs>
            <w:rPr>
              <w:rFonts w:ascii="Calibri" w:hAnsi="Calibri" w:eastAsia="" w:cs="" w:asciiTheme="minorHAnsi" w:cstheme="minorBidi" w:eastAsiaTheme="minorEastAsia" w:hAnsiTheme="minorHAnsi"/>
              <w:b w:val="false"/>
              <w:bCs w:val="false"/>
              <w:sz w:val="22"/>
              <w:szCs w:val="22"/>
            </w:rPr>
          </w:pPr>
          <w:hyperlink w:anchor="_Toc121297157">
            <w:r>
              <w:rPr>
                <w:webHidden/>
                <w:rStyle w:val="Style14"/>
                <w:vanish w:val="false"/>
              </w:rPr>
              <w:t>Требования к оформлению и составлению документации по ценообразованию</w:t>
            </w:r>
            <w:r>
              <w:rPr>
                <w:rStyle w:val="Style14"/>
              </w:rPr>
              <w:tab/>
              <w:t>1</w:t>
            </w:r>
          </w:hyperlink>
          <w:r>
            <w:rPr>
              <w:lang w:val="en-US"/>
            </w:rPr>
            <w:t>6</w:t>
          </w:r>
          <w:r>
            <w:rPr>
              <w:lang w:val="en-US"/>
            </w:rPr>
            <w:fldChar w:fldCharType="end"/>
          </w:r>
        </w:p>
      </w:sdtContent>
    </w:sdt>
    <w:p>
      <w:pPr>
        <w:pStyle w:val="Heading2"/>
        <w:numPr>
          <w:ilvl w:val="0"/>
        </w:numPr>
        <w:tabs>
          <w:tab w:val="clear" w:pos="0"/>
        </w:tabs>
        <w:ind w:left="0" w:hanging="0"/>
        <w:rPr>
          <w:b w:val="false"/>
          <w:i/>
          <w:i/>
        </w:rPr>
      </w:pPr>
      <w:r>
        <w:rPr>
          <w:b w:val="false"/>
          <w:i/>
        </w:rPr>
      </w:r>
    </w:p>
    <w:p>
      <w:pPr>
        <w:pStyle w:val="Normal"/>
        <w:keepNext w:val="true"/>
        <w:keepLines/>
        <w:jc w:val="center"/>
        <w:rPr>
          <w:rFonts w:eastAsia="Calibri"/>
          <w:b/>
          <w:i/>
          <w:i/>
          <w:sz w:val="24"/>
          <w:szCs w:val="24"/>
        </w:rPr>
      </w:pPr>
      <w:r>
        <w:rPr>
          <w:rFonts w:eastAsia="Calibri"/>
          <w:b/>
          <w:i/>
          <w:sz w:val="24"/>
          <w:szCs w:val="24"/>
        </w:rPr>
      </w:r>
      <w:r>
        <w:br w:type="page"/>
      </w:r>
    </w:p>
    <w:p>
      <w:pPr>
        <w:pStyle w:val="Heading1"/>
        <w:keepLines/>
        <w:numPr>
          <w:ilvl w:val="0"/>
          <w:numId w:val="3"/>
        </w:numPr>
        <w:ind w:left="357" w:hanging="357"/>
        <w:jc w:val="center"/>
        <w:rPr>
          <w:caps/>
          <w:lang w:val="ru-RU"/>
        </w:rPr>
      </w:pPr>
      <w:bookmarkStart w:id="1" w:name="_Toc51339692"/>
      <w:bookmarkStart w:id="2" w:name="_Toc121297145"/>
      <w:r>
        <w:rPr>
          <w:lang w:val="ru-RU"/>
        </w:rPr>
        <w:t>Общие сведения</w:t>
      </w:r>
      <w:bookmarkEnd w:id="1"/>
      <w:bookmarkEnd w:id="2"/>
    </w:p>
    <w:p>
      <w:pPr>
        <w:pStyle w:val="Heading4"/>
        <w:numPr>
          <w:ilvl w:val="1"/>
          <w:numId w:val="3"/>
        </w:numPr>
        <w:rPr/>
      </w:pPr>
      <w:bookmarkStart w:id="3" w:name="_Toc121297146"/>
      <w:bookmarkStart w:id="4" w:name="_Toc46743505"/>
      <w:r>
        <w:rPr/>
        <w:t>Обозначения и сокращения</w:t>
      </w:r>
      <w:bookmarkEnd w:id="3"/>
      <w:bookmarkEnd w:id="4"/>
    </w:p>
    <w:p>
      <w:pPr>
        <w:pStyle w:val="Normal"/>
        <w:rPr>
          <w:rStyle w:val="Style8"/>
          <w:b w:val="false"/>
          <w:bCs/>
          <w:iCs/>
          <w:sz w:val="26"/>
          <w:szCs w:val="26"/>
        </w:rPr>
      </w:pPr>
      <w:r>
        <w:rPr>
          <w:b w:val="false"/>
          <w:bCs/>
          <w:iCs/>
          <w:sz w:val="26"/>
          <w:szCs w:val="26"/>
        </w:rPr>
      </w:r>
    </w:p>
    <w:tbl>
      <w:tblPr>
        <w:tblW w:w="9783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1785"/>
        <w:gridCol w:w="7997"/>
      </w:tblGrid>
      <w:tr>
        <w:trPr>
          <w:cantSplit w:val="true"/>
        </w:trPr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pacing w:before="120" w:after="120"/>
              <w:jc w:val="both"/>
              <w:rPr>
                <w:rStyle w:val="Style8"/>
                <w:b w:val="false"/>
                <w:bCs/>
                <w:iCs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НИР</w:t>
            </w:r>
          </w:p>
        </w:tc>
        <w:tc>
          <w:tcPr>
            <w:tcW w:w="7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pacing w:before="120" w:after="120"/>
              <w:jc w:val="both"/>
              <w:rPr>
                <w:rStyle w:val="Style8"/>
                <w:b w:val="false"/>
                <w:bCs/>
                <w:i w:val="false"/>
                <w:i w:val="false"/>
                <w:iCs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научно-исследовательские работы</w:t>
            </w:r>
          </w:p>
        </w:tc>
      </w:tr>
      <w:tr>
        <w:trPr>
          <w:cantSplit w:val="true"/>
        </w:trPr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pacing w:before="120" w:after="120"/>
              <w:jc w:val="both"/>
              <w:rPr>
                <w:i/>
                <w:i/>
                <w:iCs/>
              </w:rPr>
            </w:pPr>
            <w:r>
              <w:rPr>
                <w:i/>
                <w:iCs/>
                <w:sz w:val="24"/>
                <w:szCs w:val="24"/>
              </w:rPr>
              <w:t>СТО</w:t>
            </w:r>
          </w:p>
        </w:tc>
        <w:tc>
          <w:tcPr>
            <w:tcW w:w="7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pacing w:before="120" w:after="120"/>
              <w:jc w:val="both"/>
              <w:rPr>
                <w:rStyle w:val="Style8"/>
                <w:b w:val="false"/>
                <w:bCs/>
                <w:i w:val="false"/>
                <w:i w:val="false"/>
                <w:iCs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стандарт организации</w:t>
            </w:r>
          </w:p>
        </w:tc>
      </w:tr>
      <w:tr>
        <w:trPr>
          <w:cantSplit w:val="true"/>
        </w:trPr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pacing w:before="120" w:after="120"/>
              <w:jc w:val="both"/>
              <w:rPr>
                <w:rStyle w:val="Style8"/>
                <w:b w:val="false"/>
                <w:bCs/>
                <w:i w:val="false"/>
                <w:i w:val="false"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ТТ</w:t>
            </w:r>
          </w:p>
        </w:tc>
        <w:tc>
          <w:tcPr>
            <w:tcW w:w="7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pacing w:before="120" w:after="120"/>
              <w:jc w:val="both"/>
              <w:rPr>
                <w:rStyle w:val="Style8"/>
                <w:b w:val="false"/>
                <w:bCs/>
                <w:i w:val="false"/>
                <w:i w:val="false"/>
                <w:iCs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технические требования</w:t>
            </w:r>
          </w:p>
        </w:tc>
      </w:tr>
      <w:tr>
        <w:trPr>
          <w:cantSplit w:val="true"/>
        </w:trPr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pacing w:before="120" w:after="120"/>
              <w:jc w:val="both"/>
              <w:rPr>
                <w:i/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ОП</w:t>
            </w:r>
          </w:p>
        </w:tc>
        <w:tc>
          <w:tcPr>
            <w:tcW w:w="7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pacing w:before="120" w:after="120"/>
              <w:jc w:val="both"/>
              <w:rPr>
                <w:i/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обособленное подразделение</w:t>
            </w:r>
          </w:p>
        </w:tc>
      </w:tr>
      <w:tr>
        <w:trPr>
          <w:cantSplit w:val="true"/>
        </w:trPr>
        <w:tc>
          <w:tcPr>
            <w:tcW w:w="17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pacing w:before="120" w:after="120"/>
              <w:jc w:val="both"/>
              <w:rPr>
                <w:i/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СП</w:t>
            </w:r>
          </w:p>
        </w:tc>
        <w:tc>
          <w:tcPr>
            <w:tcW w:w="7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pacing w:before="120" w:after="120"/>
              <w:jc w:val="both"/>
              <w:rPr>
                <w:i/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свод правил</w:t>
            </w:r>
          </w:p>
        </w:tc>
      </w:tr>
    </w:tbl>
    <w:p>
      <w:pPr>
        <w:pStyle w:val="Normal"/>
        <w:keepNext w:val="true"/>
        <w:keepLines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keepNext w:val="true"/>
        <w:keepLines/>
        <w:jc w:val="both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keepNext w:val="true"/>
        <w:keepLines/>
        <w:rPr>
          <w:sz w:val="24"/>
          <w:szCs w:val="24"/>
        </w:rPr>
      </w:pPr>
      <w:r>
        <w:rPr>
          <w:sz w:val="24"/>
          <w:szCs w:val="24"/>
        </w:rPr>
      </w:r>
      <w:r>
        <w:br w:type="page"/>
      </w:r>
    </w:p>
    <w:p>
      <w:pPr>
        <w:pStyle w:val="Heading4"/>
        <w:numPr>
          <w:ilvl w:val="1"/>
          <w:numId w:val="3"/>
        </w:numPr>
        <w:rPr/>
      </w:pPr>
      <w:bookmarkStart w:id="5" w:name="_Toc46743506"/>
      <w:bookmarkStart w:id="6" w:name="_Toc121297147"/>
      <w:r>
        <w:rPr/>
        <w:t>Наименование закупаемой продукции</w:t>
      </w:r>
      <w:bookmarkEnd w:id="5"/>
      <w:bookmarkEnd w:id="6"/>
    </w:p>
    <w:p>
      <w:pPr>
        <w:pStyle w:val="Normal"/>
        <w:widowControl w:val="false"/>
        <w:tabs>
          <w:tab w:val="clear" w:pos="708"/>
          <w:tab w:val="left" w:pos="426" w:leader="none"/>
        </w:tabs>
        <w:jc w:val="both"/>
        <w:rPr>
          <w:rFonts w:eastAsia="Calibri"/>
          <w:i/>
          <w:i/>
          <w:sz w:val="24"/>
          <w:szCs w:val="24"/>
          <w:lang w:eastAsia="x-none"/>
        </w:rPr>
      </w:pPr>
      <w:r>
        <w:rPr>
          <w:rFonts w:eastAsia="Calibri"/>
          <w:i/>
          <w:sz w:val="24"/>
          <w:szCs w:val="24"/>
          <w:lang w:eastAsia="x-none"/>
        </w:rPr>
        <w:t>«Проведение экспертизы промышленной безопасности здания являющегося площадкой опасных производственных объектов Чирюртской ГЭС-2»</w:t>
      </w:r>
    </w:p>
    <w:p>
      <w:pPr>
        <w:pStyle w:val="Heading4"/>
        <w:numPr>
          <w:ilvl w:val="1"/>
          <w:numId w:val="3"/>
        </w:numPr>
        <w:spacing w:before="240" w:after="60"/>
        <w:ind w:left="431" w:hanging="431"/>
        <w:rPr/>
      </w:pPr>
      <w:bookmarkStart w:id="7" w:name="_Toc121297148"/>
      <w:bookmarkStart w:id="8" w:name="_Toc54646218"/>
      <w:bookmarkStart w:id="9" w:name="_Toc46743507"/>
      <w:bookmarkEnd w:id="9"/>
      <w:r>
        <w:rPr>
          <w:lang w:val="ru-RU"/>
        </w:rPr>
        <w:t>Наименование и место расположения функционального заказчика</w:t>
      </w:r>
      <w:bookmarkEnd w:id="7"/>
      <w:bookmarkEnd w:id="8"/>
    </w:p>
    <w:p>
      <w:pPr>
        <w:pStyle w:val="Normal"/>
        <w:spacing w:before="0" w:after="0"/>
        <w:contextualSpacing/>
        <w:jc w:val="both"/>
        <w:rPr>
          <w:rFonts w:eastAsia="Calibri"/>
          <w:i/>
          <w:i/>
          <w:sz w:val="24"/>
          <w:szCs w:val="24"/>
          <w:lang w:eastAsia="x-none"/>
        </w:rPr>
      </w:pPr>
      <w:r>
        <w:rPr>
          <w:rFonts w:eastAsia="Calibri"/>
          <w:i/>
          <w:sz w:val="24"/>
          <w:szCs w:val="24"/>
          <w:lang w:eastAsia="x-none"/>
        </w:rPr>
        <w:t>Филиал ПАО «РусГидро» - «Дагестанский филиал», ОП «Каскад Сулакских ГЭС».</w:t>
      </w:r>
    </w:p>
    <w:p>
      <w:pPr>
        <w:pStyle w:val="Normal"/>
        <w:spacing w:before="0" w:after="0"/>
        <w:contextualSpacing/>
        <w:jc w:val="both"/>
        <w:rPr>
          <w:rFonts w:eastAsia="Calibri"/>
          <w:i/>
          <w:i/>
          <w:sz w:val="24"/>
          <w:szCs w:val="24"/>
          <w:lang w:eastAsia="x-none"/>
        </w:rPr>
      </w:pPr>
      <w:r>
        <w:rPr>
          <w:rFonts w:eastAsia="Calibri"/>
          <w:i/>
          <w:sz w:val="24"/>
          <w:szCs w:val="24"/>
          <w:lang w:eastAsia="x-none"/>
        </w:rPr>
        <w:t xml:space="preserve">Месторасположение объекта работ: Россия, Республика Дагестан, Кизилюртовский район </w:t>
      </w:r>
    </w:p>
    <w:p>
      <w:pPr>
        <w:pStyle w:val="Heading1"/>
        <w:keepLines/>
        <w:numPr>
          <w:ilvl w:val="0"/>
          <w:numId w:val="3"/>
        </w:numPr>
        <w:ind w:left="357" w:hanging="357"/>
        <w:jc w:val="center"/>
        <w:rPr>
          <w:iCs/>
          <w:caps/>
          <w:lang w:val="ru-RU"/>
        </w:rPr>
      </w:pPr>
      <w:bookmarkStart w:id="10" w:name="_Toc121297149"/>
      <w:bookmarkStart w:id="11" w:name="_Toc51339693"/>
      <w:r>
        <w:rPr>
          <w:iCs/>
        </w:rPr>
        <w:t>Требования к продукции</w:t>
      </w:r>
      <w:bookmarkEnd w:id="10"/>
      <w:bookmarkEnd w:id="11"/>
    </w:p>
    <w:p>
      <w:pPr>
        <w:pStyle w:val="Heading4"/>
        <w:numPr>
          <w:ilvl w:val="1"/>
          <w:numId w:val="3"/>
        </w:numPr>
        <w:rPr>
          <w:lang w:val="ru-RU"/>
        </w:rPr>
      </w:pPr>
      <w:bookmarkStart w:id="12" w:name="_Toc121297150"/>
      <w:r>
        <w:rPr/>
        <w:t xml:space="preserve">Требования к </w:t>
      </w:r>
      <w:r>
        <w:rPr>
          <w:lang w:val="ru-RU"/>
        </w:rPr>
        <w:t>этапам</w:t>
      </w:r>
      <w:r>
        <w:rPr/>
        <w:t xml:space="preserve"> и срокам </w:t>
      </w:r>
      <w:r>
        <w:rPr>
          <w:lang w:val="ru-RU"/>
        </w:rPr>
        <w:t>выполнения работ</w:t>
      </w:r>
      <w:bookmarkEnd w:id="12"/>
    </w:p>
    <w:p>
      <w:pPr>
        <w:pStyle w:val="Heading1"/>
        <w:keepLines/>
        <w:numPr>
          <w:ilvl w:val="0"/>
          <w:numId w:val="0"/>
        </w:numPr>
        <w:spacing w:before="240" w:after="60"/>
        <w:ind w:left="0" w:hanging="0"/>
        <w:rPr>
          <w:sz w:val="24"/>
          <w:szCs w:val="24"/>
          <w:lang w:val="ru-RU"/>
        </w:rPr>
      </w:pPr>
      <w:bookmarkStart w:id="13" w:name="_Toc121297151"/>
      <w:bookmarkStart w:id="14" w:name="_Toc51339695"/>
      <w:r>
        <w:rPr>
          <w:sz w:val="24"/>
          <w:szCs w:val="24"/>
        </w:rPr>
        <w:t xml:space="preserve">Таблица </w:t>
      </w:r>
      <w:r>
        <w:rPr>
          <w:sz w:val="24"/>
          <w:szCs w:val="24"/>
          <w:lang w:val="ru-RU"/>
        </w:rPr>
        <w:t>1.</w:t>
      </w:r>
      <w:r>
        <w:rPr>
          <w:sz w:val="24"/>
          <w:szCs w:val="24"/>
        </w:rPr>
        <w:t xml:space="preserve"> </w:t>
      </w:r>
      <w:bookmarkEnd w:id="14"/>
      <w:r>
        <w:rPr>
          <w:sz w:val="24"/>
          <w:szCs w:val="24"/>
          <w:lang w:val="ru-RU"/>
        </w:rPr>
        <w:t>Требования по срокам выполнения работ</w:t>
      </w:r>
      <w:bookmarkEnd w:id="13"/>
    </w:p>
    <w:p>
      <w:pPr>
        <w:pStyle w:val="Normal"/>
        <w:rPr>
          <w:lang w:eastAsia="x-none"/>
        </w:rPr>
      </w:pPr>
      <w:r>
        <w:rPr>
          <w:lang w:eastAsia="x-none"/>
        </w:rPr>
      </w:r>
      <w:bookmarkStart w:id="15" w:name="_Toc50125126"/>
      <w:bookmarkStart w:id="16" w:name="_Toc50125126"/>
      <w:bookmarkEnd w:id="16"/>
    </w:p>
    <w:tbl>
      <w:tblPr>
        <w:tblW w:w="9776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1131"/>
        <w:gridCol w:w="2549"/>
        <w:gridCol w:w="2980"/>
        <w:gridCol w:w="3115"/>
      </w:tblGrid>
      <w:tr>
        <w:trPr/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4"/>
                <w:szCs w:val="24"/>
              </w:rPr>
              <w:t xml:space="preserve">№ </w:t>
            </w:r>
            <w:r>
              <w:rPr>
                <w:sz w:val="24"/>
                <w:szCs w:val="24"/>
              </w:rPr>
              <w:t>п/п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sz w:val="24"/>
                <w:szCs w:val="24"/>
              </w:rPr>
              <w:t>Наименование работ/ этапа работ</w:t>
            </w:r>
          </w:p>
        </w:tc>
        <w:tc>
          <w:tcPr>
            <w:tcW w:w="2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Требования к началу срока выполнения работ/ этапа работ</w:t>
            </w:r>
          </w:p>
        </w:tc>
        <w:tc>
          <w:tcPr>
            <w:tcW w:w="3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widowControl w:val="false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Требования к окончанию срока выполнения работ / этапа работ</w:t>
            </w:r>
          </w:p>
        </w:tc>
      </w:tr>
      <w:tr>
        <w:trPr/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2</w:t>
            </w:r>
          </w:p>
        </w:tc>
        <w:tc>
          <w:tcPr>
            <w:tcW w:w="2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9"/>
              <w:keepNext w:val="false"/>
              <w:widowControl w:val="false"/>
              <w:spacing w:before="40" w:after="40"/>
              <w:jc w:val="center"/>
              <w:rPr>
                <w:sz w:val="26"/>
              </w:rPr>
            </w:pPr>
            <w:r>
              <w:rPr>
                <w:b/>
                <w:sz w:val="26"/>
              </w:rPr>
              <w:t>3</w:t>
            </w:r>
          </w:p>
        </w:tc>
        <w:tc>
          <w:tcPr>
            <w:tcW w:w="3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Style29"/>
              <w:keepNext w:val="false"/>
              <w:widowControl w:val="false"/>
              <w:spacing w:before="40" w:after="40"/>
              <w:jc w:val="center"/>
              <w:rPr>
                <w:sz w:val="26"/>
              </w:rPr>
            </w:pPr>
            <w:r>
              <w:rPr>
                <w:b/>
                <w:sz w:val="26"/>
              </w:rPr>
              <w:t>4</w:t>
            </w:r>
          </w:p>
        </w:tc>
      </w:tr>
      <w:tr>
        <w:trPr/>
        <w:tc>
          <w:tcPr>
            <w:tcW w:w="11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ListParagraph"/>
              <w:widowControl w:val="false"/>
              <w:numPr>
                <w:ilvl w:val="0"/>
                <w:numId w:val="7"/>
              </w:num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Общий срок работы/ предоставление технического отчета</w:t>
            </w:r>
          </w:p>
        </w:tc>
        <w:tc>
          <w:tcPr>
            <w:tcW w:w="29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С момента подписания договора</w:t>
            </w:r>
          </w:p>
        </w:tc>
        <w:tc>
          <w:tcPr>
            <w:tcW w:w="3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6"/>
                <w:szCs w:val="26"/>
              </w:rPr>
            </w:pPr>
            <w:bookmarkStart w:id="17" w:name="_Toc46743510"/>
            <w:bookmarkEnd w:id="17"/>
            <w:r>
              <w:rPr>
                <w:sz w:val="26"/>
                <w:szCs w:val="26"/>
                <w:lang w:val="en-US"/>
              </w:rPr>
              <w:t>15.09</w:t>
            </w:r>
            <w:r>
              <w:rPr>
                <w:sz w:val="26"/>
                <w:szCs w:val="26"/>
              </w:rPr>
              <w:t>.2027</w:t>
            </w:r>
          </w:p>
        </w:tc>
      </w:tr>
    </w:tbl>
    <w:p>
      <w:pPr>
        <w:sectPr>
          <w:headerReference w:type="even" r:id="rId2"/>
          <w:headerReference w:type="default" r:id="rId3"/>
          <w:headerReference w:type="first" r:id="rId4"/>
          <w:type w:val="nextPage"/>
          <w:pgSz w:w="11906" w:h="16838"/>
          <w:pgMar w:left="1134" w:right="851" w:gutter="0" w:header="680" w:top="1134" w:footer="0" w:bottom="992"/>
          <w:pgNumType w:fmt="decimal"/>
          <w:formProt w:val="false"/>
          <w:titlePg/>
          <w:textDirection w:val="lrTb"/>
          <w:docGrid w:type="default" w:linePitch="360" w:charSpace="0"/>
        </w:sectPr>
      </w:pPr>
    </w:p>
    <w:p>
      <w:pPr>
        <w:pStyle w:val="Heading4"/>
        <w:numPr>
          <w:ilvl w:val="1"/>
          <w:numId w:val="3"/>
        </w:numPr>
        <w:rPr/>
      </w:pPr>
      <w:bookmarkStart w:id="18" w:name="_Toc51339698"/>
      <w:bookmarkStart w:id="19" w:name="_Toc121297152"/>
      <w:bookmarkStart w:id="20" w:name="_Toc46743511"/>
      <w:r>
        <w:rPr/>
        <w:t xml:space="preserve">Требования к </w:t>
      </w:r>
      <w:bookmarkEnd w:id="20"/>
      <w:r>
        <w:rPr>
          <w:lang w:val="ru-RU"/>
        </w:rPr>
        <w:t>качеству продукции</w:t>
      </w:r>
      <w:bookmarkEnd w:id="19"/>
    </w:p>
    <w:p>
      <w:pPr>
        <w:pStyle w:val="Heading1"/>
        <w:keepLines/>
        <w:numPr>
          <w:ilvl w:val="0"/>
          <w:numId w:val="0"/>
        </w:numPr>
        <w:spacing w:before="240" w:after="60"/>
        <w:ind w:left="0" w:hanging="0"/>
        <w:rPr>
          <w:sz w:val="24"/>
          <w:szCs w:val="24"/>
        </w:rPr>
      </w:pPr>
      <w:bookmarkStart w:id="21" w:name="_Toc121297153"/>
      <w:r>
        <w:rPr>
          <w:sz w:val="24"/>
          <w:szCs w:val="24"/>
        </w:rPr>
        <w:t>Таблица </w:t>
      </w:r>
      <w:r>
        <w:rPr>
          <w:sz w:val="24"/>
          <w:szCs w:val="24"/>
          <w:lang w:val="ru-RU"/>
        </w:rPr>
        <w:t>2</w:t>
      </w:r>
      <w:r>
        <w:rPr>
          <w:sz w:val="24"/>
          <w:szCs w:val="24"/>
        </w:rPr>
        <w:t xml:space="preserve">. Требования к </w:t>
      </w:r>
      <w:bookmarkEnd w:id="18"/>
      <w:r>
        <w:rPr>
          <w:sz w:val="24"/>
          <w:szCs w:val="24"/>
          <w:lang w:val="ru-RU"/>
        </w:rPr>
        <w:t>качеству продукции</w:t>
      </w:r>
      <w:bookmarkEnd w:id="21"/>
      <w:r>
        <w:rPr>
          <w:sz w:val="24"/>
          <w:szCs w:val="24"/>
        </w:rPr>
        <w:t xml:space="preserve"> </w:t>
      </w:r>
    </w:p>
    <w:p>
      <w:pPr>
        <w:pStyle w:val="Normal"/>
        <w:rPr>
          <w:rStyle w:val="Style8"/>
          <w:b w:val="false"/>
        </w:rPr>
      </w:pPr>
      <w:r>
        <w:rPr>
          <w:b w:val="false"/>
        </w:rPr>
      </w:r>
    </w:p>
    <w:p>
      <w:pPr>
        <w:pStyle w:val="Normal"/>
        <w:snapToGrid w:val="false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Наименование работ/этапа работ (позиция №_1 Таблицы 2): </w:t>
      </w:r>
      <w:r>
        <w:rPr>
          <w:bCs/>
          <w:sz w:val="24"/>
          <w:szCs w:val="24"/>
        </w:rPr>
        <w:t>Проведение экспертизы промышленной безопасности здания Чирюртской ГЭС-2 являющегося площадкой опасных производственных объектов.</w:t>
      </w:r>
    </w:p>
    <w:p>
      <w:pPr>
        <w:pStyle w:val="ListParagraph"/>
        <w:tabs>
          <w:tab w:val="clear" w:pos="708"/>
          <w:tab w:val="left" w:pos="298" w:leader="none"/>
        </w:tabs>
        <w:spacing w:lineRule="auto" w:line="276" w:before="0" w:after="0"/>
        <w:ind w:left="444" w:hanging="0"/>
        <w:contextualSpacing w:val="false"/>
        <w:rPr>
          <w:rStyle w:val="Style8"/>
          <w:b w:val="false"/>
          <w:i w:val="false"/>
          <w:i w:val="false"/>
          <w:spacing w:val="-10"/>
          <w:shd w:fill="auto" w:val="clear"/>
        </w:rPr>
      </w:pPr>
      <w:r>
        <w:rPr>
          <w:b w:val="false"/>
          <w:i w:val="false"/>
          <w:spacing w:val="-10"/>
          <w:shd w:fill="auto" w:val="clear"/>
        </w:rPr>
      </w:r>
    </w:p>
    <w:tbl>
      <w:tblPr>
        <w:tblStyle w:val="affff8"/>
        <w:tblW w:w="15168" w:type="dxa"/>
        <w:jc w:val="left"/>
        <w:tblInd w:w="-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811"/>
        <w:gridCol w:w="2836"/>
        <w:gridCol w:w="3357"/>
        <w:gridCol w:w="2668"/>
        <w:gridCol w:w="2906"/>
        <w:gridCol w:w="2589"/>
      </w:tblGrid>
      <w:tr>
        <w:trPr>
          <w:trHeight w:val="690" w:hRule="atLeast"/>
        </w:trPr>
        <w:tc>
          <w:tcPr>
            <w:tcW w:w="811" w:type="dxa"/>
            <w:vMerge w:val="restart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12</w:t>
            </w:r>
          </w:p>
        </w:tc>
        <w:tc>
          <w:tcPr>
            <w:tcW w:w="2836" w:type="dxa"/>
            <w:vMerge w:val="restart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Наименование параметра</w:t>
            </w:r>
          </w:p>
        </w:tc>
        <w:tc>
          <w:tcPr>
            <w:tcW w:w="3357" w:type="dxa"/>
            <w:vMerge w:val="restart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Требование заказчика</w:t>
            </w:r>
          </w:p>
        </w:tc>
        <w:tc>
          <w:tcPr>
            <w:tcW w:w="5574" w:type="dxa"/>
            <w:gridSpan w:val="2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Способ подтверждения участником соответствия требованиям</w:t>
            </w:r>
          </w:p>
        </w:tc>
        <w:tc>
          <w:tcPr>
            <w:tcW w:w="2589" w:type="dxa"/>
            <w:vMerge w:val="restart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Предложение участника по характеристикам и параметрам</w:t>
            </w:r>
          </w:p>
        </w:tc>
      </w:tr>
      <w:tr>
        <w:trPr/>
        <w:tc>
          <w:tcPr>
            <w:tcW w:w="811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W w:w="2836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W w:w="3357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W w:w="266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Согласие с требованием/ указание характеристик</w:t>
            </w:r>
          </w:p>
        </w:tc>
        <w:tc>
          <w:tcPr>
            <w:tcW w:w="290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Предоставление подтверждающего документа или иной способ подтверждения</w:t>
            </w:r>
          </w:p>
        </w:tc>
        <w:tc>
          <w:tcPr>
            <w:tcW w:w="2589" w:type="dxa"/>
            <w:vMerge w:val="continue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811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1</w:t>
            </w:r>
          </w:p>
        </w:tc>
        <w:tc>
          <w:tcPr>
            <w:tcW w:w="2836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2</w:t>
            </w:r>
          </w:p>
        </w:tc>
        <w:tc>
          <w:tcPr>
            <w:tcW w:w="3357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3</w:t>
            </w:r>
          </w:p>
        </w:tc>
        <w:tc>
          <w:tcPr>
            <w:tcW w:w="2668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4</w:t>
            </w:r>
          </w:p>
        </w:tc>
        <w:tc>
          <w:tcPr>
            <w:tcW w:w="2906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5</w:t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6</w:t>
            </w:r>
          </w:p>
        </w:tc>
      </w:tr>
      <w:tr>
        <w:trPr/>
        <w:tc>
          <w:tcPr>
            <w:tcW w:w="811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0"/>
                <w:numId w:val="6"/>
              </w:numPr>
              <w:suppressAutoHyphens w:val="true"/>
              <w:spacing w:before="60" w:after="60"/>
              <w:contextualSpacing/>
              <w:jc w:val="center"/>
              <w:rPr>
                <w:rFonts w:ascii="Times New Roman" w:hAnsi="Times New Roman" w:cs="Times New Roman"/>
                <w:kern w:val="0"/>
                <w:lang w:val="ru-RU" w:eastAsia="ru-RU" w:bidi="ar-SA"/>
              </w:rPr>
            </w:pPr>
            <w:r>
              <w:rPr>
                <w:rFonts w:cs="Times New Roman"/>
                <w:kern w:val="0"/>
                <w:lang w:val="ru-RU" w:eastAsia="ru-RU" w:bidi="ar-SA"/>
              </w:rPr>
            </w:r>
          </w:p>
        </w:tc>
        <w:tc>
          <w:tcPr>
            <w:tcW w:w="6193" w:type="dxa"/>
            <w:gridSpan w:val="2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kern w:val="0"/>
                <w:sz w:val="24"/>
                <w:szCs w:val="24"/>
                <w:lang w:val="ru-RU" w:eastAsia="ru-RU" w:bidi="ar-SA"/>
              </w:rPr>
              <w:t>Требования к качеству продукции</w:t>
            </w:r>
          </w:p>
        </w:tc>
        <w:tc>
          <w:tcPr>
            <w:tcW w:w="266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290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258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</w:tr>
      <w:tr>
        <w:trPr/>
        <w:tc>
          <w:tcPr>
            <w:tcW w:w="811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6"/>
              </w:numPr>
              <w:suppressAutoHyphens w:val="true"/>
              <w:spacing w:before="60" w:after="60"/>
              <w:ind w:left="-117" w:firstLine="142"/>
              <w:contextualSpacing/>
              <w:jc w:val="center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  <w:tc>
          <w:tcPr>
            <w:tcW w:w="6193" w:type="dxa"/>
            <w:gridSpan w:val="2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Требование к наименованию и условному обозначению научно-технического результата</w:t>
            </w:r>
          </w:p>
        </w:tc>
        <w:tc>
          <w:tcPr>
            <w:tcW w:w="266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W w:w="290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W w:w="258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811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2"/>
                <w:numId w:val="6"/>
              </w:numPr>
              <w:suppressAutoHyphens w:val="true"/>
              <w:spacing w:before="60" w:after="60"/>
              <w:ind w:left="1224" w:hanging="1199"/>
              <w:contextualSpacing/>
              <w:jc w:val="center"/>
              <w:rPr>
                <w:rFonts w:ascii="Times New Roman" w:hAnsi="Times New Roman" w:cs="Times New Roman"/>
                <w:kern w:val="0"/>
                <w:lang w:val="ru-RU" w:eastAsia="ru-RU" w:bidi="ar-SA"/>
              </w:rPr>
            </w:pPr>
            <w:r>
              <w:rPr>
                <w:rFonts w:cs="Times New Roman"/>
                <w:kern w:val="0"/>
                <w:lang w:val="ru-RU" w:eastAsia="ru-RU" w:bidi="ar-SA"/>
              </w:rPr>
            </w:r>
          </w:p>
        </w:tc>
        <w:tc>
          <w:tcPr>
            <w:tcW w:w="2836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Требование к наименованию</w:t>
            </w:r>
          </w:p>
        </w:tc>
        <w:tc>
          <w:tcPr>
            <w:tcW w:w="335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Cs/>
                <w:kern w:val="0"/>
                <w:sz w:val="24"/>
                <w:szCs w:val="24"/>
                <w:lang w:val="ru-RU" w:eastAsia="ru-RU" w:bidi="ar-SA"/>
              </w:rPr>
              <w:t>Проведение экспертизы промышленной безопасности здания являющегося площадкой опасных производственных объектов Чирюртской ГЭС-2</w:t>
            </w:r>
          </w:p>
        </w:tc>
        <w:tc>
          <w:tcPr>
            <w:tcW w:w="2668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i/>
                <w:iCs/>
                <w:kern w:val="0"/>
                <w:sz w:val="24"/>
                <w:szCs w:val="24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906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589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811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2"/>
                <w:numId w:val="6"/>
              </w:numPr>
              <w:suppressAutoHyphens w:val="true"/>
              <w:spacing w:before="60" w:after="60"/>
              <w:ind w:left="1224" w:hanging="1199"/>
              <w:contextualSpacing/>
              <w:jc w:val="center"/>
              <w:rPr>
                <w:rFonts w:ascii="Times New Roman" w:hAnsi="Times New Roman" w:cs="Times New Roman"/>
                <w:kern w:val="0"/>
                <w:lang w:val="ru-RU" w:eastAsia="ru-RU" w:bidi="ar-SA"/>
              </w:rPr>
            </w:pPr>
            <w:r>
              <w:rPr>
                <w:rFonts w:cs="Times New Roman"/>
                <w:kern w:val="0"/>
                <w:lang w:val="ru-RU" w:eastAsia="ru-RU" w:bidi="ar-SA"/>
              </w:rPr>
            </w:r>
          </w:p>
        </w:tc>
        <w:tc>
          <w:tcPr>
            <w:tcW w:w="2836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Требование к условному обозначению научно-техническому результату</w:t>
            </w:r>
          </w:p>
        </w:tc>
        <w:tc>
          <w:tcPr>
            <w:tcW w:w="3357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668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906" w:type="dxa"/>
            <w:tcBorders/>
            <w:shd w:color="auto" w:fill="auto" w:val="clear"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589" w:type="dxa"/>
            <w:tcBorders/>
            <w:shd w:color="auto" w:fill="auto" w:val="clea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/>
        <w:tc>
          <w:tcPr>
            <w:tcW w:w="811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6"/>
              </w:numPr>
              <w:suppressAutoHyphens w:val="true"/>
              <w:spacing w:before="60" w:after="60"/>
              <w:ind w:left="-117" w:firstLine="142"/>
              <w:contextualSpacing/>
              <w:jc w:val="center"/>
              <w:rPr>
                <w:rFonts w:ascii="Times New Roman" w:hAnsi="Times New Roman" w:cs="Times New Roman"/>
                <w:kern w:val="0"/>
                <w:lang w:val="ru-RU" w:eastAsia="ru-RU" w:bidi="ar-SA"/>
              </w:rPr>
            </w:pPr>
            <w:r>
              <w:rPr>
                <w:rFonts w:cs="Times New Roman"/>
                <w:kern w:val="0"/>
                <w:lang w:val="ru-RU" w:eastAsia="ru-RU" w:bidi="ar-SA"/>
              </w:rPr>
            </w:r>
          </w:p>
        </w:tc>
        <w:tc>
          <w:tcPr>
            <w:tcW w:w="6193" w:type="dxa"/>
            <w:gridSpan w:val="2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Требования к области применения</w:t>
            </w:r>
          </w:p>
        </w:tc>
        <w:tc>
          <w:tcPr>
            <w:tcW w:w="266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W w:w="290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W w:w="258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811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2"/>
                <w:numId w:val="6"/>
              </w:numPr>
              <w:suppressAutoHyphens w:val="true"/>
              <w:spacing w:before="60" w:after="60"/>
              <w:ind w:left="1224" w:hanging="1199"/>
              <w:contextualSpacing/>
              <w:jc w:val="center"/>
              <w:rPr>
                <w:rFonts w:ascii="Times New Roman" w:hAnsi="Times New Roman" w:cs="Times New Roman"/>
                <w:kern w:val="0"/>
                <w:lang w:val="ru-RU" w:eastAsia="ru-RU" w:bidi="ar-SA"/>
              </w:rPr>
            </w:pPr>
            <w:r>
              <w:rPr>
                <w:rFonts w:cs="Times New Roman"/>
                <w:kern w:val="0"/>
                <w:lang w:val="ru-RU" w:eastAsia="ru-RU" w:bidi="ar-SA"/>
              </w:rPr>
            </w:r>
          </w:p>
        </w:tc>
        <w:tc>
          <w:tcPr>
            <w:tcW w:w="2836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Требование к области применения</w:t>
            </w:r>
          </w:p>
        </w:tc>
        <w:tc>
          <w:tcPr>
            <w:tcW w:w="3357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uppressAutoHyphens w:val="true"/>
              <w:spacing w:before="60" w:after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668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290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uppressAutoHyphens w:val="true"/>
              <w:spacing w:before="60" w:after="0"/>
              <w:jc w:val="lef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</w:tr>
      <w:tr>
        <w:trPr/>
        <w:tc>
          <w:tcPr>
            <w:tcW w:w="811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6"/>
              </w:numPr>
              <w:suppressAutoHyphens w:val="true"/>
              <w:spacing w:before="60" w:after="60"/>
              <w:ind w:left="-117" w:firstLine="142"/>
              <w:contextualSpacing/>
              <w:jc w:val="center"/>
              <w:rPr>
                <w:rFonts w:ascii="Times New Roman" w:hAnsi="Times New Roman" w:cs="Times New Roman"/>
                <w:kern w:val="0"/>
                <w:lang w:val="ru-RU" w:eastAsia="ru-RU" w:bidi="ar-SA"/>
              </w:rPr>
            </w:pPr>
            <w:r>
              <w:rPr>
                <w:rFonts w:cs="Times New Roman"/>
                <w:kern w:val="0"/>
                <w:lang w:val="ru-RU" w:eastAsia="ru-RU" w:bidi="ar-SA"/>
              </w:rPr>
            </w:r>
          </w:p>
        </w:tc>
        <w:tc>
          <w:tcPr>
            <w:tcW w:w="6193" w:type="dxa"/>
            <w:gridSpan w:val="2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Требования к целям и задачам разработки, ожидаемому эффекту</w:t>
            </w:r>
          </w:p>
        </w:tc>
        <w:tc>
          <w:tcPr>
            <w:tcW w:w="266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W w:w="290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W w:w="258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811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2"/>
                <w:numId w:val="6"/>
              </w:numPr>
              <w:suppressAutoHyphens w:val="true"/>
              <w:spacing w:before="60" w:after="60"/>
              <w:ind w:left="1224" w:hanging="1199"/>
              <w:contextualSpacing/>
              <w:jc w:val="center"/>
              <w:rPr>
                <w:rFonts w:ascii="Times New Roman" w:hAnsi="Times New Roman" w:cs="Times New Roman"/>
                <w:kern w:val="0"/>
                <w:lang w:val="ru-RU" w:eastAsia="ru-RU" w:bidi="ar-SA"/>
              </w:rPr>
            </w:pPr>
            <w:r>
              <w:rPr>
                <w:rFonts w:cs="Times New Roman"/>
                <w:kern w:val="0"/>
                <w:lang w:val="ru-RU" w:eastAsia="ru-RU" w:bidi="ar-SA"/>
              </w:rPr>
            </w:r>
          </w:p>
        </w:tc>
        <w:tc>
          <w:tcPr>
            <w:tcW w:w="2836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Новизна разработки</w:t>
            </w:r>
          </w:p>
        </w:tc>
        <w:tc>
          <w:tcPr>
            <w:tcW w:w="3357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668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90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uppressAutoHyphens w:val="true"/>
              <w:spacing w:before="60" w:after="0"/>
              <w:jc w:val="lef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</w:tr>
      <w:tr>
        <w:trPr/>
        <w:tc>
          <w:tcPr>
            <w:tcW w:w="811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2"/>
                <w:numId w:val="6"/>
              </w:numPr>
              <w:suppressAutoHyphens w:val="true"/>
              <w:spacing w:before="60" w:after="60"/>
              <w:ind w:left="1224" w:hanging="1199"/>
              <w:contextualSpacing/>
              <w:jc w:val="center"/>
              <w:rPr>
                <w:rFonts w:ascii="Times New Roman" w:hAnsi="Times New Roman" w:cs="Times New Roman"/>
                <w:kern w:val="0"/>
                <w:lang w:val="ru-RU" w:eastAsia="ru-RU" w:bidi="ar-SA"/>
              </w:rPr>
            </w:pPr>
            <w:r>
              <w:rPr>
                <w:rFonts w:cs="Times New Roman"/>
                <w:kern w:val="0"/>
                <w:lang w:val="ru-RU" w:eastAsia="ru-RU" w:bidi="ar-SA"/>
              </w:rPr>
            </w:r>
          </w:p>
        </w:tc>
        <w:tc>
          <w:tcPr>
            <w:tcW w:w="2836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Цель разработки</w:t>
            </w:r>
          </w:p>
        </w:tc>
        <w:tc>
          <w:tcPr>
            <w:tcW w:w="3357" w:type="dxa"/>
            <w:tcBorders/>
          </w:tcPr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Cs/>
                <w:kern w:val="0"/>
                <w:sz w:val="24"/>
                <w:szCs w:val="24"/>
                <w:lang w:val="ru-RU" w:eastAsia="ru-RU" w:bidi="ar-SA"/>
              </w:rPr>
              <w:t>Оценка технического состояния площадки участка сосудов Чирюртской ГЭС-2, являющегося площадкой опасных производственных объектов, и получение заключения экспертизы промышленной безопасности с определением:</w:t>
            </w:r>
          </w:p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Cs/>
                <w:kern w:val="0"/>
                <w:sz w:val="24"/>
                <w:szCs w:val="24"/>
                <w:lang w:val="ru-RU" w:eastAsia="ru-RU" w:bidi="ar-SA"/>
              </w:rPr>
              <w:t>Срока ввода в эксплуатацию здания  ГЭС;</w:t>
            </w:r>
          </w:p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Cs/>
                <w:kern w:val="0"/>
                <w:sz w:val="24"/>
                <w:szCs w:val="24"/>
                <w:lang w:val="ru-RU" w:eastAsia="ru-RU" w:bidi="ar-SA"/>
              </w:rPr>
              <w:t>Нормированного срока службы здания  ГЭС;</w:t>
            </w:r>
          </w:p>
          <w:p>
            <w:pPr>
              <w:pStyle w:val="Normal"/>
              <w:widowControl w:val="false"/>
              <w:suppressAutoHyphens w:val="true"/>
              <w:snapToGrid w:val="false"/>
              <w:spacing w:before="0" w:after="0"/>
              <w:jc w:val="left"/>
              <w:rPr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Cs/>
                <w:kern w:val="0"/>
                <w:sz w:val="24"/>
                <w:szCs w:val="24"/>
                <w:lang w:val="ru-RU" w:eastAsia="ru-RU" w:bidi="ar-SA"/>
              </w:rPr>
              <w:t>Мероприятий по дальнейшей эксплуатации здания  ГЭС</w:t>
            </w:r>
          </w:p>
        </w:tc>
        <w:tc>
          <w:tcPr>
            <w:tcW w:w="2668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i/>
                <w:iCs/>
                <w:kern w:val="0"/>
                <w:sz w:val="24"/>
                <w:szCs w:val="24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90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uppressAutoHyphens w:val="true"/>
              <w:spacing w:before="60" w:after="0"/>
              <w:jc w:val="lef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</w:tr>
      <w:tr>
        <w:trPr/>
        <w:tc>
          <w:tcPr>
            <w:tcW w:w="811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2"/>
                <w:numId w:val="6"/>
              </w:numPr>
              <w:suppressAutoHyphens w:val="true"/>
              <w:spacing w:before="60" w:after="60"/>
              <w:ind w:left="1224" w:hanging="1199"/>
              <w:contextualSpacing/>
              <w:jc w:val="center"/>
              <w:rPr>
                <w:rFonts w:ascii="Times New Roman" w:hAnsi="Times New Roman" w:cs="Times New Roman"/>
                <w:kern w:val="0"/>
                <w:lang w:val="ru-RU" w:eastAsia="ru-RU" w:bidi="ar-SA"/>
              </w:rPr>
            </w:pPr>
            <w:r>
              <w:rPr>
                <w:rFonts w:cs="Times New Roman"/>
                <w:kern w:val="0"/>
                <w:lang w:val="ru-RU" w:eastAsia="ru-RU" w:bidi="ar-SA"/>
              </w:rPr>
            </w:r>
          </w:p>
        </w:tc>
        <w:tc>
          <w:tcPr>
            <w:tcW w:w="2836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Требования к задачам исследования:</w:t>
            </w:r>
          </w:p>
        </w:tc>
        <w:tc>
          <w:tcPr>
            <w:tcW w:w="3357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Соблюдение Федеральных норм и правил в области промышленной безопасности, определение соответствия объекта экспертизы предъявляемым к нему требованиям промышленной безопасности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Экспертизе промышленной безопасности подлежит здание Чирюрсткой ГЭС-2, в которых расположены опасные производственные объекты:</w:t>
            </w:r>
          </w:p>
          <w:p>
            <w:pPr>
              <w:pStyle w:val="Normal"/>
              <w:widowControl w:val="false"/>
              <w:numPr>
                <w:ilvl w:val="0"/>
                <w:numId w:val="14"/>
              </w:numPr>
              <w:suppressAutoHyphens w:val="true"/>
              <w:spacing w:before="0" w:after="0"/>
              <w:jc w:val="left"/>
              <w:rPr/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Площадка участка сосудов Чирюрсткой ГЭС-2 (регистрационный номер объекта в государственном реестре опасных производственных объектов № А66-02932-0107). Оборудования, работающие под избыточным давлением: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720" w:hanging="0"/>
              <w:jc w:val="left"/>
              <w:rPr/>
            </w:pPr>
            <w:r>
              <w:rPr>
                <w:rFonts w:eastAsia="Times New Roman" w:cs="Times New Roman"/>
                <w:kern w:val="0"/>
                <w:position w:val="0"/>
                <w:sz w:val="24"/>
                <w:sz w:val="24"/>
                <w:szCs w:val="24"/>
                <w:vertAlign w:val="baseline"/>
                <w:lang w:val="ru-RU" w:eastAsia="ru-RU" w:bidi="ar-SA"/>
              </w:rPr>
              <w:t>1) Ресивер №5, рег.№15556, P=0,8 МПа, V=1 м</w:t>
            </w:r>
            <w:r>
              <w:rPr>
                <w:rFonts w:eastAsia="Times New Roman" w:cs="Times New Roman"/>
                <w:kern w:val="0"/>
                <w:sz w:val="24"/>
                <w:szCs w:val="24"/>
                <w:vertAlign w:val="superscript"/>
                <w:lang w:val="ru-RU" w:eastAsia="ru-RU" w:bidi="ar-SA"/>
              </w:rPr>
              <w:t>3</w:t>
            </w:r>
            <w:r>
              <w:rPr>
                <w:rFonts w:eastAsia="Times New Roman" w:cs="Times New Roman"/>
                <w:kern w:val="0"/>
                <w:position w:val="0"/>
                <w:sz w:val="24"/>
                <w:sz w:val="24"/>
                <w:szCs w:val="24"/>
                <w:vertAlign w:val="baseline"/>
                <w:lang w:val="ru-RU" w:eastAsia="ru-RU" w:bidi="ar-SA"/>
              </w:rPr>
              <w:t>;</w:t>
            </w:r>
          </w:p>
          <w:p>
            <w:pPr>
              <w:pStyle w:val="Normal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720" w:hanging="0"/>
              <w:jc w:val="left"/>
              <w:rPr/>
            </w:pPr>
            <w:r>
              <w:rPr>
                <w:rFonts w:eastAsia="Times New Roman" w:cs="Times New Roman"/>
                <w:kern w:val="0"/>
                <w:position w:val="0"/>
                <w:sz w:val="24"/>
                <w:sz w:val="24"/>
                <w:szCs w:val="24"/>
                <w:vertAlign w:val="baseline"/>
                <w:lang w:val="ru-RU" w:eastAsia="ru-RU" w:bidi="ar-SA"/>
              </w:rPr>
              <w:t>2) Сосуд МНУ, рег. №15557А, P=2,5 МПа, V=4 м</w:t>
            </w:r>
            <w:r>
              <w:rPr>
                <w:rFonts w:eastAsia="Times New Roman" w:cs="Times New Roman"/>
                <w:kern w:val="0"/>
                <w:sz w:val="24"/>
                <w:szCs w:val="24"/>
                <w:vertAlign w:val="superscript"/>
                <w:lang w:val="ru-RU" w:eastAsia="ru-RU" w:bidi="ar-SA"/>
              </w:rPr>
              <w:t>3</w:t>
            </w:r>
            <w:r>
              <w:rPr>
                <w:rFonts w:eastAsia="Times New Roman" w:cs="Times New Roman"/>
                <w:kern w:val="0"/>
                <w:position w:val="0"/>
                <w:sz w:val="24"/>
                <w:sz w:val="24"/>
                <w:szCs w:val="24"/>
                <w:vertAlign w:val="baseline"/>
                <w:lang w:val="ru-RU" w:eastAsia="ru-RU" w:bidi="ar-SA"/>
              </w:rPr>
              <w:t>.</w:t>
            </w:r>
          </w:p>
        </w:tc>
        <w:tc>
          <w:tcPr>
            <w:tcW w:w="2668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i/>
                <w:iCs/>
                <w:kern w:val="0"/>
                <w:sz w:val="24"/>
                <w:szCs w:val="24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90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uppressAutoHyphens w:val="true"/>
              <w:spacing w:before="60" w:after="0"/>
              <w:jc w:val="lef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</w:tr>
      <w:tr>
        <w:trPr/>
        <w:tc>
          <w:tcPr>
            <w:tcW w:w="811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6"/>
              </w:numPr>
              <w:suppressAutoHyphens w:val="true"/>
              <w:spacing w:before="60" w:after="60"/>
              <w:ind w:left="-117" w:firstLine="142"/>
              <w:contextualSpacing/>
              <w:jc w:val="center"/>
              <w:rPr>
                <w:rFonts w:ascii="Times New Roman" w:hAnsi="Times New Roman" w:cs="Times New Roman"/>
                <w:kern w:val="0"/>
                <w:lang w:val="ru-RU" w:eastAsia="ru-RU" w:bidi="ar-SA"/>
              </w:rPr>
            </w:pPr>
            <w:r>
              <w:rPr>
                <w:rFonts w:cs="Times New Roman"/>
                <w:kern w:val="0"/>
                <w:lang w:val="ru-RU" w:eastAsia="ru-RU" w:bidi="ar-SA"/>
              </w:rPr>
            </w:r>
          </w:p>
        </w:tc>
        <w:tc>
          <w:tcPr>
            <w:tcW w:w="6193" w:type="dxa"/>
            <w:gridSpan w:val="2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Требования к учету сведений о потребности</w:t>
            </w:r>
          </w:p>
        </w:tc>
        <w:tc>
          <w:tcPr>
            <w:tcW w:w="266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W w:w="290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W w:w="258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811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6"/>
              </w:numPr>
              <w:suppressAutoHyphens w:val="true"/>
              <w:spacing w:before="60" w:after="60"/>
              <w:ind w:left="-117" w:firstLine="142"/>
              <w:contextualSpacing/>
              <w:jc w:val="center"/>
              <w:rPr>
                <w:rFonts w:ascii="Times New Roman" w:hAnsi="Times New Roman" w:cs="Times New Roman"/>
                <w:kern w:val="0"/>
                <w:lang w:val="ru-RU" w:eastAsia="ru-RU" w:bidi="ar-SA"/>
              </w:rPr>
            </w:pPr>
            <w:r>
              <w:rPr>
                <w:rFonts w:cs="Times New Roman"/>
                <w:kern w:val="0"/>
                <w:lang w:val="ru-RU" w:eastAsia="ru-RU" w:bidi="ar-SA"/>
              </w:rPr>
            </w:r>
          </w:p>
        </w:tc>
        <w:tc>
          <w:tcPr>
            <w:tcW w:w="6193" w:type="dxa"/>
            <w:gridSpan w:val="2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Краткое описание характера работ</w:t>
            </w:r>
          </w:p>
        </w:tc>
        <w:tc>
          <w:tcPr>
            <w:tcW w:w="2668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W w:w="2906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811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2"/>
                <w:numId w:val="6"/>
              </w:numPr>
              <w:suppressAutoHyphens w:val="true"/>
              <w:spacing w:before="60" w:after="60"/>
              <w:ind w:left="1224" w:hanging="1199"/>
              <w:contextualSpacing/>
              <w:jc w:val="center"/>
              <w:rPr>
                <w:rFonts w:ascii="Times New Roman" w:hAnsi="Times New Roman" w:cs="Times New Roman"/>
                <w:kern w:val="0"/>
                <w:lang w:val="ru-RU" w:eastAsia="ru-RU" w:bidi="ar-SA"/>
              </w:rPr>
            </w:pPr>
            <w:r>
              <w:rPr>
                <w:rFonts w:cs="Times New Roman"/>
                <w:kern w:val="0"/>
                <w:lang w:val="ru-RU" w:eastAsia="ru-RU" w:bidi="ar-SA"/>
              </w:rPr>
            </w:r>
          </w:p>
        </w:tc>
        <w:tc>
          <w:tcPr>
            <w:tcW w:w="2836" w:type="dxa"/>
            <w:tcBorders/>
          </w:tcPr>
          <w:p>
            <w:pPr>
              <w:pStyle w:val="Normal"/>
              <w:widowControl w:val="false"/>
              <w:shd w:val="clear" w:color="auto" w:fill="FFFFFF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357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Состав работ: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- разработка программы производства работ и согласование с Заказчиком;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-проведение обследования с целью оценки технического состояния (с применением неразрушающего контроля);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- обработка результатов обследования, подготовка заключения экспертизы;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- выдача заключения экспертизы промышленной безопасности, которое должно быть внесено в реестр заключений экспертиз промышленной безопасности в Ростехнадзоре.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Требования к выполнению работ: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В заключении экспертизы отразить следующее: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- официальная фиксация срока ввода здания ГЭС в эксплуатацию по имеющейся у заказчика документации;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- установление фактического срока эксплуатации здания ГЭС;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- оценка текущего состояния здания ГЭС;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- установление срока службы здания ГЭС (с учетом отнесения их к гидротехническому сооружению I класса).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При проведении экспертизы использовать все необходимые нормативные документы и нормативно-правовые акты с последними изменениями и дополнениями. В пояснительной записке обязательно указать перечень используемых документов.</w:t>
            </w:r>
          </w:p>
        </w:tc>
        <w:tc>
          <w:tcPr>
            <w:tcW w:w="2668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i/>
                <w:iCs/>
                <w:kern w:val="0"/>
                <w:sz w:val="24"/>
                <w:szCs w:val="24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90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uppressAutoHyphens w:val="true"/>
              <w:spacing w:before="60" w:after="0"/>
              <w:jc w:val="lef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</w:tr>
      <w:tr>
        <w:trPr/>
        <w:tc>
          <w:tcPr>
            <w:tcW w:w="811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6"/>
              </w:numPr>
              <w:suppressAutoHyphens w:val="true"/>
              <w:spacing w:before="60" w:after="60"/>
              <w:ind w:left="-117" w:firstLine="142"/>
              <w:contextualSpacing/>
              <w:jc w:val="center"/>
              <w:rPr>
                <w:rFonts w:ascii="Times New Roman" w:hAnsi="Times New Roman" w:cs="Times New Roman"/>
                <w:kern w:val="0"/>
                <w:lang w:val="ru-RU" w:eastAsia="ru-RU" w:bidi="ar-SA"/>
              </w:rPr>
            </w:pPr>
            <w:r>
              <w:rPr>
                <w:rFonts w:cs="Times New Roman"/>
                <w:kern w:val="0"/>
                <w:lang w:val="ru-RU" w:eastAsia="ru-RU" w:bidi="ar-SA"/>
              </w:rPr>
            </w:r>
          </w:p>
        </w:tc>
        <w:tc>
          <w:tcPr>
            <w:tcW w:w="6193" w:type="dxa"/>
            <w:gridSpan w:val="2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Основные требуемые параметры</w:t>
            </w:r>
          </w:p>
        </w:tc>
        <w:tc>
          <w:tcPr>
            <w:tcW w:w="266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W w:w="290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W w:w="258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</w:tr>
      <w:tr>
        <w:trPr>
          <w:trHeight w:val="731" w:hRule="atLeast"/>
        </w:trPr>
        <w:tc>
          <w:tcPr>
            <w:tcW w:w="811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2"/>
                <w:numId w:val="6"/>
              </w:numPr>
              <w:suppressAutoHyphens w:val="true"/>
              <w:spacing w:before="60" w:after="60"/>
              <w:ind w:left="1224" w:hanging="1199"/>
              <w:contextualSpacing/>
              <w:jc w:val="center"/>
              <w:rPr>
                <w:rFonts w:ascii="Times New Roman" w:hAnsi="Times New Roman" w:cs="Times New Roman"/>
                <w:kern w:val="0"/>
                <w:lang w:val="ru-RU" w:eastAsia="ru-RU" w:bidi="ar-SA"/>
              </w:rPr>
            </w:pPr>
            <w:r>
              <w:rPr>
                <w:rFonts w:cs="Times New Roman"/>
                <w:kern w:val="0"/>
                <w:lang w:val="ru-RU" w:eastAsia="ru-RU" w:bidi="ar-SA"/>
              </w:rPr>
            </w:r>
          </w:p>
        </w:tc>
        <w:tc>
          <w:tcPr>
            <w:tcW w:w="2836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uppressAutoHyphens w:val="true"/>
              <w:spacing w:before="6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Требования к выполнению работы</w:t>
            </w:r>
          </w:p>
        </w:tc>
        <w:tc>
          <w:tcPr>
            <w:tcW w:w="3357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ind w:right="284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Требования Федерального закона от 21 июля 1997 г. № 116- ФЗ «О промышленной безопасности опасных производственных объектов» - статья 13 (действующая редакция).</w:t>
            </w:r>
          </w:p>
          <w:p>
            <w:pPr>
              <w:pStyle w:val="Normal"/>
              <w:widowControl w:val="false"/>
              <w:suppressAutoHyphens w:val="true"/>
              <w:spacing w:before="0" w:after="0"/>
              <w:ind w:right="284" w:hanging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- Приказ Федеральной службы по экологическому, технологическому и атомному надзору от 20 октября 2020 года №420 «Об утверждении Федеральных норм и правил в области промышленной безопасности «Правила проведения экспертизы промышленной безопасности- статья 7. (действующая редакция)</w:t>
            </w:r>
          </w:p>
        </w:tc>
        <w:tc>
          <w:tcPr>
            <w:tcW w:w="2668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rFonts w:eastAsia="Times New Roman" w:cs="Times New Roman"/>
                <w:i/>
                <w:iCs/>
                <w:kern w:val="0"/>
                <w:sz w:val="24"/>
                <w:szCs w:val="24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90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589" w:type="dxa"/>
            <w:tcBorders/>
          </w:tcPr>
          <w:p>
            <w:pPr>
              <w:pStyle w:val="Style28"/>
              <w:keepNext w:val="false"/>
              <w:widowControl w:val="false"/>
              <w:numPr>
                <w:ilvl w:val="0"/>
                <w:numId w:val="0"/>
              </w:numPr>
              <w:suppressAutoHyphens w:val="true"/>
              <w:spacing w:before="0" w:after="60"/>
              <w:ind w:left="0" w:hanging="0"/>
              <w:jc w:val="left"/>
              <w:outlineLvl w:val="2"/>
              <w:rPr>
                <w:rFonts w:eastAsia="Times New Roman"/>
                <w:b w:val="false"/>
                <w:lang w:val="ru-RU" w:eastAsia="ru-RU"/>
              </w:rPr>
            </w:pPr>
            <w:r>
              <w:rPr>
                <w:rFonts w:eastAsia="Times New Roman" w:cs="Times New Roman"/>
                <w:b w:val="false"/>
                <w:kern w:val="0"/>
                <w:sz w:val="20"/>
                <w:szCs w:val="20"/>
                <w:lang w:val="ru-RU" w:eastAsia="ru-RU" w:bidi="ar-SA"/>
              </w:rPr>
            </w:r>
          </w:p>
        </w:tc>
      </w:tr>
      <w:tr>
        <w:trPr/>
        <w:tc>
          <w:tcPr>
            <w:tcW w:w="811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6"/>
              </w:numPr>
              <w:suppressAutoHyphens w:val="true"/>
              <w:spacing w:before="60" w:after="60"/>
              <w:ind w:left="-117" w:firstLine="142"/>
              <w:contextualSpacing/>
              <w:jc w:val="center"/>
              <w:rPr>
                <w:rFonts w:ascii="Times New Roman" w:hAnsi="Times New Roman" w:cs="Times New Roman"/>
                <w:kern w:val="0"/>
                <w:lang w:val="ru-RU" w:eastAsia="ru-RU" w:bidi="ar-SA"/>
              </w:rPr>
            </w:pPr>
            <w:r>
              <w:rPr>
                <w:rFonts w:cs="Times New Roman"/>
                <w:kern w:val="0"/>
                <w:lang w:val="ru-RU" w:eastAsia="ru-RU" w:bidi="ar-SA"/>
              </w:rPr>
            </w:r>
          </w:p>
        </w:tc>
        <w:tc>
          <w:tcPr>
            <w:tcW w:w="6193" w:type="dxa"/>
            <w:gridSpan w:val="2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Требования к патентоспособности, перечень результатов интеллектуальной деятельности</w:t>
            </w:r>
          </w:p>
        </w:tc>
        <w:tc>
          <w:tcPr>
            <w:tcW w:w="266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W w:w="290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W w:w="258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811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2"/>
                <w:numId w:val="6"/>
              </w:numPr>
              <w:suppressAutoHyphens w:val="true"/>
              <w:spacing w:before="60" w:after="60"/>
              <w:ind w:left="1224" w:hanging="1199"/>
              <w:contextualSpacing/>
              <w:jc w:val="center"/>
              <w:rPr>
                <w:rFonts w:ascii="Times New Roman" w:hAnsi="Times New Roman" w:cs="Times New Roman"/>
                <w:kern w:val="0"/>
                <w:lang w:val="ru-RU" w:eastAsia="ru-RU" w:bidi="ar-SA"/>
              </w:rPr>
            </w:pPr>
            <w:r>
              <w:rPr>
                <w:rFonts w:cs="Times New Roman"/>
                <w:kern w:val="0"/>
                <w:lang w:val="ru-RU" w:eastAsia="ru-RU" w:bidi="ar-SA"/>
              </w:rPr>
            </w:r>
          </w:p>
        </w:tc>
        <w:tc>
          <w:tcPr>
            <w:tcW w:w="2836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uppressAutoHyphens w:val="true"/>
              <w:spacing w:before="6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Требование к патентным исследованиям</w:t>
            </w:r>
          </w:p>
        </w:tc>
        <w:tc>
          <w:tcPr>
            <w:tcW w:w="3357" w:type="dxa"/>
            <w:tcBorders/>
          </w:tcPr>
          <w:p>
            <w:pPr>
              <w:pStyle w:val="Style28"/>
              <w:keepNext w:val="false"/>
              <w:widowControl w:val="false"/>
              <w:numPr>
                <w:ilvl w:val="0"/>
                <w:numId w:val="0"/>
              </w:numPr>
              <w:suppressAutoHyphens w:val="true"/>
              <w:spacing w:before="0" w:after="60"/>
              <w:ind w:left="0" w:hanging="0"/>
              <w:jc w:val="left"/>
              <w:outlineLvl w:val="2"/>
              <w:rPr>
                <w:rFonts w:eastAsia="Times New Roman"/>
                <w:b w:val="false"/>
                <w:lang w:val="ru-RU" w:eastAsia="ru-RU"/>
              </w:rPr>
            </w:pPr>
            <w:r>
              <w:rPr>
                <w:rFonts w:eastAsia="Times New Roman" w:cs="Times New Roman"/>
                <w:b w:val="false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2668" w:type="dxa"/>
            <w:tcBorders/>
          </w:tcPr>
          <w:p>
            <w:pPr>
              <w:pStyle w:val="Style28"/>
              <w:keepNext w:val="false"/>
              <w:widowControl w:val="false"/>
              <w:numPr>
                <w:ilvl w:val="0"/>
                <w:numId w:val="0"/>
              </w:numPr>
              <w:suppressAutoHyphens w:val="true"/>
              <w:spacing w:before="0" w:after="60"/>
              <w:ind w:left="0" w:hanging="0"/>
              <w:jc w:val="left"/>
              <w:outlineLvl w:val="2"/>
              <w:rPr>
                <w:rFonts w:eastAsia="Times New Roman"/>
                <w:b w:val="false"/>
                <w:lang w:val="ru-RU" w:eastAsia="ru-RU"/>
              </w:rPr>
            </w:pPr>
            <w:r>
              <w:rPr>
                <w:rFonts w:eastAsia="Times New Roman" w:cs="Times New Roman"/>
                <w:b w:val="false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2906" w:type="dxa"/>
            <w:tcBorders/>
            <w:vAlign w:val="center"/>
          </w:tcPr>
          <w:p>
            <w:pPr>
              <w:pStyle w:val="Style28"/>
              <w:keepNext w:val="false"/>
              <w:widowControl w:val="false"/>
              <w:numPr>
                <w:ilvl w:val="0"/>
                <w:numId w:val="0"/>
              </w:numPr>
              <w:suppressAutoHyphens w:val="true"/>
              <w:spacing w:before="0" w:after="60"/>
              <w:ind w:left="0" w:hanging="0"/>
              <w:jc w:val="left"/>
              <w:outlineLvl w:val="2"/>
              <w:rPr>
                <w:rFonts w:eastAsia="Times New Roman"/>
                <w:b w:val="false"/>
                <w:lang w:val="ru-RU" w:eastAsia="ru-RU"/>
              </w:rPr>
            </w:pPr>
            <w:r>
              <w:rPr>
                <w:rFonts w:eastAsia="Times New Roman" w:cs="Times New Roman"/>
                <w:b w:val="false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uppressAutoHyphens w:val="true"/>
              <w:spacing w:before="60" w:after="0"/>
              <w:jc w:val="lef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</w:tr>
      <w:tr>
        <w:trPr/>
        <w:tc>
          <w:tcPr>
            <w:tcW w:w="811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2"/>
                <w:numId w:val="6"/>
              </w:numPr>
              <w:suppressAutoHyphens w:val="true"/>
              <w:spacing w:before="60" w:after="60"/>
              <w:ind w:left="1224" w:hanging="1199"/>
              <w:contextualSpacing/>
              <w:jc w:val="center"/>
              <w:rPr>
                <w:rFonts w:ascii="Times New Roman" w:hAnsi="Times New Roman" w:cs="Times New Roman"/>
                <w:kern w:val="0"/>
                <w:lang w:val="ru-RU" w:eastAsia="ru-RU" w:bidi="ar-SA"/>
              </w:rPr>
            </w:pPr>
            <w:r>
              <w:rPr>
                <w:rFonts w:cs="Times New Roman"/>
                <w:kern w:val="0"/>
                <w:lang w:val="ru-RU" w:eastAsia="ru-RU" w:bidi="ar-SA"/>
              </w:rPr>
            </w:r>
          </w:p>
        </w:tc>
        <w:tc>
          <w:tcPr>
            <w:tcW w:w="2836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uppressAutoHyphens w:val="true"/>
              <w:spacing w:before="60" w:after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357" w:type="dxa"/>
            <w:tcBorders/>
          </w:tcPr>
          <w:p>
            <w:pPr>
              <w:pStyle w:val="Style28"/>
              <w:keepNext w:val="false"/>
              <w:widowControl w:val="false"/>
              <w:numPr>
                <w:ilvl w:val="0"/>
                <w:numId w:val="0"/>
              </w:numPr>
              <w:suppressAutoHyphens w:val="true"/>
              <w:spacing w:before="0" w:after="60"/>
              <w:ind w:left="0" w:hanging="0"/>
              <w:jc w:val="left"/>
              <w:outlineLvl w:val="2"/>
              <w:rPr>
                <w:rFonts w:eastAsia="Times New Roman"/>
                <w:b w:val="false"/>
                <w:lang w:val="ru-RU" w:eastAsia="ru-RU"/>
              </w:rPr>
            </w:pPr>
            <w:r>
              <w:rPr>
                <w:rFonts w:eastAsia="Times New Roman" w:cs="Times New Roman"/>
                <w:b w:val="false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2668" w:type="dxa"/>
            <w:tcBorders/>
          </w:tcPr>
          <w:p>
            <w:pPr>
              <w:pStyle w:val="Style28"/>
              <w:keepNext w:val="false"/>
              <w:widowControl w:val="false"/>
              <w:numPr>
                <w:ilvl w:val="0"/>
                <w:numId w:val="0"/>
              </w:numPr>
              <w:suppressAutoHyphens w:val="true"/>
              <w:spacing w:before="0" w:after="60"/>
              <w:ind w:left="0" w:hanging="0"/>
              <w:jc w:val="left"/>
              <w:outlineLvl w:val="2"/>
              <w:rPr>
                <w:rFonts w:eastAsia="Times New Roman"/>
                <w:b w:val="false"/>
                <w:lang w:val="ru-RU" w:eastAsia="ru-RU"/>
              </w:rPr>
            </w:pPr>
            <w:r>
              <w:rPr>
                <w:rFonts w:eastAsia="Times New Roman" w:cs="Times New Roman"/>
                <w:b w:val="false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2906" w:type="dxa"/>
            <w:tcBorders/>
          </w:tcPr>
          <w:p>
            <w:pPr>
              <w:pStyle w:val="Style28"/>
              <w:keepNext w:val="false"/>
              <w:widowControl w:val="false"/>
              <w:numPr>
                <w:ilvl w:val="0"/>
                <w:numId w:val="0"/>
              </w:numPr>
              <w:suppressAutoHyphens w:val="true"/>
              <w:spacing w:before="0" w:after="60"/>
              <w:ind w:left="0" w:hanging="0"/>
              <w:jc w:val="left"/>
              <w:outlineLvl w:val="2"/>
              <w:rPr>
                <w:rFonts w:eastAsia="Times New Roman"/>
                <w:b w:val="false"/>
                <w:lang w:val="ru-RU" w:eastAsia="ru-RU"/>
              </w:rPr>
            </w:pPr>
            <w:r>
              <w:rPr>
                <w:rFonts w:eastAsia="Times New Roman" w:cs="Times New Roman"/>
                <w:b w:val="false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uppressAutoHyphens w:val="true"/>
              <w:spacing w:before="60" w:after="0"/>
              <w:jc w:val="lef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</w:tr>
      <w:tr>
        <w:trPr/>
        <w:tc>
          <w:tcPr>
            <w:tcW w:w="811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6"/>
              </w:numPr>
              <w:suppressAutoHyphens w:val="true"/>
              <w:spacing w:before="60" w:after="60"/>
              <w:ind w:left="-117" w:firstLine="142"/>
              <w:contextualSpacing/>
              <w:jc w:val="center"/>
              <w:rPr>
                <w:rFonts w:ascii="Times New Roman" w:hAnsi="Times New Roman" w:cs="Times New Roman"/>
                <w:kern w:val="0"/>
                <w:lang w:val="ru-RU" w:eastAsia="ru-RU" w:bidi="ar-SA"/>
              </w:rPr>
            </w:pPr>
            <w:r>
              <w:rPr>
                <w:rFonts w:cs="Times New Roman"/>
                <w:kern w:val="0"/>
                <w:lang w:val="ru-RU" w:eastAsia="ru-RU" w:bidi="ar-SA"/>
              </w:rPr>
            </w:r>
          </w:p>
        </w:tc>
        <w:tc>
          <w:tcPr>
            <w:tcW w:w="6193" w:type="dxa"/>
            <w:gridSpan w:val="2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Требования к этапам разработки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uppressAutoHyphens w:val="true"/>
              <w:spacing w:before="60" w:after="0"/>
              <w:jc w:val="both"/>
              <w:rPr>
                <w:bCs/>
                <w:sz w:val="24"/>
                <w:szCs w:val="24"/>
                <w:shd w:fill="FFFF99" w:val="clear"/>
              </w:rPr>
            </w:pPr>
            <w:r>
              <w:rPr>
                <w:bCs/>
                <w:sz w:val="24"/>
                <w:szCs w:val="24"/>
                <w:shd w:fill="FFFF99" w:val="clear"/>
              </w:rPr>
            </w:r>
          </w:p>
        </w:tc>
        <w:tc>
          <w:tcPr>
            <w:tcW w:w="2668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Cs/>
                <w:sz w:val="24"/>
                <w:szCs w:val="24"/>
                <w:shd w:fill="FFFF99" w:val="clear"/>
              </w:rPr>
            </w:pPr>
            <w:r>
              <w:rPr>
                <w:bCs/>
                <w:sz w:val="24"/>
                <w:szCs w:val="24"/>
                <w:shd w:fill="FFFF99" w:val="clear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uppressAutoHyphens w:val="true"/>
              <w:spacing w:before="60" w:after="0"/>
              <w:jc w:val="both"/>
              <w:rPr>
                <w:bCs/>
                <w:sz w:val="24"/>
                <w:szCs w:val="24"/>
                <w:shd w:fill="FFFF99" w:val="clear"/>
              </w:rPr>
            </w:pPr>
            <w:r>
              <w:rPr>
                <w:bCs/>
                <w:sz w:val="24"/>
                <w:szCs w:val="24"/>
                <w:shd w:fill="FFFF99" w:val="clear"/>
              </w:rPr>
            </w:r>
          </w:p>
        </w:tc>
        <w:tc>
          <w:tcPr>
            <w:tcW w:w="2906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Cs/>
                <w:sz w:val="24"/>
                <w:szCs w:val="24"/>
                <w:shd w:fill="FFFF99" w:val="clear"/>
              </w:rPr>
            </w:pPr>
            <w:r>
              <w:rPr>
                <w:bCs/>
                <w:sz w:val="24"/>
                <w:szCs w:val="24"/>
                <w:shd w:fill="FFFF99" w:val="clear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uppressAutoHyphens w:val="true"/>
              <w:spacing w:before="60" w:after="0"/>
              <w:jc w:val="both"/>
              <w:rPr>
                <w:bCs/>
                <w:sz w:val="24"/>
                <w:szCs w:val="24"/>
                <w:shd w:fill="FFFF99" w:val="clear"/>
              </w:rPr>
            </w:pPr>
            <w:r>
              <w:rPr>
                <w:bCs/>
                <w:sz w:val="24"/>
                <w:szCs w:val="24"/>
                <w:shd w:fill="FFFF99" w:val="clear"/>
              </w:rPr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Cs/>
                <w:sz w:val="24"/>
                <w:szCs w:val="24"/>
                <w:shd w:fill="FFFF99" w:val="clear"/>
              </w:rPr>
            </w:pPr>
            <w:r>
              <w:rPr>
                <w:bCs/>
                <w:sz w:val="24"/>
                <w:szCs w:val="24"/>
                <w:shd w:fill="FFFF99" w:val="clear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uppressAutoHyphens w:val="true"/>
              <w:spacing w:before="60" w:after="0"/>
              <w:jc w:val="both"/>
              <w:rPr>
                <w:bCs/>
                <w:sz w:val="24"/>
                <w:szCs w:val="24"/>
                <w:shd w:fill="FFFF99" w:val="clear"/>
              </w:rPr>
            </w:pPr>
            <w:r>
              <w:rPr>
                <w:bCs/>
                <w:sz w:val="24"/>
                <w:szCs w:val="24"/>
                <w:shd w:fill="FFFF99" w:val="clear"/>
              </w:rPr>
            </w:r>
          </w:p>
        </w:tc>
      </w:tr>
      <w:tr>
        <w:trPr/>
        <w:tc>
          <w:tcPr>
            <w:tcW w:w="811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2"/>
                <w:numId w:val="6"/>
              </w:numPr>
              <w:suppressAutoHyphens w:val="true"/>
              <w:spacing w:before="60" w:after="60"/>
              <w:ind w:left="1224" w:hanging="1199"/>
              <w:contextualSpacing/>
              <w:jc w:val="center"/>
              <w:rPr>
                <w:rFonts w:ascii="Times New Roman" w:hAnsi="Times New Roman" w:cs="Times New Roman"/>
                <w:kern w:val="0"/>
                <w:lang w:val="ru-RU" w:eastAsia="ru-RU" w:bidi="ar-SA"/>
              </w:rPr>
            </w:pPr>
            <w:r>
              <w:rPr>
                <w:rFonts w:cs="Times New Roman"/>
                <w:kern w:val="0"/>
                <w:lang w:val="ru-RU" w:eastAsia="ru-RU" w:bidi="ar-SA"/>
              </w:rPr>
            </w:r>
          </w:p>
        </w:tc>
        <w:tc>
          <w:tcPr>
            <w:tcW w:w="2836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uppressAutoHyphens w:val="true"/>
              <w:spacing w:before="60" w:after="0"/>
              <w:jc w:val="lef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357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Работы выполняются в один этап</w:t>
            </w:r>
          </w:p>
        </w:tc>
        <w:tc>
          <w:tcPr>
            <w:tcW w:w="2668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90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426" w:leader="none"/>
              </w:tabs>
              <w:suppressAutoHyphens w:val="true"/>
              <w:spacing w:before="60" w:after="0"/>
              <w:jc w:val="left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</w:tr>
      <w:tr>
        <w:trPr/>
        <w:tc>
          <w:tcPr>
            <w:tcW w:w="811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6"/>
              </w:numPr>
              <w:suppressAutoHyphens w:val="true"/>
              <w:spacing w:before="60" w:after="60"/>
              <w:ind w:left="-117" w:firstLine="142"/>
              <w:contextualSpacing/>
              <w:jc w:val="center"/>
              <w:rPr>
                <w:rFonts w:ascii="Times New Roman" w:hAnsi="Times New Roman" w:cs="Times New Roman"/>
                <w:kern w:val="0"/>
                <w:lang w:val="ru-RU" w:eastAsia="ru-RU" w:bidi="ar-SA"/>
              </w:rPr>
            </w:pPr>
            <w:r>
              <w:rPr>
                <w:rFonts w:cs="Times New Roman"/>
                <w:kern w:val="0"/>
                <w:lang w:val="ru-RU" w:eastAsia="ru-RU" w:bidi="ar-SA"/>
              </w:rPr>
            </w:r>
          </w:p>
        </w:tc>
        <w:tc>
          <w:tcPr>
            <w:tcW w:w="6193" w:type="dxa"/>
            <w:gridSpan w:val="2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Требования к результату работы и форме его предоставления</w:t>
            </w:r>
          </w:p>
        </w:tc>
        <w:tc>
          <w:tcPr>
            <w:tcW w:w="266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W w:w="290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W w:w="258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811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2"/>
                <w:numId w:val="6"/>
              </w:numPr>
              <w:suppressAutoHyphens w:val="true"/>
              <w:spacing w:before="60" w:after="60"/>
              <w:ind w:left="1224" w:hanging="1199"/>
              <w:contextualSpacing/>
              <w:jc w:val="center"/>
              <w:rPr>
                <w:rFonts w:ascii="Times New Roman" w:hAnsi="Times New Roman" w:cs="Times New Roman"/>
                <w:kern w:val="0"/>
                <w:lang w:val="ru-RU" w:eastAsia="ru-RU" w:bidi="ar-SA"/>
              </w:rPr>
            </w:pPr>
            <w:r>
              <w:rPr>
                <w:rFonts w:cs="Times New Roman"/>
                <w:kern w:val="0"/>
                <w:lang w:val="ru-RU" w:eastAsia="ru-RU" w:bidi="ar-SA"/>
              </w:rPr>
            </w:r>
          </w:p>
        </w:tc>
        <w:tc>
          <w:tcPr>
            <w:tcW w:w="2836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Требования к форме предоставления результата</w:t>
            </w:r>
          </w:p>
        </w:tc>
        <w:tc>
          <w:tcPr>
            <w:tcW w:w="3357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both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kern w:val="0"/>
                <w:sz w:val="24"/>
                <w:szCs w:val="24"/>
                <w:lang w:val="ru-RU" w:eastAsia="ru-RU" w:bidi="ar-SA"/>
              </w:rPr>
              <w:t>Технический отчет по этапу представить на бумажном (в 3-х экз.) и на электронном носителе в форматах разработки</w:t>
            </w:r>
          </w:p>
        </w:tc>
        <w:tc>
          <w:tcPr>
            <w:tcW w:w="2668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/>
                <w:i/>
                <w:iCs/>
                <w:kern w:val="0"/>
                <w:sz w:val="24"/>
                <w:szCs w:val="24"/>
                <w:lang w:val="ru-RU" w:eastAsia="ru-RU" w:bidi="ar-SA"/>
              </w:rPr>
              <w:t>Согласие с требованием</w:t>
            </w:r>
          </w:p>
        </w:tc>
        <w:tc>
          <w:tcPr>
            <w:tcW w:w="290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58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811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6"/>
              </w:numPr>
              <w:suppressAutoHyphens w:val="true"/>
              <w:spacing w:before="60" w:after="60"/>
              <w:ind w:left="-117" w:firstLine="142"/>
              <w:contextualSpacing/>
              <w:jc w:val="center"/>
              <w:rPr>
                <w:rFonts w:ascii="Times New Roman" w:hAnsi="Times New Roman" w:cs="Times New Roman"/>
                <w:kern w:val="0"/>
                <w:lang w:val="ru-RU" w:eastAsia="ru-RU" w:bidi="ar-SA"/>
              </w:rPr>
            </w:pPr>
            <w:r>
              <w:rPr>
                <w:rFonts w:cs="Times New Roman"/>
                <w:kern w:val="0"/>
                <w:lang w:val="ru-RU" w:eastAsia="ru-RU" w:bidi="ar-SA"/>
              </w:rPr>
            </w:r>
          </w:p>
        </w:tc>
        <w:tc>
          <w:tcPr>
            <w:tcW w:w="6193" w:type="dxa"/>
            <w:gridSpan w:val="2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rFonts w:eastAsia="Times New Roman" w:cs="Times New Roman"/>
                <w:b/>
                <w:bCs/>
                <w:kern w:val="0"/>
                <w:sz w:val="24"/>
                <w:szCs w:val="24"/>
                <w:lang w:val="ru-RU" w:eastAsia="ru-RU" w:bidi="ar-SA"/>
              </w:rPr>
              <w:t>Прочие требования к продукции</w:t>
            </w:r>
          </w:p>
        </w:tc>
        <w:tc>
          <w:tcPr>
            <w:tcW w:w="2668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W w:w="2906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W w:w="2589" w:type="dxa"/>
            <w:tcBorders/>
            <w:vAlign w:val="center"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811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6"/>
              </w:numPr>
              <w:suppressAutoHyphens w:val="true"/>
              <w:spacing w:before="60" w:after="60"/>
              <w:ind w:left="-117" w:firstLine="142"/>
              <w:contextualSpacing/>
              <w:jc w:val="center"/>
              <w:rPr>
                <w:rFonts w:ascii="Times New Roman" w:hAnsi="Times New Roman" w:cs="Times New Roman"/>
                <w:kern w:val="0"/>
                <w:lang w:val="ru-RU" w:eastAsia="ru-RU" w:bidi="ar-SA"/>
              </w:rPr>
            </w:pPr>
            <w:r>
              <w:rPr>
                <w:rFonts w:cs="Times New Roman"/>
                <w:kern w:val="0"/>
                <w:lang w:val="ru-RU" w:eastAsia="ru-RU" w:bidi="ar-SA"/>
              </w:rPr>
            </w:r>
          </w:p>
        </w:tc>
        <w:tc>
          <w:tcPr>
            <w:tcW w:w="2836" w:type="dxa"/>
            <w:tcBorders/>
            <w:vAlign w:val="center"/>
          </w:tcPr>
          <w:p>
            <w:pPr>
              <w:pStyle w:val="Style28"/>
              <w:keepNext w:val="false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0" w:hanging="0"/>
              <w:jc w:val="left"/>
              <w:outlineLvl w:val="2"/>
              <w:rPr>
                <w:rFonts w:eastAsia="Times New Roman"/>
                <w:sz w:val="20"/>
                <w:szCs w:val="20"/>
                <w:lang w:val="ru-RU" w:eastAsia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Условия производства работ</w:t>
            </w:r>
          </w:p>
        </w:tc>
        <w:tc>
          <w:tcPr>
            <w:tcW w:w="3357" w:type="dxa"/>
            <w:tcBorders/>
            <w:vAlign w:val="center"/>
          </w:tcPr>
          <w:p>
            <w:pPr>
              <w:pStyle w:val="Style28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0" w:hanging="0"/>
              <w:jc w:val="both"/>
              <w:outlineLvl w:val="2"/>
              <w:rPr>
                <w:rFonts w:eastAsia="Times New Roman"/>
                <w:b w:val="false"/>
                <w:lang w:val="ru-RU" w:eastAsia="ru-RU"/>
              </w:rPr>
            </w:pPr>
            <w:r>
              <w:rPr>
                <w:rFonts w:eastAsia="Times New Roman" w:cs="Times New Roman"/>
                <w:b w:val="false"/>
                <w:kern w:val="0"/>
                <w:sz w:val="20"/>
                <w:szCs w:val="20"/>
                <w:lang w:val="ru-RU" w:eastAsia="ru-RU" w:bidi="ar-SA"/>
              </w:rPr>
              <w:t>- предоставление списка персонала, участвующего в выполнении работ;</w:t>
            </w:r>
          </w:p>
          <w:p>
            <w:pPr>
              <w:pStyle w:val="Style28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0" w:hanging="0"/>
              <w:jc w:val="both"/>
              <w:outlineLvl w:val="2"/>
              <w:rPr>
                <w:rFonts w:eastAsia="Times New Roman"/>
                <w:b w:val="false"/>
                <w:lang w:val="ru-RU" w:eastAsia="ru-RU"/>
              </w:rPr>
            </w:pPr>
            <w:r>
              <w:rPr>
                <w:rFonts w:eastAsia="Times New Roman" w:cs="Times New Roman"/>
                <w:b w:val="false"/>
                <w:kern w:val="0"/>
                <w:sz w:val="20"/>
                <w:szCs w:val="20"/>
                <w:lang w:val="ru-RU" w:eastAsia="ru-RU" w:bidi="ar-SA"/>
              </w:rPr>
              <w:t>- допуск персонала Исполнителя на объект осуществляется в соответствии с «Временным положением о допуске персонала строительно-монтажных организаций и командированного персонала к выполнению работ на объектах ПАО «РусГидро»;</w:t>
            </w:r>
          </w:p>
          <w:p>
            <w:pPr>
              <w:pStyle w:val="Style28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0" w:hanging="0"/>
              <w:jc w:val="both"/>
              <w:outlineLvl w:val="2"/>
              <w:rPr>
                <w:rFonts w:eastAsia="Times New Roman"/>
                <w:b w:val="false"/>
                <w:lang w:val="ru-RU" w:eastAsia="ru-RU"/>
              </w:rPr>
            </w:pPr>
            <w:r>
              <w:rPr>
                <w:rFonts w:eastAsia="Times New Roman" w:cs="Times New Roman"/>
                <w:b w:val="false"/>
                <w:kern w:val="0"/>
                <w:sz w:val="20"/>
                <w:szCs w:val="20"/>
                <w:lang w:val="ru-RU" w:eastAsia="ru-RU" w:bidi="ar-SA"/>
              </w:rPr>
              <w:t>- предоставить письмо за подписью уполномоченного представителя Исполнителя, что после вступления в силу изменений в законодательные акты РФ, регламентирующие деятельность экспертных организаций, выполняющих работы по экспертизе промышленной безопасности технических устройств, зданий и сооружений, использующихся на опасных производственных объектах, в частности:</w:t>
            </w:r>
          </w:p>
          <w:p>
            <w:pPr>
              <w:pStyle w:val="Style28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0" w:hanging="0"/>
              <w:jc w:val="both"/>
              <w:outlineLvl w:val="2"/>
              <w:rPr>
                <w:rFonts w:eastAsia="Times New Roman"/>
                <w:b w:val="false"/>
                <w:lang w:val="ru-RU" w:eastAsia="ru-RU"/>
              </w:rPr>
            </w:pPr>
            <w:r>
              <w:rPr>
                <w:rFonts w:eastAsia="Times New Roman" w:cs="Times New Roman"/>
                <w:b w:val="false"/>
                <w:kern w:val="0"/>
                <w:sz w:val="20"/>
                <w:szCs w:val="20"/>
                <w:lang w:val="ru-RU" w:eastAsia="ru-RU" w:bidi="ar-SA"/>
              </w:rPr>
              <w:t>- «Об аттестации экспертов в области промышленной безопасности»;</w:t>
            </w:r>
          </w:p>
          <w:p>
            <w:pPr>
              <w:pStyle w:val="Style28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0" w:hanging="0"/>
              <w:jc w:val="both"/>
              <w:outlineLvl w:val="2"/>
              <w:rPr>
                <w:rFonts w:eastAsia="Times New Roman"/>
                <w:b w:val="false"/>
                <w:lang w:val="ru-RU" w:eastAsia="ru-RU"/>
              </w:rPr>
            </w:pPr>
            <w:r>
              <w:rPr>
                <w:rFonts w:eastAsia="Times New Roman" w:cs="Times New Roman"/>
                <w:b w:val="false"/>
                <w:kern w:val="0"/>
                <w:sz w:val="20"/>
                <w:szCs w:val="20"/>
                <w:lang w:val="ru-RU" w:eastAsia="ru-RU" w:bidi="ar-SA"/>
              </w:rPr>
              <w:t>- «О внесении изменений в Положение о лицензировании деятельности по проведению экспертизы промышленной безопасности, утвержденное постановлением Правительства РФ»;</w:t>
            </w:r>
          </w:p>
          <w:p>
            <w:pPr>
              <w:pStyle w:val="Style28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0" w:hanging="0"/>
              <w:jc w:val="both"/>
              <w:outlineLvl w:val="2"/>
              <w:rPr>
                <w:rFonts w:eastAsia="Times New Roman"/>
                <w:b w:val="false"/>
                <w:lang w:val="ru-RU" w:eastAsia="ru-RU"/>
              </w:rPr>
            </w:pPr>
            <w:r>
              <w:rPr>
                <w:rFonts w:eastAsia="Times New Roman" w:cs="Times New Roman"/>
                <w:b w:val="false"/>
                <w:kern w:val="0"/>
                <w:sz w:val="20"/>
                <w:szCs w:val="20"/>
                <w:lang w:val="ru-RU" w:eastAsia="ru-RU" w:bidi="ar-SA"/>
              </w:rPr>
              <w:t>- «О внесении изменений в федеральные нормы и правила в области промышленной безопасности «Правила проведения экспертизы промышленной безопасности», Исполнитель без изменения сроков выполнения и стоимости работ, до передачи Заказчику заключения проведенной экспертизы промышленной безопасности, обязуется:</w:t>
            </w:r>
          </w:p>
          <w:p>
            <w:pPr>
              <w:pStyle w:val="Style28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0" w:hanging="0"/>
              <w:jc w:val="both"/>
              <w:outlineLvl w:val="2"/>
              <w:rPr>
                <w:rFonts w:eastAsia="Times New Roman"/>
                <w:b w:val="false"/>
                <w:lang w:val="ru-RU" w:eastAsia="ru-RU"/>
              </w:rPr>
            </w:pPr>
            <w:r>
              <w:rPr>
                <w:rFonts w:eastAsia="Times New Roman" w:cs="Times New Roman"/>
                <w:b w:val="false"/>
                <w:kern w:val="0"/>
                <w:sz w:val="20"/>
                <w:szCs w:val="20"/>
                <w:lang w:val="ru-RU" w:eastAsia="ru-RU" w:bidi="ar-SA"/>
              </w:rPr>
              <w:t>- аттестовать экспертов в области промышленной безопасности;</w:t>
            </w:r>
          </w:p>
          <w:p>
            <w:pPr>
              <w:pStyle w:val="Style28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0" w:hanging="0"/>
              <w:jc w:val="both"/>
              <w:outlineLvl w:val="2"/>
              <w:rPr>
                <w:rFonts w:eastAsia="Times New Roman"/>
                <w:b w:val="false"/>
                <w:lang w:val="ru-RU" w:eastAsia="ru-RU"/>
              </w:rPr>
            </w:pPr>
            <w:r>
              <w:rPr>
                <w:rFonts w:eastAsia="Times New Roman" w:cs="Times New Roman"/>
                <w:b w:val="false"/>
                <w:kern w:val="0"/>
                <w:sz w:val="20"/>
                <w:szCs w:val="20"/>
                <w:lang w:val="ru-RU" w:eastAsia="ru-RU" w:bidi="ar-SA"/>
              </w:rPr>
              <w:t>- внести изменения в лицензию и своевременно предоставить Заказчику нотариально заверенную копию измененной лицензии в соответствии с изменениями в Положение от 16.09.2020 №1477.</w:t>
            </w:r>
          </w:p>
          <w:p>
            <w:pPr>
              <w:pStyle w:val="Style28"/>
              <w:keepNext w:val="false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0" w:hanging="0"/>
              <w:jc w:val="both"/>
              <w:outlineLvl w:val="2"/>
              <w:rPr>
                <w:rFonts w:eastAsia="Times New Roman"/>
                <w:b w:val="false"/>
                <w:lang w:val="ru-RU" w:eastAsia="ru-RU"/>
              </w:rPr>
            </w:pPr>
            <w:r>
              <w:rPr>
                <w:rFonts w:eastAsia="Times New Roman" w:cs="Times New Roman"/>
                <w:b w:val="false"/>
                <w:kern w:val="0"/>
                <w:sz w:val="20"/>
                <w:szCs w:val="20"/>
                <w:lang w:val="ru-RU" w:eastAsia="ru-RU" w:bidi="ar-SA"/>
              </w:rPr>
              <w:t>- соблюдать правила проведения экспертизы промышленной безопасности после вступления в силу изменений.</w:t>
            </w:r>
          </w:p>
        </w:tc>
        <w:tc>
          <w:tcPr>
            <w:tcW w:w="2668" w:type="dxa"/>
            <w:tcBorders/>
            <w:vAlign w:val="center"/>
          </w:tcPr>
          <w:p>
            <w:pPr>
              <w:pStyle w:val="Style28"/>
              <w:keepNext w:val="false"/>
              <w:widowControl w:val="false"/>
              <w:numPr>
                <w:ilvl w:val="0"/>
                <w:numId w:val="0"/>
              </w:numPr>
              <w:suppressAutoHyphens w:val="true"/>
              <w:spacing w:before="0" w:after="60"/>
              <w:ind w:left="0" w:hanging="0"/>
              <w:jc w:val="left"/>
              <w:outlineLvl w:val="2"/>
              <w:rPr>
                <w:b w:val="false"/>
                <w:lang w:val="ru-RU"/>
              </w:rPr>
            </w:pPr>
            <w:r>
              <w:rPr>
                <w:rFonts w:eastAsia="Times New Roman" w:cs="Times New Roman"/>
                <w:b w:val="false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2906" w:type="dxa"/>
            <w:tcBorders/>
            <w:vAlign w:val="center"/>
          </w:tcPr>
          <w:p>
            <w:pPr>
              <w:pStyle w:val="Style28"/>
              <w:keepNext w:val="false"/>
              <w:widowControl w:val="false"/>
              <w:numPr>
                <w:ilvl w:val="0"/>
                <w:numId w:val="0"/>
              </w:numPr>
              <w:suppressAutoHyphens w:val="true"/>
              <w:spacing w:before="0" w:after="60"/>
              <w:ind w:left="0" w:hanging="0"/>
              <w:jc w:val="left"/>
              <w:outlineLvl w:val="2"/>
              <w:rPr>
                <w:lang w:val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2589" w:type="dxa"/>
            <w:tcBorders/>
            <w:vAlign w:val="center"/>
          </w:tcPr>
          <w:p>
            <w:pPr>
              <w:pStyle w:val="Style28"/>
              <w:keepNext w:val="false"/>
              <w:widowControl w:val="false"/>
              <w:numPr>
                <w:ilvl w:val="0"/>
                <w:numId w:val="0"/>
              </w:numPr>
              <w:suppressAutoHyphens w:val="true"/>
              <w:spacing w:before="0" w:after="60"/>
              <w:ind w:left="0" w:hanging="0"/>
              <w:jc w:val="left"/>
              <w:outlineLvl w:val="2"/>
              <w:rPr>
                <w:rFonts w:eastAsia="Times New Roman"/>
                <w:sz w:val="20"/>
                <w:szCs w:val="20"/>
                <w:lang w:val="ru-RU" w:eastAsia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</w:r>
          </w:p>
        </w:tc>
      </w:tr>
      <w:tr>
        <w:trPr/>
        <w:tc>
          <w:tcPr>
            <w:tcW w:w="811" w:type="dxa"/>
            <w:tcBorders/>
            <w:vAlign w:val="center"/>
          </w:tcPr>
          <w:p>
            <w:pPr>
              <w:pStyle w:val="ListParagraph"/>
              <w:widowControl w:val="false"/>
              <w:numPr>
                <w:ilvl w:val="1"/>
                <w:numId w:val="6"/>
              </w:numPr>
              <w:suppressAutoHyphens w:val="true"/>
              <w:spacing w:before="0" w:after="0"/>
              <w:ind w:left="-117" w:firstLine="142"/>
              <w:contextualSpacing/>
              <w:jc w:val="center"/>
              <w:rPr>
                <w:rFonts w:ascii="Times New Roman" w:hAnsi="Times New Roman" w:cs="Times New Roman"/>
                <w:kern w:val="0"/>
                <w:lang w:val="ru-RU" w:eastAsia="ru-RU" w:bidi="ar-SA"/>
              </w:rPr>
            </w:pPr>
            <w:r>
              <w:rPr>
                <w:rFonts w:cs="Times New Roman"/>
                <w:kern w:val="0"/>
                <w:lang w:val="ru-RU" w:eastAsia="ru-RU" w:bidi="ar-SA"/>
              </w:rPr>
            </w:r>
          </w:p>
        </w:tc>
        <w:tc>
          <w:tcPr>
            <w:tcW w:w="2836" w:type="dxa"/>
            <w:tcBorders/>
            <w:vAlign w:val="center"/>
          </w:tcPr>
          <w:p>
            <w:pPr>
              <w:pStyle w:val="Style28"/>
              <w:keepNext w:val="false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0" w:hanging="0"/>
              <w:jc w:val="left"/>
              <w:outlineLvl w:val="2"/>
              <w:rPr>
                <w:rFonts w:eastAsia="Times New Roman"/>
                <w:sz w:val="20"/>
                <w:szCs w:val="20"/>
                <w:lang w:val="ru-RU" w:eastAsia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  <w:t>Требования к поставщику (подрядчику, исполнителю)</w:t>
            </w:r>
          </w:p>
        </w:tc>
        <w:tc>
          <w:tcPr>
            <w:tcW w:w="3357" w:type="dxa"/>
            <w:tcBorders/>
            <w:vAlign w:val="center"/>
          </w:tcPr>
          <w:p>
            <w:pPr>
              <w:pStyle w:val="Style28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0" w:hanging="0"/>
              <w:jc w:val="both"/>
              <w:outlineLvl w:val="2"/>
              <w:rPr>
                <w:rFonts w:eastAsia="Times New Roman"/>
                <w:b w:val="false"/>
                <w:lang w:val="ru-RU" w:eastAsia="ru-RU"/>
              </w:rPr>
            </w:pPr>
            <w:r>
              <w:rPr>
                <w:rFonts w:eastAsia="Times New Roman" w:cs="Times New Roman"/>
                <w:b w:val="false"/>
                <w:kern w:val="0"/>
                <w:sz w:val="20"/>
                <w:szCs w:val="20"/>
                <w:lang w:val="ru-RU" w:eastAsia="ru-RU" w:bidi="ar-SA"/>
              </w:rPr>
              <w:t>- наличие лицензии на проведение экспертизы промышленной безопасности опасных производственных объектов в соответствии с Постановлением Правительства РФ от 16.09.2020 №1477 «О лицензировании деятельности по проведению экспертизы промышленной безопасности»;</w:t>
            </w:r>
          </w:p>
          <w:p>
            <w:pPr>
              <w:pStyle w:val="Style28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0" w:hanging="0"/>
              <w:jc w:val="both"/>
              <w:outlineLvl w:val="2"/>
              <w:rPr>
                <w:rFonts w:eastAsia="Times New Roman"/>
                <w:b w:val="false"/>
                <w:lang w:val="ru-RU" w:eastAsia="ru-RU"/>
              </w:rPr>
            </w:pPr>
            <w:r>
              <w:rPr>
                <w:rFonts w:eastAsia="Times New Roman" w:cs="Times New Roman"/>
                <w:b w:val="false"/>
                <w:kern w:val="0"/>
                <w:sz w:val="20"/>
                <w:szCs w:val="20"/>
                <w:lang w:val="ru-RU" w:eastAsia="ru-RU" w:bidi="ar-SA"/>
              </w:rPr>
              <w:t>- наличие аттестованного Федеральной службой по экологическому, технологическому и атомному надзору персонала в области аттестации: Д - гидротехнические сооружения, А - общие требования промышленной безопасности, Б8, Б9 – сосуды под избыточным давлением, подъёмные сооружения;</w:t>
            </w:r>
          </w:p>
          <w:p>
            <w:pPr>
              <w:pStyle w:val="Style28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0" w:hanging="0"/>
              <w:jc w:val="both"/>
              <w:outlineLvl w:val="2"/>
              <w:rPr>
                <w:rFonts w:eastAsia="Times New Roman"/>
                <w:b w:val="false"/>
                <w:lang w:val="ru-RU" w:eastAsia="ru-RU"/>
              </w:rPr>
            </w:pPr>
            <w:r>
              <w:rPr>
                <w:rFonts w:eastAsia="Times New Roman" w:cs="Times New Roman"/>
                <w:b w:val="false"/>
                <w:kern w:val="0"/>
                <w:sz w:val="20"/>
                <w:szCs w:val="20"/>
                <w:lang w:val="ru-RU" w:eastAsia="ru-RU" w:bidi="ar-SA"/>
              </w:rPr>
              <w:t>Генподрядчик и привлекаемые субподрядные организации должны иметь допуск к следующим видам работ в свидетельстве СРО:</w:t>
            </w:r>
          </w:p>
          <w:p>
            <w:pPr>
              <w:pStyle w:val="Style28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0" w:hanging="0"/>
              <w:jc w:val="both"/>
              <w:outlineLvl w:val="2"/>
              <w:rPr>
                <w:rFonts w:eastAsia="Times New Roman"/>
                <w:b w:val="false"/>
                <w:lang w:val="ru-RU" w:eastAsia="ru-RU"/>
              </w:rPr>
            </w:pPr>
            <w:r>
              <w:rPr>
                <w:rFonts w:eastAsia="Times New Roman" w:cs="Times New Roman"/>
                <w:b w:val="false"/>
                <w:kern w:val="0"/>
                <w:sz w:val="20"/>
                <w:szCs w:val="20"/>
                <w:lang w:val="ru-RU" w:eastAsia="ru-RU" w:bidi="ar-SA"/>
              </w:rPr>
              <w:t>раздел II. Виды работ по подготовке проектной документации:</w:t>
            </w:r>
          </w:p>
          <w:p>
            <w:pPr>
              <w:pStyle w:val="Style28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0" w:hanging="0"/>
              <w:jc w:val="both"/>
              <w:outlineLvl w:val="2"/>
              <w:rPr>
                <w:rFonts w:eastAsia="Times New Roman"/>
                <w:b w:val="false"/>
                <w:lang w:val="ru-RU" w:eastAsia="ru-RU"/>
              </w:rPr>
            </w:pPr>
            <w:r>
              <w:rPr>
                <w:rFonts w:eastAsia="Times New Roman" w:cs="Times New Roman"/>
                <w:b w:val="false"/>
                <w:kern w:val="0"/>
                <w:sz w:val="20"/>
                <w:szCs w:val="20"/>
                <w:lang w:val="ru-RU" w:eastAsia="ru-RU" w:bidi="ar-SA"/>
              </w:rPr>
              <w:t>- Работы по обследованию строительных конструкций зданий и сооружений;</w:t>
            </w:r>
          </w:p>
          <w:p>
            <w:pPr>
              <w:pStyle w:val="Style28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0" w:hanging="0"/>
              <w:jc w:val="both"/>
              <w:outlineLvl w:val="2"/>
              <w:rPr>
                <w:rFonts w:eastAsia="Times New Roman"/>
                <w:b w:val="false"/>
                <w:lang w:val="ru-RU" w:eastAsia="ru-RU"/>
              </w:rPr>
            </w:pPr>
            <w:r>
              <w:rPr>
                <w:rFonts w:eastAsia="Times New Roman" w:cs="Times New Roman"/>
                <w:b w:val="false"/>
                <w:kern w:val="0"/>
                <w:sz w:val="20"/>
                <w:szCs w:val="20"/>
                <w:lang w:val="ru-RU" w:eastAsia="ru-RU" w:bidi="ar-SA"/>
              </w:rPr>
              <w:t>- наличие действующего свидетельства об аттестации лаборатории неразрушающего контроля и технической диагностики;</w:t>
            </w:r>
          </w:p>
          <w:p>
            <w:pPr>
              <w:pStyle w:val="Style28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0" w:hanging="0"/>
              <w:jc w:val="both"/>
              <w:outlineLvl w:val="2"/>
              <w:rPr>
                <w:rFonts w:eastAsia="Times New Roman"/>
                <w:b w:val="false"/>
                <w:lang w:val="ru-RU" w:eastAsia="ru-RU"/>
              </w:rPr>
            </w:pPr>
            <w:r>
              <w:rPr>
                <w:rFonts w:eastAsia="Times New Roman" w:cs="Times New Roman"/>
                <w:b w:val="false"/>
                <w:kern w:val="0"/>
                <w:sz w:val="20"/>
                <w:szCs w:val="20"/>
                <w:lang w:val="ru-RU" w:eastAsia="ru-RU" w:bidi="ar-SA"/>
              </w:rPr>
              <w:t>- наличие необходимого сертифицированного и поверенного оборудования, инструмента, приспособлений и контрольно-измерительных приборов для проведения обследования и оценки технического состояния объекта обследования.</w:t>
            </w:r>
          </w:p>
        </w:tc>
        <w:tc>
          <w:tcPr>
            <w:tcW w:w="2668" w:type="dxa"/>
            <w:tcBorders/>
            <w:vAlign w:val="center"/>
          </w:tcPr>
          <w:p>
            <w:pPr>
              <w:pStyle w:val="Style28"/>
              <w:keepNext w:val="false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0" w:hanging="0"/>
              <w:jc w:val="left"/>
              <w:outlineLvl w:val="2"/>
              <w:rPr>
                <w:b w:val="false"/>
                <w:lang w:val="ru-RU"/>
              </w:rPr>
            </w:pPr>
            <w:r>
              <w:rPr>
                <w:rFonts w:eastAsia="Times New Roman" w:cs="Times New Roman"/>
                <w:b w:val="false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2906" w:type="dxa"/>
            <w:tcBorders/>
            <w:vAlign w:val="center"/>
          </w:tcPr>
          <w:p>
            <w:pPr>
              <w:pStyle w:val="Style28"/>
              <w:keepNext w:val="false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0" w:hanging="0"/>
              <w:jc w:val="left"/>
              <w:outlineLvl w:val="2"/>
              <w:rPr>
                <w:lang w:val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</w:r>
          </w:p>
        </w:tc>
        <w:tc>
          <w:tcPr>
            <w:tcW w:w="2589" w:type="dxa"/>
            <w:tcBorders/>
            <w:vAlign w:val="center"/>
          </w:tcPr>
          <w:p>
            <w:pPr>
              <w:pStyle w:val="Style28"/>
              <w:keepNext w:val="false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left="0" w:hanging="0"/>
              <w:jc w:val="left"/>
              <w:outlineLvl w:val="2"/>
              <w:rPr>
                <w:rFonts w:eastAsia="Times New Roman"/>
                <w:sz w:val="20"/>
                <w:szCs w:val="20"/>
                <w:lang w:val="ru-RU" w:eastAsia="ru-RU"/>
              </w:rPr>
            </w:pPr>
            <w:r>
              <w:rPr>
                <w:rFonts w:eastAsia="Times New Roman" w:cs="Times New Roman"/>
                <w:kern w:val="0"/>
                <w:sz w:val="20"/>
                <w:szCs w:val="20"/>
                <w:lang w:val="ru-RU" w:eastAsia="ru-RU" w:bidi="ar-SA"/>
              </w:rPr>
            </w:r>
          </w:p>
        </w:tc>
      </w:tr>
    </w:tbl>
    <w:p>
      <w:pPr>
        <w:sectPr>
          <w:headerReference w:type="default" r:id="rId5"/>
          <w:headerReference w:type="first" r:id="rId6"/>
          <w:type w:val="nextPage"/>
          <w:pgSz w:orient="landscape" w:w="16838" w:h="11906"/>
          <w:pgMar w:left="992" w:right="567" w:gutter="0" w:header="680" w:top="851" w:footer="0" w:bottom="851"/>
          <w:pgNumType w:fmt="decimal"/>
          <w:formProt w:val="false"/>
          <w:titlePg/>
          <w:textDirection w:val="lrTb"/>
          <w:docGrid w:type="default" w:linePitch="381" w:charSpace="0"/>
        </w:sectPr>
      </w:pPr>
    </w:p>
    <w:p>
      <w:pPr>
        <w:pStyle w:val="Heading1"/>
        <w:keepLines/>
        <w:numPr>
          <w:ilvl w:val="0"/>
          <w:numId w:val="3"/>
        </w:numPr>
        <w:ind w:left="357" w:hanging="357"/>
        <w:jc w:val="center"/>
        <w:rPr>
          <w:lang w:val="ru-RU"/>
        </w:rPr>
      </w:pPr>
      <w:bookmarkStart w:id="22" w:name="_Toc54646411"/>
      <w:bookmarkStart w:id="23" w:name="_Toc121297154"/>
      <w:bookmarkStart w:id="24" w:name="_Toc53393312"/>
      <w:r>
        <w:rPr>
          <w:lang w:val="ru-RU"/>
        </w:rPr>
        <w:t>Требования к документации по ценообразованию</w:t>
      </w:r>
      <w:bookmarkEnd w:id="24"/>
      <w:r>
        <w:rPr>
          <w:lang w:val="ru-RU"/>
        </w:rPr>
        <w:t xml:space="preserve"> на этапе закупки</w:t>
      </w:r>
      <w:bookmarkEnd w:id="22"/>
      <w:bookmarkEnd w:id="23"/>
    </w:p>
    <w:p>
      <w:pPr>
        <w:pStyle w:val="ConsPlusNormal1"/>
        <w:spacing w:before="0" w:after="0"/>
        <w:ind w:firstLine="35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При определении стоимости работ (услуг) и оформлению сметной документации применять в обязательном порядке «Требования к оформлению и составлению сметной документации …», указанные в Приложениях №№ 1 Технических требований.</w:t>
      </w:r>
    </w:p>
    <w:p>
      <w:pPr>
        <w:pStyle w:val="Normal"/>
        <w:rPr>
          <w:rFonts w:eastAsia="Calibri"/>
          <w:b/>
          <w:iCs/>
          <w:lang w:val="x-none" w:eastAsia="x-none"/>
        </w:rPr>
      </w:pPr>
      <w:r>
        <w:rPr>
          <w:rFonts w:eastAsia="Calibri"/>
          <w:b/>
          <w:iCs/>
          <w:lang w:val="x-none" w:eastAsia="x-none"/>
        </w:rPr>
      </w:r>
      <w:r>
        <w:br w:type="page"/>
      </w:r>
    </w:p>
    <w:p>
      <w:pPr>
        <w:pStyle w:val="Heading1"/>
        <w:keepLines/>
        <w:numPr>
          <w:ilvl w:val="0"/>
          <w:numId w:val="3"/>
        </w:numPr>
        <w:ind w:left="357" w:hanging="357"/>
        <w:jc w:val="center"/>
        <w:rPr>
          <w:lang w:val="ru-RU"/>
        </w:rPr>
      </w:pPr>
      <w:bookmarkStart w:id="25" w:name="_Toc121297155"/>
      <w:bookmarkStart w:id="26" w:name="_Toc54646412"/>
      <w:r>
        <w:rPr>
          <w:lang w:val="ru-RU"/>
        </w:rPr>
        <w:t>Требования к документации по ценообразованию на этапе заключения (исполнения) договора</w:t>
      </w:r>
      <w:bookmarkEnd w:id="25"/>
      <w:bookmarkEnd w:id="26"/>
    </w:p>
    <w:p>
      <w:pPr>
        <w:pStyle w:val="Normal"/>
        <w:widowControl w:val="false"/>
        <w:tabs>
          <w:tab w:val="clear" w:pos="708"/>
          <w:tab w:val="left" w:pos="426" w:leader="none"/>
        </w:tabs>
        <w:spacing w:before="60" w:after="0"/>
        <w:jc w:val="both"/>
        <w:rPr>
          <w:rStyle w:val="Style8"/>
          <w:b w:val="false"/>
          <w:bCs/>
          <w:iCs/>
          <w:sz w:val="24"/>
          <w:szCs w:val="24"/>
        </w:rPr>
      </w:pPr>
      <w:r>
        <w:rPr>
          <w:rStyle w:val="Style8"/>
          <w:b w:val="false"/>
          <w:bCs/>
          <w:iCs/>
          <w:sz w:val="24"/>
          <w:szCs w:val="24"/>
        </w:rPr>
        <w:t>[заполнить при необходимости]</w:t>
      </w:r>
    </w:p>
    <w:p>
      <w:pPr>
        <w:pStyle w:val="Heading1"/>
        <w:keepLines/>
        <w:numPr>
          <w:ilvl w:val="0"/>
          <w:numId w:val="0"/>
        </w:numPr>
        <w:ind w:left="357" w:hanging="0"/>
        <w:rPr>
          <w:iCs/>
        </w:rPr>
      </w:pPr>
      <w:r>
        <w:rPr>
          <w:iCs/>
        </w:rPr>
      </w:r>
    </w:p>
    <w:p>
      <w:pPr>
        <w:pStyle w:val="Normal"/>
        <w:rPr>
          <w:rFonts w:eastAsia="Calibri"/>
          <w:b/>
          <w:iCs/>
          <w:lang w:val="x-none" w:eastAsia="x-none"/>
        </w:rPr>
      </w:pPr>
      <w:r>
        <w:rPr>
          <w:rFonts w:eastAsia="Calibri"/>
          <w:b/>
          <w:iCs/>
          <w:lang w:val="x-none" w:eastAsia="x-none"/>
        </w:rPr>
      </w:r>
      <w:r>
        <w:br w:type="page"/>
      </w:r>
    </w:p>
    <w:p>
      <w:pPr>
        <w:pStyle w:val="Heading1"/>
        <w:keepLines/>
        <w:numPr>
          <w:ilvl w:val="0"/>
          <w:numId w:val="3"/>
        </w:numPr>
        <w:ind w:left="357" w:hanging="357"/>
        <w:jc w:val="center"/>
        <w:rPr>
          <w:iCs/>
          <w:caps/>
        </w:rPr>
      </w:pPr>
      <w:bookmarkStart w:id="27" w:name="_Toc46743519"/>
      <w:bookmarkStart w:id="28" w:name="_Toc51339699"/>
      <w:bookmarkStart w:id="29" w:name="_Toc121297156"/>
      <w:bookmarkStart w:id="30" w:name="_Toc54646413"/>
      <w:r>
        <w:rPr>
          <w:iCs/>
        </w:rPr>
        <w:t>Приложения</w:t>
      </w:r>
      <w:bookmarkEnd w:id="27"/>
      <w:bookmarkEnd w:id="28"/>
      <w:bookmarkEnd w:id="29"/>
      <w:bookmarkEnd w:id="30"/>
    </w:p>
    <w:p>
      <w:pPr>
        <w:pStyle w:val="Normal"/>
        <w:spacing w:before="0" w:after="120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sectPr>
          <w:headerReference w:type="default" r:id="rId7"/>
          <w:headerReference w:type="first" r:id="rId8"/>
          <w:type w:val="nextPage"/>
          <w:pgSz w:w="11906" w:h="16838"/>
          <w:pgMar w:left="1134" w:right="851" w:gutter="0" w:header="680" w:top="1134" w:footer="0" w:bottom="992"/>
          <w:pgNumType w:fmt="decimal"/>
          <w:formProt w:val="false"/>
          <w:titlePg/>
          <w:textDirection w:val="lrTb"/>
          <w:docGrid w:type="default" w:linePitch="381" w:charSpace="0"/>
        </w:sectPr>
        <w:pStyle w:val="Normal"/>
        <w:spacing w:before="0" w:after="120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>Приложение №1</w:t>
      </w:r>
      <w:r>
        <w:rPr>
          <w:bCs/>
          <w:sz w:val="24"/>
          <w:szCs w:val="24"/>
        </w:rPr>
        <w:t xml:space="preserve"> - Требования к оформлению и составлению документации по ценообразованию</w:t>
      </w:r>
    </w:p>
    <w:p>
      <w:pPr>
        <w:pStyle w:val="Normal"/>
        <w:spacing w:before="0" w:after="120"/>
        <w:jc w:val="right"/>
        <w:rPr>
          <w:rStyle w:val="Style8"/>
          <w:bCs/>
          <w:caps/>
          <w:sz w:val="24"/>
          <w:szCs w:val="24"/>
        </w:rPr>
      </w:pPr>
      <w:bookmarkStart w:id="31" w:name="_Hlk48224758"/>
      <w:bookmarkStart w:id="32" w:name="_Ref40301253"/>
      <w:r>
        <w:rPr>
          <w:rStyle w:val="Style8"/>
          <w:bCs/>
          <w:caps/>
          <w:sz w:val="24"/>
          <w:szCs w:val="24"/>
        </w:rPr>
        <w:t>[</w:t>
      </w:r>
      <w:bookmarkStart w:id="33" w:name="_Hlk48222348"/>
      <w:r>
        <w:rPr>
          <w:rStyle w:val="Style8"/>
          <w:bCs/>
          <w:sz w:val="24"/>
          <w:szCs w:val="24"/>
        </w:rPr>
        <w:t>Приложение № 1 к ТТ]</w:t>
      </w:r>
      <w:r>
        <w:rPr>
          <w:rStyle w:val="Style8"/>
          <w:bCs/>
          <w:caps/>
          <w:sz w:val="24"/>
          <w:szCs w:val="24"/>
        </w:rPr>
        <w:t xml:space="preserve"> </w:t>
      </w:r>
      <w:bookmarkEnd w:id="31"/>
      <w:bookmarkEnd w:id="32"/>
      <w:bookmarkEnd w:id="33"/>
    </w:p>
    <w:p>
      <w:pPr>
        <w:pStyle w:val="ConsPlusNormal1"/>
        <w:widowControl/>
        <w:tabs>
          <w:tab w:val="clear" w:pos="708"/>
          <w:tab w:val="left" w:pos="1260" w:leader="none"/>
        </w:tabs>
        <w:ind w:left="1260" w:hanging="1080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cs="Times New Roman" w:ascii="Times New Roman" w:hAnsi="Times New Roman"/>
          <w:b/>
          <w:sz w:val="22"/>
          <w:szCs w:val="22"/>
        </w:rPr>
        <w:t>Требования к оформлению и составлению</w:t>
      </w:r>
    </w:p>
    <w:p>
      <w:pPr>
        <w:pStyle w:val="ConsPlusNormal1"/>
        <w:widowControl/>
        <w:tabs>
          <w:tab w:val="clear" w:pos="708"/>
          <w:tab w:val="left" w:pos="1260" w:leader="none"/>
        </w:tabs>
        <w:ind w:left="1260" w:hanging="1080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cs="Times New Roman" w:ascii="Times New Roman" w:hAnsi="Times New Roman"/>
          <w:b/>
          <w:sz w:val="22"/>
          <w:szCs w:val="22"/>
        </w:rPr>
        <w:t>смет или расчетов на выполнение услуг</w:t>
      </w:r>
    </w:p>
    <w:p>
      <w:pPr>
        <w:pStyle w:val="ConsPlusNormal1"/>
        <w:widowControl/>
        <w:tabs>
          <w:tab w:val="clear" w:pos="708"/>
          <w:tab w:val="left" w:pos="1260" w:leader="none"/>
        </w:tabs>
        <w:ind w:left="1260" w:hanging="1080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cs="Times New Roman" w:ascii="Times New Roman" w:hAnsi="Times New Roman"/>
          <w:b/>
          <w:sz w:val="22"/>
          <w:szCs w:val="22"/>
        </w:rPr>
        <w:t>по программе научно-исследовательских,</w:t>
      </w:r>
    </w:p>
    <w:p>
      <w:pPr>
        <w:pStyle w:val="ConsPlusNormal1"/>
        <w:widowControl/>
        <w:tabs>
          <w:tab w:val="clear" w:pos="708"/>
          <w:tab w:val="left" w:pos="1260" w:leader="none"/>
        </w:tabs>
        <w:ind w:left="1260" w:hanging="1080"/>
        <w:jc w:val="center"/>
        <w:rPr>
          <w:rFonts w:ascii="Times New Roman" w:hAnsi="Times New Roman" w:cs="Times New Roman"/>
          <w:b/>
          <w:sz w:val="22"/>
          <w:szCs w:val="22"/>
        </w:rPr>
      </w:pPr>
      <w:r>
        <w:rPr>
          <w:rFonts w:cs="Times New Roman" w:ascii="Times New Roman" w:hAnsi="Times New Roman"/>
          <w:b/>
          <w:sz w:val="22"/>
          <w:szCs w:val="22"/>
        </w:rPr>
        <w:t>экспериментальных и опытно-конструкторских работ.</w:t>
      </w:r>
    </w:p>
    <w:p>
      <w:pPr>
        <w:pStyle w:val="ConsPlusNormal1"/>
        <w:widowControl/>
        <w:tabs>
          <w:tab w:val="clear" w:pos="708"/>
          <w:tab w:val="left" w:pos="1260" w:leader="none"/>
        </w:tabs>
        <w:ind w:left="1260" w:hanging="1080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cs="Times New Roman" w:ascii="Times New Roman" w:hAnsi="Times New Roman"/>
          <w:b/>
          <w:sz w:val="22"/>
          <w:szCs w:val="22"/>
        </w:rPr>
      </w:r>
    </w:p>
    <w:p>
      <w:pPr>
        <w:pStyle w:val="ConsPlusNormal1"/>
        <w:widowControl/>
        <w:numPr>
          <w:ilvl w:val="0"/>
          <w:numId w:val="9"/>
        </w:numPr>
        <w:tabs>
          <w:tab w:val="clear" w:pos="708"/>
          <w:tab w:val="left" w:pos="284" w:leader="none"/>
          <w:tab w:val="left" w:pos="993" w:leader="none"/>
        </w:tabs>
        <w:ind w:left="0" w:firstLine="56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>Настоящие требования разработаны для единого подхода к определению стоимости научно-исследовательских, экспериментальных и опытно-конструкторских работ (далее по тексту–НИР/НИОКР).</w:t>
      </w:r>
    </w:p>
    <w:p>
      <w:pPr>
        <w:pStyle w:val="ConsPlusNormal1"/>
        <w:widowControl/>
        <w:numPr>
          <w:ilvl w:val="0"/>
          <w:numId w:val="9"/>
        </w:numPr>
        <w:tabs>
          <w:tab w:val="clear" w:pos="708"/>
          <w:tab w:val="left" w:pos="284" w:leader="none"/>
          <w:tab w:val="left" w:pos="993" w:leader="none"/>
        </w:tabs>
        <w:ind w:left="0" w:firstLine="56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>Сметы или расчеты на НИР/НИОКР составлять на основании технических требований (технического задания) заказчика, графиков производства работ.</w:t>
      </w:r>
    </w:p>
    <w:p>
      <w:pPr>
        <w:pStyle w:val="ListParagraph"/>
        <w:numPr>
          <w:ilvl w:val="0"/>
          <w:numId w:val="9"/>
        </w:numPr>
        <w:tabs>
          <w:tab w:val="clear" w:pos="708"/>
          <w:tab w:val="left" w:pos="284" w:leader="none"/>
          <w:tab w:val="left" w:pos="993" w:leader="none"/>
        </w:tabs>
        <w:ind w:left="0" w:firstLine="567"/>
        <w:jc w:val="both"/>
        <w:rPr/>
      </w:pPr>
      <w:r>
        <w:rPr/>
        <w:t>Стоимость НИР/НИОКР (обследований, обмерных работ и т.д.), определяется на основе Справочников базовых цен и других нормативных сборников, внесенных в Федеральный реестр сметных нормативов, подлежащих применению при определении сметной стоимости объектов капитального строительства, строительство которых финансируется с привлечением средств федерального бюджета (далее – ФРСН).</w:t>
      </w:r>
    </w:p>
    <w:p>
      <w:pPr>
        <w:pStyle w:val="ConsPlusNormal1"/>
        <w:widowControl/>
        <w:numPr>
          <w:ilvl w:val="0"/>
          <w:numId w:val="9"/>
        </w:numPr>
        <w:tabs>
          <w:tab w:val="clear" w:pos="708"/>
          <w:tab w:val="left" w:pos="284" w:leader="none"/>
          <w:tab w:val="left" w:pos="993" w:leader="none"/>
        </w:tabs>
        <w:ind w:left="0" w:firstLine="56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>При использовании в сметах коэффициентов (доплат, процентов и т.д.) в графе «Номер частей, глав, таблиц, процентов…» указывать обоснование из методических указаний, общих положений сборников или других нормативных документов и приложений к ним.</w:t>
      </w:r>
    </w:p>
    <w:p>
      <w:pPr>
        <w:pStyle w:val="ConsPlusNormal1"/>
        <w:widowControl/>
        <w:numPr>
          <w:ilvl w:val="0"/>
          <w:numId w:val="9"/>
        </w:numPr>
        <w:tabs>
          <w:tab w:val="clear" w:pos="708"/>
          <w:tab w:val="left" w:pos="284" w:leader="none"/>
          <w:tab w:val="left" w:pos="993" w:leader="none"/>
        </w:tabs>
        <w:ind w:left="0" w:firstLine="567"/>
        <w:jc w:val="both"/>
        <w:rPr>
          <w:rFonts w:ascii="Times New Roman" w:hAnsi="Times New Roman"/>
          <w:color w:val="000000"/>
          <w:sz w:val="22"/>
        </w:rPr>
      </w:pPr>
      <w:r>
        <w:rPr>
          <w:rFonts w:cs="Times New Roman" w:ascii="Times New Roman" w:hAnsi="Times New Roman"/>
          <w:sz w:val="22"/>
          <w:szCs w:val="22"/>
        </w:rPr>
        <w:t xml:space="preserve">Пересчет сметной стоимости НИР/НИОКР по состоянию на 01.01.2001г, 01.01.1995г. (1991г.) следует производить согласно индексам на указанные работы, рекомендованным к применению </w:t>
      </w:r>
      <w:r>
        <w:rPr>
          <w:rFonts w:ascii="Times New Roman" w:hAnsi="Times New Roman"/>
          <w:color w:val="000000"/>
          <w:sz w:val="22"/>
        </w:rPr>
        <w:t>письмом соответствующего органа исполнительной власти, уполномоченного в области сметного нормирования и ценообразования в сфере градостроительной деятельности.</w:t>
      </w:r>
    </w:p>
    <w:p>
      <w:pPr>
        <w:pStyle w:val="ConsPlusNormal1"/>
        <w:widowControl/>
        <w:numPr>
          <w:ilvl w:val="0"/>
          <w:numId w:val="9"/>
        </w:numPr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 xml:space="preserve">При определении стоимости НИР/НИОКР, затраты организации, расположенной в </w:t>
      </w:r>
    </w:p>
    <w:p>
      <w:pPr>
        <w:pStyle w:val="ConsPlusNormal1"/>
        <w:widowControl/>
        <w:ind w:hanging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>районах, в которых, в соответствии с действующим законодательством производятся выплаты, обусловленные районным регулированием оплаты труда, в т.ч. выплаты по районным коэффициентам, а также надбавки за непрерывный стаж и других льгот, предусмотренных законодательством в районах Крайнего Севера и приравненных к ним местностям, на основании: «Рекомендаций по определению коэффициента к базовым ценам на проектные работы, учитывающего дополнительные затраты организаций на льготные выплаты по заработной плате», одобренных и рекомендованных к применению письмом Госстроя России от 30.06.98 № 9-10-17/40, дополнительно учитываются путем введения к итогу базовой цены повышающих коэффициентов. Указывать размер примененных коэффициентов, доплат и т.д. с обоснованиями из технической части, вводных указаний сборников или других нормативных документов.</w:t>
      </w:r>
    </w:p>
    <w:p>
      <w:pPr>
        <w:pStyle w:val="ConsPlusNormal1"/>
        <w:widowControl/>
        <w:numPr>
          <w:ilvl w:val="0"/>
          <w:numId w:val="9"/>
        </w:numPr>
        <w:tabs>
          <w:tab w:val="clear" w:pos="708"/>
          <w:tab w:val="left" w:pos="284" w:leader="none"/>
          <w:tab w:val="left" w:pos="993" w:leader="none"/>
        </w:tabs>
        <w:ind w:left="0" w:firstLine="567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>Стоимость НИР/НИОКР, цены на которые отсутствуют в СБЦ, СЦ и других нормативных сборниках, внесенных в ФРСН, определять сметным расчетом по себестоимости и уровню рентабельности (форма №3п) по согласованию с Заказчиком.</w:t>
      </w:r>
    </w:p>
    <w:p>
      <w:pPr>
        <w:pStyle w:val="ConsPlusNormal1"/>
        <w:widowControl/>
        <w:numPr>
          <w:ilvl w:val="0"/>
          <w:numId w:val="9"/>
        </w:numPr>
        <w:tabs>
          <w:tab w:val="clear" w:pos="708"/>
          <w:tab w:val="left" w:pos="993" w:leader="none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 xml:space="preserve">Средства на выполнение НИР/НИОКР определяются отдельными расчетами в </w:t>
      </w:r>
    </w:p>
    <w:p>
      <w:pPr>
        <w:pStyle w:val="ConsPlusNormal1"/>
        <w:widowControl/>
        <w:tabs>
          <w:tab w:val="clear" w:pos="708"/>
          <w:tab w:val="left" w:pos="993" w:leader="none"/>
        </w:tabs>
        <w:ind w:hanging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>соответствии с видом выполняемых работ и включаются (по необходимости) в сводную смету (Приложение №3).</w:t>
      </w:r>
    </w:p>
    <w:p>
      <w:pPr>
        <w:pStyle w:val="ConsPlusNormal1"/>
        <w:widowControl/>
        <w:numPr>
          <w:ilvl w:val="0"/>
          <w:numId w:val="9"/>
        </w:numPr>
        <w:tabs>
          <w:tab w:val="clear" w:pos="708"/>
          <w:tab w:val="left" w:pos="568" w:leader="none"/>
        </w:tabs>
        <w:ind w:left="0" w:firstLine="568"/>
        <w:jc w:val="both"/>
        <w:rPr>
          <w:rFonts w:ascii="Times New Roman" w:hAnsi="Times New Roman"/>
          <w:color w:val="000000"/>
          <w:sz w:val="22"/>
        </w:rPr>
      </w:pPr>
      <w:r>
        <w:rPr>
          <w:rFonts w:ascii="Times New Roman" w:hAnsi="Times New Roman"/>
          <w:color w:val="000000"/>
          <w:sz w:val="22"/>
        </w:rPr>
        <w:t xml:space="preserve">В случае заключений дополнительных соглашений к договору (далее - д/с), сводную смету необходимо выполнять в накопительной форме с учетом </w:t>
      </w:r>
      <w:r>
        <w:rPr>
          <w:rFonts w:cs="Times New Roman" w:ascii="Times New Roman" w:hAnsi="Times New Roman"/>
          <w:color w:val="000000"/>
          <w:sz w:val="22"/>
          <w:szCs w:val="22"/>
        </w:rPr>
        <w:t>ЛСР (</w:t>
      </w:r>
      <w:r>
        <w:rPr>
          <w:rFonts w:ascii="Times New Roman" w:hAnsi="Times New Roman"/>
          <w:color w:val="000000"/>
          <w:sz w:val="22"/>
        </w:rPr>
        <w:t xml:space="preserve">ЛС) к основному договору и ко всем заключенным д/с к нему. В итогах сводной сметы в накопительной форме(справочно) указывать суммы изменения (уменьшения, увеличения) основного договора на основании заключения д/с, которые определяются как разница между суммой сводной сметы в накопительной форме очередного д/с и стоимостью основного договора. Форма сводной сметы в накопительной </w:t>
      </w:r>
      <w:r>
        <w:rPr>
          <w:rFonts w:cs="Times New Roman" w:ascii="Times New Roman" w:hAnsi="Times New Roman"/>
          <w:sz w:val="22"/>
          <w:szCs w:val="22"/>
        </w:rPr>
        <w:t>(образец приложение № 3.1)</w:t>
      </w:r>
      <w:r>
        <w:rPr>
          <w:rFonts w:ascii="Times New Roman" w:hAnsi="Times New Roman"/>
          <w:color w:val="000000"/>
          <w:sz w:val="22"/>
        </w:rPr>
        <w:t xml:space="preserve"> ЛСР (ЛС) разрабатываются отдельно на исключаемые и дополнительные объемы работ. </w:t>
      </w:r>
    </w:p>
    <w:p>
      <w:pPr>
        <w:pStyle w:val="ConsPlusNormal1"/>
        <w:widowControl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/>
          <w:color w:val="000000"/>
          <w:sz w:val="22"/>
        </w:rPr>
        <w:t>ЛС являются приложениями к сводной смете в накопительной форме. Нумерация приложений указывается по мере включения ЛС в Сводную смету в накопительной форме - по порядку.</w:t>
      </w:r>
    </w:p>
    <w:p>
      <w:pPr>
        <w:pStyle w:val="ConsPlusNormal1"/>
        <w:widowControl/>
        <w:numPr>
          <w:ilvl w:val="0"/>
          <w:numId w:val="9"/>
        </w:numPr>
        <w:tabs>
          <w:tab w:val="clear" w:pos="708"/>
          <w:tab w:val="left" w:pos="993" w:leader="none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>Результаты вычислений (построчные) и итоговые данные округляются</w:t>
      </w:r>
      <w:r>
        <w:rPr>
          <w:rFonts w:ascii="Times New Roman" w:hAnsi="Times New Roman"/>
          <w:sz w:val="22"/>
        </w:rPr>
        <w:t xml:space="preserve"> до целых рублей</w:t>
      </w:r>
      <w:r>
        <w:rPr>
          <w:rFonts w:cs="Times New Roman" w:ascii="Times New Roman" w:hAnsi="Times New Roman"/>
          <w:sz w:val="22"/>
          <w:szCs w:val="22"/>
        </w:rPr>
        <w:t xml:space="preserve"> </w:t>
      </w:r>
    </w:p>
    <w:p>
      <w:pPr>
        <w:pStyle w:val="ListParagraph"/>
        <w:numPr>
          <w:ilvl w:val="0"/>
          <w:numId w:val="13"/>
        </w:numPr>
        <w:tabs>
          <w:tab w:val="clear" w:pos="708"/>
          <w:tab w:val="left" w:pos="993" w:leader="none"/>
        </w:tabs>
        <w:ind w:left="567" w:firstLine="284"/>
        <w:jc w:val="both"/>
        <w:rPr/>
      </w:pPr>
      <w:r>
        <w:rPr/>
        <w:t xml:space="preserve"> </w:t>
      </w:r>
      <w:r>
        <w:rPr/>
        <w:t xml:space="preserve">графа 5 «Стоимость» (образец 2П приложения 2); </w:t>
      </w:r>
    </w:p>
    <w:p>
      <w:pPr>
        <w:pStyle w:val="ListParagraph"/>
        <w:numPr>
          <w:ilvl w:val="0"/>
          <w:numId w:val="13"/>
        </w:numPr>
        <w:tabs>
          <w:tab w:val="clear" w:pos="708"/>
          <w:tab w:val="left" w:pos="993" w:leader="none"/>
        </w:tabs>
        <w:ind w:left="567" w:firstLine="284"/>
        <w:jc w:val="both"/>
        <w:rPr/>
      </w:pPr>
      <w:r>
        <w:rPr/>
        <w:t xml:space="preserve"> </w:t>
      </w:r>
      <w:r>
        <w:rPr/>
        <w:t>графа 7 «Оплата труда (всего)» (образец 3П приложения 2).</w:t>
      </w:r>
    </w:p>
    <w:p>
      <w:pPr>
        <w:pStyle w:val="ConsPlusNormal1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>Результаты вычислений (построчные) и итоговые данные в локальных сметных расчетах, (сметах), приводятся в рублях,</w:t>
      </w:r>
    </w:p>
    <w:p>
      <w:pPr>
        <w:pStyle w:val="ConsPlusNormal1"/>
        <w:tabs>
          <w:tab w:val="clear" w:pos="708"/>
          <w:tab w:val="left" w:pos="567" w:leader="none"/>
        </w:tabs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>-при базисно-индексном методе, с округлением до целых рублей;</w:t>
      </w:r>
    </w:p>
    <w:p>
      <w:pPr>
        <w:pStyle w:val="ConsPlusNormal1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>-при ресурсно-индексном и ресурсным методах, а также сметных расчетах на отдельные виды затрат - с округлением до целых единиц;</w:t>
      </w:r>
    </w:p>
    <w:p>
      <w:pPr>
        <w:pStyle w:val="ListParagraph"/>
        <w:tabs>
          <w:tab w:val="clear" w:pos="708"/>
          <w:tab w:val="left" w:pos="993" w:leader="none"/>
        </w:tabs>
        <w:ind w:left="567" w:hanging="0"/>
        <w:jc w:val="both"/>
        <w:rPr/>
      </w:pPr>
      <w:r>
        <w:rPr/>
        <w:t>в сводной смете - в рублях с округлением до двух знаков после запятой.</w:t>
      </w:r>
    </w:p>
    <w:p>
      <w:pPr>
        <w:pStyle w:val="ConsPlusNormal1"/>
        <w:widowControl/>
        <w:numPr>
          <w:ilvl w:val="0"/>
          <w:numId w:val="9"/>
        </w:numPr>
        <w:tabs>
          <w:tab w:val="clear" w:pos="708"/>
          <w:tab w:val="left" w:pos="993" w:leader="none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>Сметы предоставляются в 2-х вариантах: бумажном и электронном (в формате «</w:t>
      </w:r>
      <w:r>
        <w:rPr>
          <w:rFonts w:cs="Times New Roman" w:ascii="Times New Roman" w:hAnsi="Times New Roman"/>
          <w:sz w:val="22"/>
          <w:szCs w:val="22"/>
          <w:lang w:val="en-US"/>
        </w:rPr>
        <w:t>Excel</w:t>
      </w:r>
      <w:r>
        <w:rPr>
          <w:rFonts w:cs="Times New Roman" w:ascii="Times New Roman" w:hAnsi="Times New Roman"/>
          <w:sz w:val="22"/>
          <w:szCs w:val="22"/>
        </w:rPr>
        <w:t>»).</w:t>
      </w:r>
    </w:p>
    <w:p>
      <w:pPr>
        <w:pStyle w:val="ConsPlusNormal1"/>
        <w:widowControl/>
        <w:numPr>
          <w:ilvl w:val="0"/>
          <w:numId w:val="9"/>
        </w:numPr>
        <w:tabs>
          <w:tab w:val="clear" w:pos="708"/>
          <w:tab w:val="left" w:pos="993" w:leader="none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 xml:space="preserve">При необходимости учета командировочных расходов в сметной документации составляется расчет. Размер суточных командировочных расходов определить в соответствии с действующим законодательством РФ и с учетом норм, определяемых внутренним документом организации. </w:t>
      </w:r>
    </w:p>
    <w:p>
      <w:pPr>
        <w:pStyle w:val="ConsPlusNormal1"/>
        <w:widowControl/>
        <w:numPr>
          <w:ilvl w:val="0"/>
          <w:numId w:val="9"/>
        </w:numPr>
        <w:tabs>
          <w:tab w:val="clear" w:pos="708"/>
          <w:tab w:val="left" w:pos="993" w:leader="none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>Лимиты командировочных расходов при производстве НИР/НИОКР по статьям затрат следующие:</w:t>
      </w:r>
    </w:p>
    <w:p>
      <w:pPr>
        <w:pStyle w:val="ListParagraph"/>
        <w:numPr>
          <w:ilvl w:val="0"/>
          <w:numId w:val="13"/>
        </w:numPr>
        <w:tabs>
          <w:tab w:val="clear" w:pos="708"/>
          <w:tab w:val="left" w:pos="993" w:leader="none"/>
        </w:tabs>
        <w:ind w:left="567" w:firstLine="284"/>
        <w:jc w:val="both"/>
        <w:rPr/>
      </w:pPr>
      <w:r>
        <w:rPr/>
        <w:t>суточные - 700 руб./сутки;</w:t>
      </w:r>
    </w:p>
    <w:p>
      <w:pPr>
        <w:pStyle w:val="ListParagraph"/>
        <w:numPr>
          <w:ilvl w:val="0"/>
          <w:numId w:val="13"/>
        </w:numPr>
        <w:tabs>
          <w:tab w:val="clear" w:pos="708"/>
          <w:tab w:val="left" w:pos="993" w:leader="none"/>
        </w:tabs>
        <w:ind w:left="567" w:firstLine="284"/>
        <w:jc w:val="both"/>
        <w:rPr/>
      </w:pPr>
      <w:r>
        <w:rPr/>
        <w:t>проживание – 4000 руб./сутки;</w:t>
      </w:r>
    </w:p>
    <w:p>
      <w:pPr>
        <w:pStyle w:val="ListParagraph"/>
        <w:numPr>
          <w:ilvl w:val="0"/>
          <w:numId w:val="13"/>
        </w:numPr>
        <w:tabs>
          <w:tab w:val="clear" w:pos="708"/>
          <w:tab w:val="left" w:pos="993" w:leader="none"/>
        </w:tabs>
        <w:ind w:left="993" w:hanging="142"/>
        <w:jc w:val="both"/>
        <w:rPr/>
      </w:pPr>
      <w:r>
        <w:rPr/>
        <w:t xml:space="preserve">проезд: поезд (купе) или самолет </w:t>
      </w:r>
      <w:r>
        <w:rPr>
          <w:color w:val="000000"/>
        </w:rPr>
        <w:t>(класс–эконом с багажом до 20 (двадцати) кг, ручная кладь до 10 (десяти) кг)</w:t>
      </w:r>
      <w:r>
        <w:rPr/>
        <w:t>.</w:t>
      </w:r>
    </w:p>
    <w:p>
      <w:pPr>
        <w:pStyle w:val="ConsPlusNormal1"/>
        <w:widowControl/>
        <w:tabs>
          <w:tab w:val="clear" w:pos="708"/>
          <w:tab w:val="left" w:pos="284" w:leader="none"/>
          <w:tab w:val="left" w:pos="993" w:leader="none"/>
        </w:tabs>
        <w:ind w:firstLine="567"/>
        <w:jc w:val="both"/>
        <w:rPr>
          <w:rFonts w:ascii="Times New Roman" w:hAnsi="Times New Roman" w:cs="Times New Roman"/>
          <w:b/>
          <w:i/>
          <w:i/>
          <w:sz w:val="22"/>
          <w:szCs w:val="22"/>
        </w:rPr>
      </w:pPr>
      <w:r>
        <w:rPr>
          <w:rFonts w:cs="Times New Roman" w:ascii="Times New Roman" w:hAnsi="Times New Roman"/>
          <w:b/>
          <w:i/>
          <w:sz w:val="22"/>
          <w:szCs w:val="22"/>
        </w:rPr>
        <w:t>Данные лимиты могут быть пересмотрены на этапе согласования технических требований.</w:t>
      </w:r>
    </w:p>
    <w:p>
      <w:pPr>
        <w:pStyle w:val="ConsPlusNormal1"/>
        <w:widowControl/>
        <w:numPr>
          <w:ilvl w:val="0"/>
          <w:numId w:val="9"/>
        </w:numPr>
        <w:tabs>
          <w:tab w:val="clear" w:pos="708"/>
          <w:tab w:val="left" w:pos="993" w:leader="none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>В случае учета строительно-монтажных работ в рамках исполнения работ при производстве НИР/НИОКР необходимо руководствоваться соответствующими требованиями к оформлению и составлению сметной документации при ремонте, реконструкции и техническом перевооружении.</w:t>
      </w:r>
    </w:p>
    <w:p>
      <w:pPr>
        <w:pStyle w:val="ConsPlusNormal1"/>
        <w:widowControl/>
        <w:numPr>
          <w:ilvl w:val="0"/>
          <w:numId w:val="9"/>
        </w:numPr>
        <w:tabs>
          <w:tab w:val="clear" w:pos="708"/>
          <w:tab w:val="left" w:pos="993" w:leader="none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>В случае применения понижающего коэффициента к итогу смет или расчетов, корректирующего их стоимость в меньшую сторону, величину данного коэффициента необходимо учитывать с округлением до 3 знаков после запятой.</w:t>
      </w:r>
    </w:p>
    <w:p>
      <w:pPr>
        <w:pStyle w:val="ConsPlusNormal1"/>
        <w:widowControl/>
        <w:numPr>
          <w:ilvl w:val="0"/>
          <w:numId w:val="9"/>
        </w:numPr>
        <w:tabs>
          <w:tab w:val="clear" w:pos="708"/>
          <w:tab w:val="left" w:pos="993" w:leader="none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 xml:space="preserve">Стоимость субподрядных работ (в случае наличия таковых) следует отразить отдельной строкой в Сводной смете (образец приложение № 3) с представлением соответствующих расчетов. </w:t>
      </w:r>
    </w:p>
    <w:p>
      <w:pPr>
        <w:pStyle w:val="ConsPlusNormal1"/>
        <w:widowControl/>
        <w:numPr>
          <w:ilvl w:val="0"/>
          <w:numId w:val="9"/>
        </w:numPr>
        <w:tabs>
          <w:tab w:val="clear" w:pos="708"/>
          <w:tab w:val="left" w:pos="993" w:leader="none"/>
        </w:tabs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  <w:t>Стоимость материальных ресурсов и комплектующих, необходимых для создания опытных образцов, следует отразить отдельными строками в Сводной смете (образец приложение № 3).</w:t>
      </w:r>
    </w:p>
    <w:p>
      <w:pPr>
        <w:sectPr>
          <w:headerReference w:type="default" r:id="rId9"/>
          <w:headerReference w:type="first" r:id="rId10"/>
          <w:type w:val="nextPage"/>
          <w:pgSz w:w="11906" w:h="16838"/>
          <w:pgMar w:left="1304" w:right="924" w:gutter="0" w:header="709" w:top="851" w:footer="0" w:bottom="720"/>
          <w:pgNumType w:fmt="decimal"/>
          <w:formProt w:val="false"/>
          <w:textDirection w:val="lrTb"/>
          <w:docGrid w:type="default" w:linePitch="360" w:charSpace="0"/>
        </w:sectPr>
        <w:pStyle w:val="ConsPlusNormal1"/>
        <w:widowControl/>
        <w:numPr>
          <w:ilvl w:val="0"/>
          <w:numId w:val="9"/>
        </w:numPr>
        <w:tabs>
          <w:tab w:val="clear" w:pos="708"/>
          <w:tab w:val="left" w:pos="993" w:leader="none"/>
        </w:tabs>
        <w:jc w:val="both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  <w:sz w:val="22"/>
          <w:szCs w:val="22"/>
        </w:rPr>
        <w:t>Стоимость строительно-монтажных работ, выполняемым в целях создания опытных образов и макетов, следует отразить отдельными строками в Сводной смете (образец приложение № 3) с представлением соответствующих расчетов (в случае наличия таковых).</w:t>
      </w:r>
    </w:p>
    <w:p>
      <w:pPr>
        <w:pStyle w:val="ConsPlusNormal1"/>
        <w:widowControl/>
        <w:tabs>
          <w:tab w:val="clear" w:pos="708"/>
          <w:tab w:val="left" w:pos="1080" w:leader="none"/>
        </w:tabs>
        <w:ind w:left="540" w:hanging="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cs="Times New Roman" w:ascii="Times New Roman" w:hAnsi="Times New Roman"/>
          <w:sz w:val="22"/>
          <w:szCs w:val="22"/>
        </w:rPr>
      </w:r>
    </w:p>
    <w:p>
      <w:pPr>
        <w:pStyle w:val="Normal"/>
        <w:ind w:left="5670" w:firstLine="720"/>
        <w:rPr>
          <w:sz w:val="20"/>
        </w:rPr>
      </w:pPr>
      <w:r>
        <w:rPr>
          <w:sz w:val="20"/>
        </w:rPr>
        <w:t>Приложение № 1</w:t>
      </w:r>
    </w:p>
    <w:p>
      <w:pPr>
        <w:pStyle w:val="Normal"/>
        <w:ind w:left="5670" w:firstLine="720"/>
        <w:rPr>
          <w:sz w:val="20"/>
        </w:rPr>
      </w:pPr>
      <w:r>
        <w:rPr>
          <w:sz w:val="20"/>
        </w:rPr>
        <w:t>к Требованиям к оформлению и составлению смет или расчетов на выполнение услуг по программе НИР/НИОКР</w:t>
      </w:r>
    </w:p>
    <w:p>
      <w:pPr>
        <w:pStyle w:val="Normal"/>
        <w:ind w:left="5670" w:firstLine="720"/>
        <w:rPr>
          <w:b/>
        </w:rPr>
      </w:pPr>
      <w:r>
        <w:rPr>
          <w:b/>
        </w:rPr>
      </w:r>
    </w:p>
    <w:p>
      <w:pPr>
        <w:pStyle w:val="Normal"/>
        <w:jc w:val="center"/>
        <w:rPr>
          <w:b/>
        </w:rPr>
      </w:pPr>
      <w:r>
        <w:rPr>
          <w:b/>
        </w:rPr>
        <w:t xml:space="preserve">ПОЯСНИТЕЛЬНАЯ ЗАПИСКА </w:t>
      </w:r>
    </w:p>
    <w:p>
      <w:pPr>
        <w:pStyle w:val="Normal"/>
        <w:jc w:val="center"/>
        <w:rPr>
          <w:b/>
        </w:rPr>
      </w:pPr>
      <w:r>
        <w:rPr>
          <w:b/>
        </w:rPr>
        <w:t>по заполнению формы №3п</w:t>
      </w:r>
    </w:p>
    <w:p>
      <w:pPr>
        <w:pStyle w:val="Normal"/>
        <w:jc w:val="center"/>
        <w:rPr>
          <w:b/>
        </w:rPr>
      </w:pPr>
      <w:r>
        <w:rPr>
          <w:b/>
        </w:rPr>
        <w:t xml:space="preserve"> </w:t>
      </w:r>
      <w:r>
        <w:rPr>
          <w:b/>
        </w:rPr>
        <w:t>при составлении смет на НИР/НИОКР.</w:t>
      </w:r>
    </w:p>
    <w:p>
      <w:pPr>
        <w:pStyle w:val="Normal"/>
        <w:tabs>
          <w:tab w:val="clear" w:pos="708"/>
          <w:tab w:val="left" w:pos="1134" w:leader="none"/>
        </w:tabs>
        <w:ind w:firstLine="567"/>
        <w:jc w:val="center"/>
        <w:rPr/>
      </w:pPr>
      <w:r>
        <w:rPr/>
      </w:r>
    </w:p>
    <w:p>
      <w:pPr>
        <w:pStyle w:val="ListParagraph"/>
        <w:numPr>
          <w:ilvl w:val="0"/>
          <w:numId w:val="12"/>
        </w:numPr>
        <w:tabs>
          <w:tab w:val="clear" w:pos="708"/>
          <w:tab w:val="left" w:pos="567" w:leader="none"/>
          <w:tab w:val="left" w:pos="993" w:leader="none"/>
        </w:tabs>
        <w:ind w:left="0" w:firstLine="567"/>
        <w:jc w:val="both"/>
        <w:rPr/>
      </w:pPr>
      <w:r>
        <w:rPr/>
        <w:t>При составлении сметного расчета по трудозатратам (форма №3п), разработанным организацией, выполняющей НИР/НИОКР, обоснование расчета трудозатрат представляется заказчику по его просьбе. Сметные расчеты составляются в ценах текущего периода.</w:t>
      </w:r>
    </w:p>
    <w:p>
      <w:pPr>
        <w:pStyle w:val="ListParagraph"/>
        <w:numPr>
          <w:ilvl w:val="0"/>
          <w:numId w:val="12"/>
        </w:numPr>
        <w:tabs>
          <w:tab w:val="clear" w:pos="708"/>
          <w:tab w:val="left" w:pos="567" w:leader="none"/>
          <w:tab w:val="left" w:pos="993" w:leader="none"/>
          <w:tab w:val="left" w:pos="1080" w:leader="none"/>
        </w:tabs>
        <w:ind w:left="0" w:firstLine="567"/>
        <w:jc w:val="both"/>
        <w:rPr/>
      </w:pPr>
      <w:r>
        <w:rPr/>
        <w:t>Расчетом по трудозатратам (форма №3п) рекомендуется определять стоимость работ, цены на которые отсутствуют в СБЦ, СЦ и других нормативных сборниках, внесенных в Федеральный реестр сметных нормативов, подлежащих применению при определении сметной стоимости объектов капитального строительства, строительство которых финансируется с привлечением средств федерального бюджета (далее – ФРСН)</w:t>
      </w:r>
    </w:p>
    <w:p>
      <w:pPr>
        <w:pStyle w:val="ListParagraph"/>
        <w:numPr>
          <w:ilvl w:val="0"/>
          <w:numId w:val="12"/>
        </w:numPr>
        <w:tabs>
          <w:tab w:val="clear" w:pos="708"/>
          <w:tab w:val="left" w:pos="567" w:leader="none"/>
          <w:tab w:val="left" w:pos="993" w:leader="none"/>
          <w:tab w:val="left" w:pos="1080" w:leader="none"/>
        </w:tabs>
        <w:ind w:left="0" w:firstLine="567"/>
        <w:jc w:val="both"/>
        <w:rPr/>
      </w:pPr>
      <w:r>
        <w:rPr/>
        <w:t>Форма сметы для определения затрат по себестоимости и уровню рентабельности (форма №3п) приведена в Образце 3П Приложения №2.</w:t>
      </w:r>
    </w:p>
    <w:p>
      <w:pPr>
        <w:pStyle w:val="ListParagraph"/>
        <w:numPr>
          <w:ilvl w:val="0"/>
          <w:numId w:val="12"/>
        </w:numPr>
        <w:tabs>
          <w:tab w:val="clear" w:pos="708"/>
          <w:tab w:val="left" w:pos="993" w:leader="none"/>
        </w:tabs>
        <w:ind w:left="720" w:hanging="153"/>
        <w:jc w:val="both"/>
        <w:rPr/>
      </w:pPr>
      <w:r>
        <w:rPr/>
        <w:t xml:space="preserve">Результаты вычислений и итоговые данные по разделам расчета </w:t>
      </w:r>
      <w:r>
        <w:rPr>
          <w:u w:val="single"/>
        </w:rPr>
        <w:t>округлять до целых рублей.</w:t>
      </w:r>
    </w:p>
    <w:p>
      <w:pPr>
        <w:pStyle w:val="ListParagraph"/>
        <w:numPr>
          <w:ilvl w:val="0"/>
          <w:numId w:val="12"/>
        </w:numPr>
        <w:tabs>
          <w:tab w:val="clear" w:pos="708"/>
          <w:tab w:val="left" w:pos="567" w:leader="none"/>
          <w:tab w:val="left" w:pos="993" w:leader="none"/>
        </w:tabs>
        <w:ind w:left="0" w:firstLine="567"/>
        <w:jc w:val="both"/>
        <w:rPr/>
      </w:pPr>
      <w:r>
        <w:rPr/>
        <w:t>Особенности заполнения формы 3П.</w:t>
      </w:r>
    </w:p>
    <w:p>
      <w:pPr>
        <w:pStyle w:val="Normal"/>
        <w:tabs>
          <w:tab w:val="clear" w:pos="708"/>
          <w:tab w:val="left" w:pos="567" w:leader="none"/>
          <w:tab w:val="left" w:pos="993" w:leader="none"/>
        </w:tabs>
        <w:ind w:firstLine="567"/>
        <w:jc w:val="both"/>
        <w:rPr>
          <w:u w:val="single"/>
        </w:rPr>
      </w:pPr>
      <w:r>
        <w:rPr>
          <w:u w:val="single"/>
        </w:rPr>
        <w:t>Раздел 1. Расчет заработной платы:</w:t>
      </w:r>
    </w:p>
    <w:p>
      <w:pPr>
        <w:pStyle w:val="ListParagraph"/>
        <w:numPr>
          <w:ilvl w:val="0"/>
          <w:numId w:val="10"/>
        </w:numPr>
        <w:tabs>
          <w:tab w:val="clear" w:pos="708"/>
          <w:tab w:val="left" w:pos="567" w:leader="none"/>
          <w:tab w:val="left" w:pos="993" w:leader="none"/>
          <w:tab w:val="left" w:pos="1080" w:leader="none"/>
        </w:tabs>
        <w:ind w:left="0" w:firstLine="567"/>
        <w:jc w:val="both"/>
        <w:rPr/>
      </w:pPr>
      <w:r>
        <w:rPr/>
        <w:t>в графе 1 приводится нумерация выполняемых работ;</w:t>
      </w:r>
    </w:p>
    <w:p>
      <w:pPr>
        <w:pStyle w:val="ListParagraph"/>
        <w:numPr>
          <w:ilvl w:val="0"/>
          <w:numId w:val="10"/>
        </w:numPr>
        <w:tabs>
          <w:tab w:val="clear" w:pos="708"/>
          <w:tab w:val="left" w:pos="567" w:leader="none"/>
          <w:tab w:val="left" w:pos="993" w:leader="none"/>
          <w:tab w:val="left" w:pos="1080" w:leader="none"/>
        </w:tabs>
        <w:ind w:left="0" w:firstLine="567"/>
        <w:jc w:val="both"/>
        <w:rPr/>
      </w:pPr>
      <w:r>
        <w:rPr/>
        <w:t>в графе 2 приводится наименование выполняемых работ;</w:t>
      </w:r>
    </w:p>
    <w:p>
      <w:pPr>
        <w:pStyle w:val="ListParagraph"/>
        <w:numPr>
          <w:ilvl w:val="0"/>
          <w:numId w:val="10"/>
        </w:numPr>
        <w:tabs>
          <w:tab w:val="clear" w:pos="708"/>
          <w:tab w:val="left" w:pos="567" w:leader="none"/>
          <w:tab w:val="left" w:pos="993" w:leader="none"/>
          <w:tab w:val="left" w:pos="1080" w:leader="none"/>
        </w:tabs>
        <w:ind w:left="0" w:firstLine="567"/>
        <w:jc w:val="both"/>
        <w:rPr/>
      </w:pPr>
      <w:r>
        <w:rPr/>
        <w:t>в графе 3 указывается количество привлекаемых работников;</w:t>
      </w:r>
    </w:p>
    <w:p>
      <w:pPr>
        <w:pStyle w:val="ListParagraph"/>
        <w:numPr>
          <w:ilvl w:val="0"/>
          <w:numId w:val="10"/>
        </w:numPr>
        <w:tabs>
          <w:tab w:val="clear" w:pos="708"/>
          <w:tab w:val="left" w:pos="567" w:leader="none"/>
          <w:tab w:val="left" w:pos="993" w:leader="none"/>
          <w:tab w:val="left" w:pos="1080" w:leader="none"/>
        </w:tabs>
        <w:ind w:left="0" w:firstLine="567"/>
        <w:jc w:val="both"/>
        <w:rPr/>
      </w:pPr>
      <w:r>
        <w:rPr/>
        <w:t>в графе 4 указывается наименование должности (при необходимости, с указанием конкретных фамилий) работников, участвующих в выполнении каждой из приведенных работ в графе 2;</w:t>
      </w:r>
    </w:p>
    <w:p>
      <w:pPr>
        <w:pStyle w:val="ListParagraph"/>
        <w:numPr>
          <w:ilvl w:val="0"/>
          <w:numId w:val="10"/>
        </w:numPr>
        <w:tabs>
          <w:tab w:val="clear" w:pos="708"/>
          <w:tab w:val="left" w:pos="567" w:leader="none"/>
          <w:tab w:val="left" w:pos="993" w:leader="none"/>
          <w:tab w:val="left" w:pos="1080" w:leader="none"/>
        </w:tabs>
        <w:ind w:left="0" w:firstLine="567"/>
        <w:jc w:val="both"/>
        <w:rPr/>
      </w:pPr>
      <w:r>
        <w:rPr/>
        <w:t>в графе 5 для каждой должностной группы (при необходимости с указанием конкретных фамилий) работников, участвующих в выполнении данной работы, указывается общее количество рабочих дней, необходимых данной квалификационной группе для её выполнения; рабочее время не должно превышать значений, определенных по временным нормам;</w:t>
      </w:r>
    </w:p>
    <w:p>
      <w:pPr>
        <w:pStyle w:val="ListParagraph"/>
        <w:numPr>
          <w:ilvl w:val="0"/>
          <w:numId w:val="10"/>
        </w:numPr>
        <w:tabs>
          <w:tab w:val="clear" w:pos="708"/>
          <w:tab w:val="left" w:pos="567" w:leader="none"/>
          <w:tab w:val="left" w:pos="993" w:leader="none"/>
          <w:tab w:val="left" w:pos="1080" w:leader="none"/>
        </w:tabs>
        <w:ind w:left="0" w:firstLine="567"/>
        <w:jc w:val="both"/>
        <w:rPr/>
      </w:pPr>
      <w:r>
        <w:rPr/>
        <w:t>в графе 6 приводятся данные по стоимости 1 человеко-дня в рублях по категориям работников. Стоимость 1 человеко-дня непосредственных исполнителей приводится по штатному расписанию основного производственного персонала исходя из установленных в нем окладов, а также выплат стимулирующего и компенсирующего характера, установленных Положением о премировании работников предприятия.</w:t>
      </w:r>
    </w:p>
    <w:p>
      <w:pPr>
        <w:pStyle w:val="ListParagraph"/>
        <w:numPr>
          <w:ilvl w:val="0"/>
          <w:numId w:val="10"/>
        </w:numPr>
        <w:tabs>
          <w:tab w:val="clear" w:pos="708"/>
          <w:tab w:val="left" w:pos="567" w:leader="none"/>
          <w:tab w:val="left" w:pos="993" w:leader="none"/>
          <w:tab w:val="left" w:pos="1080" w:leader="none"/>
        </w:tabs>
        <w:ind w:left="0" w:firstLine="567"/>
        <w:jc w:val="both"/>
        <w:rPr/>
      </w:pPr>
      <w:r>
        <w:rPr/>
        <w:t>в графе 7 указывается заработная плата в рублях (</w:t>
      </w:r>
      <w:r>
        <w:rPr>
          <w:b/>
          <w:u w:val="single"/>
        </w:rPr>
        <w:t>результат перемножения граф 5 и 6</w:t>
      </w:r>
      <w:r>
        <w:rPr/>
        <w:t>);</w:t>
      </w:r>
    </w:p>
    <w:p>
      <w:pPr>
        <w:pStyle w:val="ListParagraph"/>
        <w:tabs>
          <w:tab w:val="clear" w:pos="708"/>
          <w:tab w:val="left" w:pos="567" w:leader="none"/>
          <w:tab w:val="left" w:pos="993" w:leader="none"/>
        </w:tabs>
        <w:ind w:left="0" w:firstLine="567"/>
        <w:jc w:val="both"/>
        <w:rPr/>
      </w:pPr>
      <w:r>
        <w:rPr/>
        <w:t>Данные по количеству человек, дней и категорий непосредственных исполнителей, приведенные в графах 3, 4, 5, указываются в соответствии с экспертной оценкой трудоемкости этих работ, выполненных главным инженером проекта, или на базе имеющихся в организации проработок, определяющих нормативы их трудоемкости.</w:t>
      </w:r>
    </w:p>
    <w:p>
      <w:pPr>
        <w:pStyle w:val="Normal"/>
        <w:tabs>
          <w:tab w:val="clear" w:pos="708"/>
          <w:tab w:val="left" w:pos="567" w:leader="none"/>
          <w:tab w:val="left" w:pos="993" w:leader="none"/>
          <w:tab w:val="left" w:pos="1080" w:leader="none"/>
        </w:tabs>
        <w:ind w:firstLine="567"/>
        <w:jc w:val="both"/>
        <w:rPr>
          <w:u w:val="single"/>
        </w:rPr>
      </w:pPr>
      <w:r>
        <w:rPr>
          <w:u w:val="single"/>
        </w:rPr>
        <w:t>Раздел 2. Расчет стоимости выполнения работ:</w:t>
      </w:r>
    </w:p>
    <w:p>
      <w:pPr>
        <w:pStyle w:val="ListParagraph"/>
        <w:numPr>
          <w:ilvl w:val="0"/>
          <w:numId w:val="11"/>
        </w:numPr>
        <w:tabs>
          <w:tab w:val="clear" w:pos="708"/>
          <w:tab w:val="left" w:pos="567" w:leader="none"/>
          <w:tab w:val="left" w:pos="993" w:leader="none"/>
          <w:tab w:val="left" w:pos="1080" w:leader="none"/>
        </w:tabs>
        <w:ind w:left="0" w:firstLine="567"/>
        <w:jc w:val="both"/>
        <w:rPr/>
      </w:pPr>
      <w:r>
        <w:rPr/>
        <w:t>в пункте 2.1 указывается процент заработной платы производственного персонала в составе себестоимости (</w:t>
      </w:r>
      <w:r>
        <w:rPr>
          <w:b/>
          <w:u w:val="single"/>
        </w:rPr>
        <w:t>без учета субподрядных работ</w:t>
      </w:r>
      <w:r>
        <w:rPr/>
        <w:t>), находящийся в пределах не менее 30% – уточняется по данным организации в соответствии с бизнес-планом. Данные по оплате труда, процент заработной платы в составе себестоимости, уровень рентабельности организации принимаются в соответствии с плановыми показателями на соответствующий период выполнения работ и утверждаются внутренним документом организации.</w:t>
      </w:r>
    </w:p>
    <w:p>
      <w:pPr>
        <w:pStyle w:val="ListParagraph"/>
        <w:numPr>
          <w:ilvl w:val="0"/>
          <w:numId w:val="11"/>
        </w:numPr>
        <w:tabs>
          <w:tab w:val="clear" w:pos="708"/>
          <w:tab w:val="left" w:pos="567" w:leader="none"/>
          <w:tab w:val="left" w:pos="993" w:leader="none"/>
          <w:tab w:val="left" w:pos="1080" w:leader="none"/>
        </w:tabs>
        <w:ind w:left="0" w:firstLine="567"/>
        <w:jc w:val="both"/>
        <w:rPr/>
      </w:pPr>
      <w:r>
        <w:rPr/>
        <w:t>в пункте 2.2 производится расчет себестоимости работ на основании выполненного в разделе 1 расчета заработной платы и ее процента в составе себестоимости работ (отношение итога графы 7 раздела 1 к пункту 2.1);</w:t>
      </w:r>
    </w:p>
    <w:p>
      <w:pPr>
        <w:pStyle w:val="ListParagraph"/>
        <w:numPr>
          <w:ilvl w:val="0"/>
          <w:numId w:val="11"/>
        </w:numPr>
        <w:tabs>
          <w:tab w:val="clear" w:pos="708"/>
          <w:tab w:val="left" w:pos="567" w:leader="none"/>
          <w:tab w:val="left" w:pos="993" w:leader="none"/>
          <w:tab w:val="left" w:pos="1080" w:leader="none"/>
        </w:tabs>
        <w:ind w:left="0" w:firstLine="567"/>
        <w:jc w:val="both"/>
        <w:rPr/>
      </w:pPr>
      <w:r>
        <w:rPr/>
        <w:t>в пункте 2.3 указывается уровень рентабельности (размер сметной прибыли), принимается по данным организации в соответствии с финансовым планом;</w:t>
      </w:r>
    </w:p>
    <w:p>
      <w:pPr>
        <w:pStyle w:val="ListParagraph"/>
        <w:numPr>
          <w:ilvl w:val="0"/>
          <w:numId w:val="11"/>
        </w:numPr>
        <w:tabs>
          <w:tab w:val="clear" w:pos="708"/>
          <w:tab w:val="left" w:pos="567" w:leader="none"/>
          <w:tab w:val="left" w:pos="993" w:leader="none"/>
          <w:tab w:val="left" w:pos="1080" w:leader="none"/>
        </w:tabs>
        <w:ind w:left="0" w:firstLine="567"/>
        <w:jc w:val="both"/>
        <w:rPr>
          <w:color w:val="000000"/>
        </w:rPr>
      </w:pPr>
      <w:r>
        <w:rPr/>
        <w:t xml:space="preserve">уровень рентабельности по отношению к себестоимости может составлять </w:t>
      </w:r>
      <w:r>
        <w:rPr>
          <w:color w:val="000000"/>
        </w:rPr>
        <w:t>до 15%.</w:t>
      </w:r>
    </w:p>
    <w:p>
      <w:pPr>
        <w:pStyle w:val="Normal"/>
        <w:tabs>
          <w:tab w:val="clear" w:pos="708"/>
          <w:tab w:val="left" w:pos="567" w:leader="none"/>
          <w:tab w:val="left" w:pos="993" w:leader="none"/>
          <w:tab w:val="left" w:pos="1080" w:leader="none"/>
        </w:tabs>
        <w:ind w:firstLine="567"/>
        <w:jc w:val="both"/>
        <w:rPr/>
      </w:pPr>
      <w:r>
        <w:rPr/>
        <w:t>К сметной документации необходимо приложить все справочные данные по вышеуказанным экономическим характеристикам предприятия в виде официальной справки (образец в Приложении №1 к пояснительной записке по заполнению формы 3П).</w:t>
      </w:r>
    </w:p>
    <w:p>
      <w:pPr>
        <w:pStyle w:val="Normal"/>
        <w:tabs>
          <w:tab w:val="clear" w:pos="708"/>
          <w:tab w:val="left" w:pos="567" w:leader="none"/>
          <w:tab w:val="left" w:pos="993" w:leader="none"/>
          <w:tab w:val="left" w:pos="1080" w:leader="none"/>
        </w:tabs>
        <w:ind w:firstLine="567"/>
        <w:jc w:val="both"/>
        <w:rPr>
          <w:u w:val="single"/>
        </w:rPr>
      </w:pPr>
      <w:r>
        <w:rPr>
          <w:u w:val="single"/>
        </w:rPr>
        <w:t>Раздел 3. Расчет командировочных расходов.</w:t>
      </w:r>
    </w:p>
    <w:p>
      <w:pPr>
        <w:pStyle w:val="Normal"/>
        <w:tabs>
          <w:tab w:val="clear" w:pos="708"/>
          <w:tab w:val="left" w:pos="567" w:leader="none"/>
          <w:tab w:val="left" w:pos="993" w:leader="none"/>
        </w:tabs>
        <w:ind w:firstLine="567"/>
        <w:jc w:val="both"/>
        <w:rPr/>
      </w:pPr>
      <w:r>
        <w:rPr/>
        <w:t>Командировочные расходы включаются в сметный расчет отдельной строкой (пункт 3 формы 3П) по отдельно выполненному расчету с расшифровкой затрат на проезд, проживание, суточные расходы.</w:t>
      </w:r>
    </w:p>
    <w:p>
      <w:pPr>
        <w:pStyle w:val="Normal"/>
        <w:tabs>
          <w:tab w:val="clear" w:pos="708"/>
          <w:tab w:val="left" w:pos="567" w:leader="none"/>
          <w:tab w:val="left" w:pos="993" w:leader="none"/>
        </w:tabs>
        <w:ind w:firstLine="567"/>
        <w:jc w:val="both"/>
        <w:rPr/>
      </w:pPr>
      <w:r>
        <w:rPr/>
        <w:t>Стоимость проезда необходимо указывать по каждому виду транспорта отдельно туда и отдельно обратно.</w:t>
      </w:r>
    </w:p>
    <w:p>
      <w:pPr>
        <w:pStyle w:val="Normal"/>
        <w:tabs>
          <w:tab w:val="clear" w:pos="708"/>
          <w:tab w:val="left" w:pos="567" w:leader="none"/>
          <w:tab w:val="left" w:pos="993" w:leader="none"/>
        </w:tabs>
        <w:ind w:firstLine="567"/>
        <w:jc w:val="both"/>
        <w:rPr/>
      </w:pPr>
      <w:r>
        <w:rPr/>
        <w:t>Размер расходов на проезд и стоимость проживания в гостинице определяется на момент составления расчета. Форма расчета приведена в Приложении 4.</w:t>
      </w:r>
    </w:p>
    <w:p>
      <w:pPr>
        <w:pStyle w:val="Normal"/>
        <w:tabs>
          <w:tab w:val="clear" w:pos="708"/>
          <w:tab w:val="left" w:pos="567" w:leader="none"/>
          <w:tab w:val="left" w:pos="993" w:leader="none"/>
          <w:tab w:val="left" w:pos="1080" w:leader="none"/>
        </w:tabs>
        <w:ind w:firstLine="567"/>
        <w:jc w:val="both"/>
        <w:rPr/>
      </w:pPr>
      <w:r>
        <w:rPr/>
        <w:t>Размеры возмещения расходов, связанных со служебными командировками, определяются коллективным договором и/или локальным нормативным актом организации–исполнителя, но не выше нормативов возмещения расходов, связанных со служебными командировками, установленных локальным нормативным актом организации–заказчика.</w:t>
      </w:r>
    </w:p>
    <w:p>
      <w:pPr>
        <w:pStyle w:val="Normal"/>
        <w:tabs>
          <w:tab w:val="clear" w:pos="708"/>
          <w:tab w:val="left" w:pos="567" w:leader="none"/>
          <w:tab w:val="left" w:pos="993" w:leader="none"/>
          <w:tab w:val="left" w:pos="1080" w:leader="none"/>
        </w:tabs>
        <w:ind w:firstLine="567"/>
        <w:jc w:val="both"/>
        <w:rPr/>
      </w:pPr>
      <w:r>
        <w:rPr/>
        <w:t>Лимиты командировочных расходов при производстве НИР/НИОКР:</w:t>
      </w:r>
    </w:p>
    <w:p>
      <w:pPr>
        <w:pStyle w:val="ListParagraph"/>
        <w:numPr>
          <w:ilvl w:val="0"/>
          <w:numId w:val="8"/>
        </w:numPr>
        <w:tabs>
          <w:tab w:val="clear" w:pos="708"/>
          <w:tab w:val="left" w:pos="567" w:leader="none"/>
          <w:tab w:val="left" w:pos="993" w:leader="none"/>
          <w:tab w:val="left" w:pos="1080" w:leader="none"/>
        </w:tabs>
        <w:ind w:left="0" w:firstLine="567"/>
        <w:jc w:val="both"/>
        <w:rPr/>
      </w:pPr>
      <w:r>
        <w:rPr/>
        <w:t>суточные - 700 руб./сутки;</w:t>
      </w:r>
    </w:p>
    <w:p>
      <w:pPr>
        <w:pStyle w:val="ListParagraph"/>
        <w:numPr>
          <w:ilvl w:val="0"/>
          <w:numId w:val="8"/>
        </w:numPr>
        <w:tabs>
          <w:tab w:val="clear" w:pos="708"/>
          <w:tab w:val="left" w:pos="567" w:leader="none"/>
          <w:tab w:val="left" w:pos="993" w:leader="none"/>
          <w:tab w:val="left" w:pos="1080" w:leader="none"/>
        </w:tabs>
        <w:ind w:left="0" w:firstLine="567"/>
        <w:jc w:val="both"/>
        <w:rPr/>
      </w:pPr>
      <w:r>
        <w:rPr/>
        <w:t>проживание – 4000 руб./сутки;</w:t>
      </w:r>
    </w:p>
    <w:p>
      <w:pPr>
        <w:pStyle w:val="ListParagraph"/>
        <w:numPr>
          <w:ilvl w:val="0"/>
          <w:numId w:val="8"/>
        </w:numPr>
        <w:tabs>
          <w:tab w:val="clear" w:pos="708"/>
          <w:tab w:val="left" w:pos="567" w:leader="none"/>
          <w:tab w:val="left" w:pos="993" w:leader="none"/>
          <w:tab w:val="left" w:pos="1080" w:leader="none"/>
        </w:tabs>
        <w:ind w:left="0" w:firstLine="567"/>
        <w:jc w:val="both"/>
        <w:rPr/>
      </w:pPr>
      <w:r>
        <w:rPr/>
        <w:t xml:space="preserve">проезд: поезд (купе) или самолет (класс </w:t>
      </w:r>
      <w:r>
        <w:rPr>
          <w:color w:val="000000"/>
        </w:rPr>
        <w:t>–эконом с багажом до 20 (двадцати) кг, ручная кладь до 10 (десяти) кг).</w:t>
      </w:r>
    </w:p>
    <w:p>
      <w:pPr>
        <w:pStyle w:val="ListParagraph"/>
        <w:tabs>
          <w:tab w:val="clear" w:pos="708"/>
          <w:tab w:val="left" w:pos="567" w:leader="none"/>
          <w:tab w:val="left" w:pos="993" w:leader="none"/>
          <w:tab w:val="left" w:pos="1080" w:leader="none"/>
        </w:tabs>
        <w:ind w:left="0" w:firstLine="567"/>
        <w:jc w:val="both"/>
        <w:rPr>
          <w:b/>
          <w:i/>
          <w:i/>
          <w:color w:val="000000" w:themeColor="text1"/>
        </w:rPr>
      </w:pPr>
      <w:r>
        <w:rPr>
          <w:b/>
          <w:i/>
          <w:color w:val="000000" w:themeColor="text1"/>
        </w:rPr>
        <w:t xml:space="preserve">Данные лимиты могут быть пересмотрены на этапе согласования технических требований. </w:t>
      </w:r>
    </w:p>
    <w:p>
      <w:pPr>
        <w:pStyle w:val="Normal"/>
        <w:tabs>
          <w:tab w:val="clear" w:pos="708"/>
          <w:tab w:val="left" w:pos="851" w:leader="none"/>
          <w:tab w:val="left" w:pos="993" w:leader="none"/>
          <w:tab w:val="left" w:pos="1080" w:leader="none"/>
        </w:tabs>
        <w:spacing w:before="0" w:after="0"/>
        <w:ind w:firstLine="567"/>
        <w:contextualSpacing/>
        <w:jc w:val="both"/>
        <w:rPr/>
      </w:pPr>
      <w:r>
        <w:rPr/>
        <w:t xml:space="preserve">При учете командировочных расходов стоимость проезда (авиа-, ж/д, …) и проживания определяется Методом анализа ТКП в соответствии с Методикой формирования плановой цены на закупаемую продукцию для организаций Группы РусГидро (далее – Методика ПЦ) </w:t>
      </w:r>
      <w:r>
        <w:rPr>
          <w:b/>
          <w:color w:val="FF0000"/>
        </w:rPr>
        <w:t>(включить соответствующие требования Методики ПЦ отдельным приложением)</w:t>
      </w:r>
      <w:r>
        <w:rPr/>
        <w:t>.</w:t>
      </w:r>
    </w:p>
    <w:p>
      <w:pPr>
        <w:pStyle w:val="ListParagraph"/>
        <w:tabs>
          <w:tab w:val="clear" w:pos="708"/>
          <w:tab w:val="left" w:pos="567" w:leader="none"/>
          <w:tab w:val="left" w:pos="993" w:leader="none"/>
          <w:tab w:val="left" w:pos="1080" w:leader="none"/>
        </w:tabs>
        <w:ind w:left="0" w:firstLine="567"/>
        <w:jc w:val="both"/>
        <w:rPr/>
      </w:pPr>
      <w:r>
        <w:rPr/>
        <w:t>При наличии командировочных расходов необходимо составлять общий реестр стоимости проездных билетов с разбивкой по сметам, к которым они относятся.</w:t>
      </w:r>
    </w:p>
    <w:p>
      <w:pPr>
        <w:pStyle w:val="ListParagraph"/>
        <w:tabs>
          <w:tab w:val="clear" w:pos="708"/>
          <w:tab w:val="left" w:pos="1080" w:leader="none"/>
        </w:tabs>
        <w:ind w:left="993" w:firstLine="720"/>
        <w:jc w:val="both"/>
        <w:rPr/>
      </w:pPr>
      <w:r>
        <w:rPr/>
      </w:r>
    </w:p>
    <w:p>
      <w:pPr>
        <w:pStyle w:val="ListParagraph"/>
        <w:tabs>
          <w:tab w:val="clear" w:pos="708"/>
          <w:tab w:val="left" w:pos="1080" w:leader="none"/>
        </w:tabs>
        <w:ind w:left="993" w:firstLine="720"/>
        <w:jc w:val="both"/>
        <w:rPr/>
      </w:pPr>
      <w:r>
        <w:rPr/>
      </w:r>
    </w:p>
    <w:p>
      <w:pPr>
        <w:pStyle w:val="ListParagraph"/>
        <w:tabs>
          <w:tab w:val="clear" w:pos="708"/>
          <w:tab w:val="left" w:pos="1080" w:leader="none"/>
        </w:tabs>
        <w:ind w:left="993" w:firstLine="720"/>
        <w:jc w:val="both"/>
        <w:rPr/>
      </w:pPr>
      <w:r>
        <w:rPr/>
      </w:r>
    </w:p>
    <w:p>
      <w:pPr>
        <w:pStyle w:val="ListParagraph"/>
        <w:tabs>
          <w:tab w:val="clear" w:pos="708"/>
          <w:tab w:val="left" w:pos="1080" w:leader="none"/>
        </w:tabs>
        <w:ind w:left="993" w:firstLine="720"/>
        <w:jc w:val="both"/>
        <w:rPr/>
      </w:pPr>
      <w:r>
        <w:rPr/>
      </w:r>
    </w:p>
    <w:p>
      <w:pPr>
        <w:pStyle w:val="ListParagraph"/>
        <w:tabs>
          <w:tab w:val="clear" w:pos="708"/>
          <w:tab w:val="left" w:pos="1080" w:leader="none"/>
        </w:tabs>
        <w:ind w:left="993" w:firstLine="720"/>
        <w:jc w:val="both"/>
        <w:rPr/>
      </w:pPr>
      <w:r>
        <w:rPr/>
      </w:r>
    </w:p>
    <w:p>
      <w:pPr>
        <w:pStyle w:val="ListParagraph"/>
        <w:tabs>
          <w:tab w:val="clear" w:pos="708"/>
          <w:tab w:val="left" w:pos="1080" w:leader="none"/>
        </w:tabs>
        <w:ind w:left="993" w:firstLine="720"/>
        <w:jc w:val="both"/>
        <w:rPr/>
      </w:pPr>
      <w:r>
        <w:rPr/>
      </w:r>
    </w:p>
    <w:p>
      <w:pPr>
        <w:pStyle w:val="ListParagraph"/>
        <w:tabs>
          <w:tab w:val="clear" w:pos="708"/>
          <w:tab w:val="left" w:pos="1080" w:leader="none"/>
        </w:tabs>
        <w:ind w:left="993" w:firstLine="720"/>
        <w:jc w:val="both"/>
        <w:rPr/>
      </w:pPr>
      <w:r>
        <w:rPr/>
      </w:r>
    </w:p>
    <w:p>
      <w:pPr>
        <w:pStyle w:val="ListParagraph"/>
        <w:tabs>
          <w:tab w:val="clear" w:pos="708"/>
          <w:tab w:val="left" w:pos="1080" w:leader="none"/>
        </w:tabs>
        <w:ind w:left="993" w:firstLine="720"/>
        <w:jc w:val="both"/>
        <w:rPr/>
      </w:pPr>
      <w:r>
        <w:rPr/>
      </w:r>
    </w:p>
    <w:p>
      <w:pPr>
        <w:pStyle w:val="ListParagraph"/>
        <w:tabs>
          <w:tab w:val="clear" w:pos="708"/>
          <w:tab w:val="left" w:pos="1080" w:leader="none"/>
        </w:tabs>
        <w:ind w:left="993" w:firstLine="720"/>
        <w:jc w:val="both"/>
        <w:rPr/>
      </w:pPr>
      <w:r>
        <w:rPr/>
      </w:r>
    </w:p>
    <w:p>
      <w:pPr>
        <w:pStyle w:val="ListParagraph"/>
        <w:tabs>
          <w:tab w:val="clear" w:pos="708"/>
          <w:tab w:val="left" w:pos="1080" w:leader="none"/>
        </w:tabs>
        <w:ind w:left="993" w:firstLine="720"/>
        <w:jc w:val="both"/>
        <w:rPr/>
      </w:pPr>
      <w:r>
        <w:rPr/>
      </w:r>
    </w:p>
    <w:p>
      <w:pPr>
        <w:pStyle w:val="ListParagraph"/>
        <w:tabs>
          <w:tab w:val="clear" w:pos="708"/>
          <w:tab w:val="left" w:pos="1080" w:leader="none"/>
        </w:tabs>
        <w:ind w:left="993" w:firstLine="720"/>
        <w:jc w:val="both"/>
        <w:rPr/>
      </w:pPr>
      <w:r>
        <w:rPr/>
      </w:r>
    </w:p>
    <w:p>
      <w:pPr>
        <w:pStyle w:val="ListParagraph"/>
        <w:tabs>
          <w:tab w:val="clear" w:pos="708"/>
          <w:tab w:val="left" w:pos="1080" w:leader="none"/>
        </w:tabs>
        <w:ind w:left="993" w:firstLine="720"/>
        <w:jc w:val="both"/>
        <w:rPr/>
      </w:pPr>
      <w:r>
        <w:rPr/>
      </w:r>
    </w:p>
    <w:p>
      <w:pPr>
        <w:pStyle w:val="ListParagraph"/>
        <w:tabs>
          <w:tab w:val="clear" w:pos="708"/>
          <w:tab w:val="left" w:pos="1080" w:leader="none"/>
        </w:tabs>
        <w:ind w:left="993" w:firstLine="720"/>
        <w:jc w:val="both"/>
        <w:rPr/>
      </w:pPr>
      <w:r>
        <w:rPr/>
      </w:r>
    </w:p>
    <w:p>
      <w:pPr>
        <w:pStyle w:val="Normal"/>
        <w:jc w:val="right"/>
        <w:rPr>
          <w:sz w:val="20"/>
        </w:rPr>
      </w:pPr>
      <w:r>
        <w:rPr>
          <w:sz w:val="20"/>
        </w:rPr>
        <w:t>Приложение №1</w:t>
      </w:r>
    </w:p>
    <w:p>
      <w:pPr>
        <w:pStyle w:val="Normal"/>
        <w:jc w:val="right"/>
        <w:rPr>
          <w:sz w:val="20"/>
        </w:rPr>
      </w:pPr>
      <w:r>
        <w:rPr>
          <w:sz w:val="20"/>
        </w:rPr>
        <w:t>к пояснительной записке по заполнению формы 3П</w:t>
      </w:r>
    </w:p>
    <w:p>
      <w:pPr>
        <w:pStyle w:val="Normal"/>
        <w:jc w:val="center"/>
        <w:rPr>
          <w:b/>
        </w:rPr>
      </w:pPr>
      <w:r>
        <w:rPr>
          <w:b/>
        </w:rPr>
      </w:r>
    </w:p>
    <w:p>
      <w:pPr>
        <w:pStyle w:val="Normal"/>
        <w:jc w:val="center"/>
        <w:rPr>
          <w:b/>
        </w:rPr>
      </w:pPr>
      <w:r>
        <w:rPr>
          <w:b/>
        </w:rPr>
      </w:r>
    </w:p>
    <w:p>
      <w:pPr>
        <w:pStyle w:val="Normal"/>
        <w:jc w:val="center"/>
        <w:rPr>
          <w:b/>
        </w:rPr>
      </w:pPr>
      <w:r>
        <w:rPr>
          <w:b/>
        </w:rPr>
        <w:t>СПРАВКА от _______________________________(Образец)</w:t>
      </w:r>
    </w:p>
    <w:p>
      <w:pPr>
        <w:pStyle w:val="Normal"/>
        <w:rPr/>
      </w:pPr>
      <w:r>
        <w:rPr/>
        <w:t>Настоящим (краткое/полное наименование организации подрядчика/контрагента) сообщает о том, что средняя оплата труда специалистов за рабочий день составляет:</w:t>
      </w:r>
    </w:p>
    <w:p>
      <w:pPr>
        <w:pStyle w:val="Normal"/>
        <w:rPr/>
      </w:pPr>
      <w:r>
        <w:rPr/>
      </w:r>
    </w:p>
    <w:tbl>
      <w:tblPr>
        <w:tblW w:w="8793" w:type="dxa"/>
        <w:jc w:val="left"/>
        <w:tblInd w:w="93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1747"/>
        <w:gridCol w:w="3942"/>
        <w:gridCol w:w="3104"/>
      </w:tblGrid>
      <w:tr>
        <w:trPr>
          <w:trHeight w:val="325" w:hRule="atLeast"/>
        </w:trPr>
        <w:tc>
          <w:tcPr>
            <w:tcW w:w="17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№ </w:t>
            </w:r>
            <w:r>
              <w:rPr>
                <w:color w:val="000000"/>
              </w:rPr>
              <w:t>п/п</w:t>
            </w:r>
          </w:p>
        </w:tc>
        <w:tc>
          <w:tcPr>
            <w:tcW w:w="394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Должность специалиста</w:t>
            </w:r>
          </w:p>
        </w:tc>
        <w:tc>
          <w:tcPr>
            <w:tcW w:w="310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Заработная плата в день, в руб.</w:t>
            </w:r>
          </w:p>
        </w:tc>
      </w:tr>
      <w:tr>
        <w:trPr>
          <w:trHeight w:val="630" w:hRule="atLeast"/>
        </w:trPr>
        <w:tc>
          <w:tcPr>
            <w:tcW w:w="17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394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(указать должность)</w:t>
            </w:r>
          </w:p>
        </w:tc>
        <w:tc>
          <w:tcPr>
            <w:tcW w:w="31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>
        <w:trPr>
          <w:trHeight w:val="581" w:hRule="atLeast"/>
        </w:trPr>
        <w:tc>
          <w:tcPr>
            <w:tcW w:w="17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394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(указать должность)</w:t>
            </w:r>
          </w:p>
        </w:tc>
        <w:tc>
          <w:tcPr>
            <w:tcW w:w="31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  <w:tr>
        <w:trPr>
          <w:trHeight w:val="634" w:hRule="atLeast"/>
        </w:trPr>
        <w:tc>
          <w:tcPr>
            <w:tcW w:w="174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3942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/>
              <w:t>(указать должность)</w:t>
            </w:r>
          </w:p>
        </w:tc>
        <w:tc>
          <w:tcPr>
            <w:tcW w:w="3104" w:type="dxa"/>
            <w:tcBorders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color w:val="000000"/>
              </w:rPr>
            </w:pPr>
            <w:r>
              <w:rPr>
                <w:color w:val="000000"/>
              </w:rPr>
              <w:t>-</w:t>
            </w:r>
          </w:p>
        </w:tc>
      </w:tr>
    </w:tbl>
    <w:p>
      <w:pPr>
        <w:pStyle w:val="Normal"/>
        <w:rPr/>
      </w:pPr>
      <w:r>
        <w:rPr/>
        <w:tab/>
      </w:r>
    </w:p>
    <w:p>
      <w:pPr>
        <w:pStyle w:val="Normal"/>
        <w:rPr/>
      </w:pPr>
      <w:r>
        <w:rPr/>
        <w:t>Доля заработной платы в себестоимости работ, выполняемых собственными /силами____ (%)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Рентабельность предприятия_______ (%)</w:t>
      </w:r>
    </w:p>
    <w:p>
      <w:pPr>
        <w:pStyle w:val="Normal"/>
        <w:rPr>
          <w:b/>
        </w:rPr>
      </w:pPr>
      <w:r>
        <w:rPr>
          <w:b/>
        </w:rPr>
      </w:r>
    </w:p>
    <w:p>
      <w:pPr>
        <w:pStyle w:val="Normal"/>
        <w:rPr>
          <w:b/>
        </w:rPr>
      </w:pPr>
      <w:r>
        <w:rPr>
          <w:b/>
        </w:rPr>
      </w:r>
    </w:p>
    <w:p>
      <w:pPr>
        <w:pStyle w:val="Normal"/>
        <w:jc w:val="both"/>
        <w:rPr/>
      </w:pPr>
      <w:r>
        <w:rPr/>
        <w:t>(Должность единоличного исполнительного органа контрагента/подрядчика)</w:t>
        <w:tab/>
        <w:tab/>
      </w:r>
    </w:p>
    <w:p>
      <w:pPr>
        <w:pStyle w:val="Normal"/>
        <w:jc w:val="both"/>
        <w:rPr/>
      </w:pPr>
      <w:r>
        <w:rPr/>
        <w:t>(краткое/полное наименование организации) ________________ (ФИО)</w:t>
      </w:r>
    </w:p>
    <w:p>
      <w:pPr>
        <w:pStyle w:val="Normal"/>
        <w:jc w:val="both"/>
        <w:rPr/>
      </w:pPr>
      <w:r>
        <w:rPr/>
        <w:t>м.п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(Главный бухгалтер)</w:t>
      </w:r>
      <w:r>
        <w:rPr>
          <w:rStyle w:val="FootnoteReference"/>
        </w:rPr>
        <w:footnoteReference w:id="2"/>
      </w:r>
      <w:r>
        <w:rPr/>
        <w:tab/>
        <w:tab/>
      </w:r>
    </w:p>
    <w:p>
      <w:pPr>
        <w:pStyle w:val="Normal"/>
        <w:jc w:val="both"/>
        <w:rPr/>
      </w:pPr>
      <w:r>
        <w:rPr/>
        <w:t>(краткое/полное наименование организации контрагента/подрядчика)________________ (ФИО)</w:t>
      </w:r>
    </w:p>
    <w:p>
      <w:pPr>
        <w:pStyle w:val="Normal"/>
        <w:jc w:val="both"/>
        <w:rPr/>
      </w:pPr>
      <w:r>
        <w:rPr/>
      </w:r>
    </w:p>
    <w:p>
      <w:pPr>
        <w:sectPr>
          <w:headerReference w:type="default" r:id="rId11"/>
          <w:headerReference w:type="first" r:id="rId12"/>
          <w:footnotePr>
            <w:numFmt w:val="decimal"/>
            <w:numRestart w:val="eachPage"/>
          </w:footnotePr>
          <w:type w:val="nextPage"/>
          <w:pgSz w:w="11906" w:h="16838"/>
          <w:pgMar w:left="1304" w:right="924" w:gutter="0" w:header="709" w:top="851" w:footer="0" w:bottom="720"/>
          <w:pgNumType w:fmt="decimal"/>
          <w:formProt w:val="false"/>
          <w:textDirection w:val="lrTb"/>
          <w:docGrid w:type="default" w:linePitch="360" w:charSpace="0"/>
        </w:sectPr>
        <w:pStyle w:val="Normal"/>
        <w:jc w:val="both"/>
        <w:rPr/>
      </w:pPr>
      <w:r>
        <w:rPr/>
        <w:t>м.п</w:t>
      </w:r>
    </w:p>
    <w:p>
      <w:pPr>
        <w:pStyle w:val="Normal"/>
        <w:ind w:left="5670" w:firstLine="720"/>
        <w:rPr>
          <w:sz w:val="20"/>
        </w:rPr>
      </w:pPr>
      <w:r>
        <w:rPr>
          <w:sz w:val="20"/>
        </w:rPr>
        <w:t>Приложение № 2</w:t>
      </w:r>
    </w:p>
    <w:p>
      <w:pPr>
        <w:pStyle w:val="Normal"/>
        <w:tabs>
          <w:tab w:val="clear" w:pos="708"/>
          <w:tab w:val="left" w:pos="1080" w:leader="none"/>
        </w:tabs>
        <w:ind w:left="5670" w:hanging="0"/>
        <w:jc w:val="both"/>
        <w:rPr>
          <w:sz w:val="20"/>
        </w:rPr>
      </w:pPr>
      <w:r>
        <w:rPr>
          <w:sz w:val="20"/>
        </w:rPr>
        <w:t>к Требованиям к оформлению и составлению смет или расчетов на выполнение услуг по программе НИР/НИОКР</w:t>
      </w:r>
    </w:p>
    <w:p>
      <w:pPr>
        <w:pStyle w:val="Normal"/>
        <w:tabs>
          <w:tab w:val="clear" w:pos="708"/>
          <w:tab w:val="left" w:pos="1080" w:leader="none"/>
        </w:tabs>
        <w:ind w:left="5670" w:hanging="0"/>
        <w:jc w:val="both"/>
        <w:rPr/>
      </w:pPr>
      <w:r>
        <w:rPr/>
      </w:r>
    </w:p>
    <w:p>
      <w:pPr>
        <w:pStyle w:val="Normal"/>
        <w:shd w:val="clear" w:color="auto" w:fill="FFFFFF"/>
        <w:ind w:left="720" w:firstLine="284"/>
        <w:jc w:val="center"/>
        <w:rPr>
          <w:b/>
          <w:bCs/>
          <w:iCs/>
          <w:spacing w:val="-4"/>
        </w:rPr>
      </w:pPr>
      <w:r>
        <w:rPr>
          <w:b/>
          <w:bCs/>
          <w:iCs/>
          <w:spacing w:val="-4"/>
        </w:rPr>
        <w:t>Образцы оформления сметной документации на НИР/НИОКР</w:t>
      </w:r>
    </w:p>
    <w:p>
      <w:pPr>
        <w:pStyle w:val="Normal"/>
        <w:shd w:val="clear" w:color="auto" w:fill="FFFFFF"/>
        <w:ind w:left="720" w:firstLine="284"/>
        <w:jc w:val="center"/>
        <w:rPr>
          <w:b/>
          <w:bCs/>
          <w:iCs/>
          <w:spacing w:val="-4"/>
          <w:sz w:val="24"/>
          <w:szCs w:val="24"/>
        </w:rPr>
      </w:pPr>
      <w:r>
        <w:rPr>
          <w:b/>
          <w:bCs/>
          <w:iCs/>
          <w:spacing w:val="-4"/>
          <w:sz w:val="24"/>
          <w:szCs w:val="24"/>
        </w:rPr>
      </w:r>
    </w:p>
    <w:p>
      <w:pPr>
        <w:pStyle w:val="Normal"/>
        <w:shd w:val="clear" w:color="auto" w:fill="FFFFFF"/>
        <w:ind w:left="284" w:hanging="0"/>
        <w:rPr>
          <w:b/>
        </w:rPr>
      </w:pPr>
      <w:r>
        <w:rPr>
          <w:b/>
        </w:rPr>
        <w:t>Образец 2П</w:t>
      </w:r>
    </w:p>
    <w:tbl>
      <w:tblPr>
        <w:tblW w:w="9570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9570"/>
      </w:tblGrid>
      <w:tr>
        <w:trPr/>
        <w:tc>
          <w:tcPr>
            <w:tcW w:w="9570" w:type="dxa"/>
            <w:tcBorders/>
          </w:tcPr>
          <w:p>
            <w:pPr>
              <w:pStyle w:val="Normal"/>
              <w:widowControl w:val="false"/>
              <w:shd w:val="clear" w:color="auto" w:fill="FFFFFF"/>
              <w:ind w:left="5530" w:hanging="0"/>
              <w:rPr>
                <w:sz w:val="20"/>
                <w:szCs w:val="20"/>
              </w:rPr>
            </w:pPr>
            <w:r>
              <w:rPr>
                <w:sz w:val="20"/>
              </w:rPr>
              <w:t>Приложение №_____</w:t>
            </w:r>
          </w:p>
          <w:p>
            <w:pPr>
              <w:pStyle w:val="Normal"/>
              <w:widowControl w:val="false"/>
              <w:shd w:val="clear" w:color="auto" w:fill="FFFFFF"/>
              <w:ind w:left="5530" w:hanging="0"/>
              <w:rPr>
                <w:sz w:val="20"/>
              </w:rPr>
            </w:pPr>
            <w:r>
              <w:rPr>
                <w:sz w:val="20"/>
              </w:rPr>
              <w:t>к договору, дополнительному соглашению</w:t>
            </w:r>
            <w:r>
              <w:rPr>
                <w:sz w:val="20"/>
                <w:szCs w:val="20"/>
              </w:rPr>
              <w:t xml:space="preserve"> №____от _______</w:t>
            </w:r>
          </w:p>
          <w:p>
            <w:pPr>
              <w:pStyle w:val="Normal"/>
              <w:widowControl w:val="false"/>
              <w:shd w:val="clear" w:color="auto" w:fill="FFFFFF"/>
              <w:ind w:left="3829" w:hanging="0"/>
              <w:rPr/>
            </w:pPr>
            <w:r>
              <w:rPr/>
            </w:r>
          </w:p>
          <w:tbl>
            <w:tblPr>
              <w:tblW w:w="9354" w:type="dxa"/>
              <w:jc w:val="left"/>
              <w:tblInd w:w="0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 w:noHBand="0" w:noVBand="1" w:firstColumn="1" w:lastRow="0" w:lastColumn="0" w:firstRow="1"/>
            </w:tblPr>
            <w:tblGrid>
              <w:gridCol w:w="4376"/>
              <w:gridCol w:w="4977"/>
            </w:tblGrid>
            <w:tr>
              <w:trPr>
                <w:trHeight w:val="417" w:hRule="atLeast"/>
              </w:trPr>
              <w:tc>
                <w:tcPr>
                  <w:tcW w:w="4376" w:type="dxa"/>
                  <w:tcBorders/>
                  <w:vAlign w:val="bottom"/>
                </w:tcPr>
                <w:p>
                  <w:pPr>
                    <w:pStyle w:val="Normal"/>
                    <w:widowControl w:val="false"/>
                    <w:rPr/>
                  </w:pPr>
                  <w:r>
                    <w:rPr>
                      <w:b/>
                      <w:bCs/>
                    </w:rPr>
                    <w:t>СОГЛАСОВАНО:</w:t>
                  </w:r>
                </w:p>
                <w:p>
                  <w:pPr>
                    <w:pStyle w:val="Normal"/>
                    <w:widowControl w:val="false"/>
                    <w:rPr>
                      <w:sz w:val="20"/>
                      <w:szCs w:val="20"/>
                    </w:rPr>
                  </w:pPr>
                  <w:r>
                    <w:rPr/>
                    <w:t>_________________(</w:t>
                  </w:r>
                  <w:r>
                    <w:rPr>
                      <w:sz w:val="20"/>
                      <w:szCs w:val="20"/>
                    </w:rPr>
                    <w:t>Подрядчик)</w:t>
                  </w:r>
                </w:p>
                <w:p>
                  <w:pPr>
                    <w:pStyle w:val="Normal"/>
                    <w:widowControl w:val="false"/>
                    <w:rPr/>
                  </w:pPr>
                  <w:r>
                    <w:rPr/>
                    <w:t>_________________Ф.И.О.</w:t>
                  </w:r>
                </w:p>
                <w:p>
                  <w:pPr>
                    <w:pStyle w:val="Normal"/>
                    <w:widowControl w:val="false"/>
                    <w:rPr/>
                  </w:pPr>
                  <w:r>
                    <w:rPr/>
                  </w:r>
                </w:p>
              </w:tc>
              <w:tc>
                <w:tcPr>
                  <w:tcW w:w="4977" w:type="dxa"/>
                  <w:tcBorders/>
                </w:tcPr>
                <w:p>
                  <w:pPr>
                    <w:pStyle w:val="Normal"/>
                    <w:widowControl w:val="false"/>
                    <w:ind w:left="1460" w:hanging="0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УТВЕРЖДАЮ:</w:t>
                  </w:r>
                </w:p>
                <w:p>
                  <w:pPr>
                    <w:pStyle w:val="Normal"/>
                    <w:widowControl w:val="false"/>
                    <w:ind w:left="1460" w:hanging="0"/>
                    <w:rPr>
                      <w:bCs/>
                    </w:rPr>
                  </w:pPr>
                  <w:r>
                    <w:rPr>
                      <w:bCs/>
                    </w:rPr>
                    <w:t>_________________(</w:t>
                  </w:r>
                  <w:r>
                    <w:rPr>
                      <w:bCs/>
                      <w:sz w:val="20"/>
                      <w:szCs w:val="20"/>
                    </w:rPr>
                    <w:t>Заказчик)</w:t>
                  </w:r>
                </w:p>
                <w:p>
                  <w:pPr>
                    <w:pStyle w:val="Normal"/>
                    <w:widowControl w:val="false"/>
                    <w:ind w:left="1460" w:hanging="0"/>
                    <w:rPr/>
                  </w:pPr>
                  <w:r>
                    <w:rPr/>
                    <w:t>_________________Ф.И.О.</w:t>
                  </w:r>
                </w:p>
                <w:p>
                  <w:pPr>
                    <w:pStyle w:val="Normal"/>
                    <w:widowControl w:val="false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</w:r>
                </w:p>
              </w:tc>
            </w:tr>
          </w:tbl>
          <w:p>
            <w:pPr>
              <w:pStyle w:val="Normal"/>
              <w:widowControl w:val="false"/>
              <w:shd w:val="clear" w:color="auto" w:fill="FFFFFF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СМЕТА № </w:t>
              <w:br/>
              <w:t>на научно-исследовательские работы (НИР/НИОКР)</w:t>
            </w:r>
          </w:p>
          <w:p>
            <w:pPr>
              <w:pStyle w:val="Normal"/>
              <w:widowControl w:val="false"/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widowControl w:val="false"/>
              <w:shd w:val="clear" w:color="auto" w:fill="FFFFFF"/>
              <w:rPr/>
            </w:pPr>
            <w:r>
              <w:rPr/>
              <w:t>Наименование предприятия, здания, сооружения, стадии проектирования, этапа, вида</w:t>
            </w:r>
          </w:p>
          <w:p>
            <w:pPr>
              <w:pStyle w:val="Normal"/>
              <w:widowControl w:val="false"/>
              <w:shd w:val="clear" w:color="auto" w:fill="FFFFFF"/>
              <w:rPr/>
            </w:pPr>
            <w:r>
              <w:rPr/>
              <w:t>НИР/НИОКР___________________________________________________________</w:t>
            </w:r>
          </w:p>
          <w:p>
            <w:pPr>
              <w:pStyle w:val="Normal"/>
              <w:widowControl w:val="false"/>
              <w:shd w:val="clear" w:color="auto" w:fill="FFFFFF"/>
              <w:rPr/>
            </w:pPr>
            <w:r>
              <w:rPr/>
              <w:t>__________________________________________________________________</w:t>
            </w:r>
          </w:p>
          <w:p>
            <w:pPr>
              <w:pStyle w:val="Normal"/>
              <w:widowControl w:val="false"/>
              <w:shd w:val="clear" w:color="auto" w:fill="FFFFFF"/>
              <w:rPr/>
            </w:pPr>
            <w:r>
              <w:rPr/>
              <w:t>Наименование подрядной организации_________________________________</w:t>
            </w:r>
          </w:p>
          <w:p>
            <w:pPr>
              <w:pStyle w:val="Normal"/>
              <w:widowControl w:val="false"/>
              <w:shd w:val="clear" w:color="auto" w:fill="FFFFFF"/>
              <w:rPr/>
            </w:pPr>
            <w:r>
              <w:rPr/>
              <w:t>__________________________________________________________________</w:t>
            </w:r>
          </w:p>
          <w:p>
            <w:pPr>
              <w:pStyle w:val="Normal"/>
              <w:widowControl w:val="false"/>
              <w:pBdr>
                <w:bottom w:val="single" w:sz="12" w:space="1" w:color="000000"/>
              </w:pBdr>
              <w:shd w:val="clear" w:color="auto" w:fill="FFFFFF"/>
              <w:rPr/>
            </w:pPr>
            <w:r>
              <w:rPr/>
              <w:t>Наименование организации заказчика_________________________________</w:t>
            </w:r>
          </w:p>
          <w:p>
            <w:pPr>
              <w:pStyle w:val="Normal"/>
              <w:widowControl w:val="false"/>
              <w:shd w:val="clear" w:color="auto" w:fill="FFFFFF"/>
              <w:rPr/>
            </w:pPr>
            <w:r>
              <w:rPr/>
            </w:r>
          </w:p>
          <w:p>
            <w:pPr>
              <w:pStyle w:val="Normal"/>
              <w:widowControl w:val="false"/>
              <w:shd w:val="clear" w:color="auto" w:fill="FFFFFF"/>
              <w:rPr/>
            </w:pPr>
            <w:r>
              <w:rPr/>
              <w:t xml:space="preserve"> </w:t>
            </w:r>
            <w:r>
              <w:rPr/>
              <w:t>Составлена в текущих ценах, соответствующих периоду выполнения работ по договору</w:t>
            </w:r>
          </w:p>
          <w:p>
            <w:pPr>
              <w:pStyle w:val="Normal"/>
              <w:widowControl w:val="false"/>
              <w:shd w:val="clear" w:color="auto" w:fill="FFFFFF"/>
              <w:jc w:val="right"/>
              <w:rPr/>
            </w:pPr>
            <w:r>
              <w:rPr/>
              <w:t>руб.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0" w:type="dxa"/>
                <w:left w:w="28" w:type="dxa"/>
                <w:bottom w:w="0" w:type="dxa"/>
                <w:right w:w="28" w:type="dxa"/>
              </w:tblCellMar>
              <w:tblLook w:val="04a0" w:noHBand="0" w:noVBand="1" w:firstColumn="1" w:lastRow="0" w:lastColumn="0" w:firstRow="1"/>
            </w:tblPr>
            <w:tblGrid>
              <w:gridCol w:w="578"/>
              <w:gridCol w:w="2042"/>
              <w:gridCol w:w="3229"/>
              <w:gridCol w:w="2401"/>
              <w:gridCol w:w="1104"/>
            </w:tblGrid>
            <w:tr>
              <w:trPr>
                <w:tblHeader w:val="true"/>
              </w:trPr>
              <w:tc>
                <w:tcPr>
                  <w:tcW w:w="578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2" w:space="0" w:color="000000"/>
                  </w:tcBorders>
                  <w:shd w:color="auto" w:fill="FFFFFF" w:val="clear"/>
                  <w:vAlign w:val="center"/>
                </w:tcPr>
                <w:p>
                  <w:pPr>
                    <w:pStyle w:val="Normal"/>
                    <w:widowControl w:val="false"/>
                    <w:shd w:val="clear" w:color="auto" w:fill="FFFFFF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№ </w:t>
                  </w:r>
                  <w:r>
                    <w:rPr>
                      <w:sz w:val="20"/>
                    </w:rPr>
                    <w:t>пп</w:t>
                  </w:r>
                </w:p>
              </w:tc>
              <w:tc>
                <w:tcPr>
                  <w:tcW w:w="2042" w:type="dxa"/>
                  <w:vMerge w:val="restart"/>
                  <w:tcBorders>
                    <w:top w:val="single" w:sz="6" w:space="0" w:color="000000"/>
                    <w:left w:val="single" w:sz="2" w:space="0" w:color="000000"/>
                    <w:bottom w:val="single" w:sz="6" w:space="0" w:color="000000"/>
                    <w:right w:val="single" w:sz="2" w:space="0" w:color="000000"/>
                  </w:tcBorders>
                  <w:shd w:color="auto" w:fill="FFFFFF" w:val="clear"/>
                  <w:vAlign w:val="center"/>
                </w:tcPr>
                <w:p>
                  <w:pPr>
                    <w:pStyle w:val="Normal"/>
                    <w:widowControl w:val="false"/>
                    <w:shd w:val="clear" w:color="auto" w:fill="FFFFFF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Характеристика предприятия, здания, сооружения или виды работ</w:t>
                  </w:r>
                </w:p>
              </w:tc>
              <w:tc>
                <w:tcPr>
                  <w:tcW w:w="3229" w:type="dxa"/>
                  <w:vMerge w:val="restart"/>
                  <w:tcBorders>
                    <w:top w:val="single" w:sz="6" w:space="0" w:color="000000"/>
                    <w:left w:val="single" w:sz="2" w:space="0" w:color="000000"/>
                    <w:bottom w:val="single" w:sz="6" w:space="0" w:color="000000"/>
                    <w:right w:val="single" w:sz="2" w:space="0" w:color="000000"/>
                  </w:tcBorders>
                  <w:shd w:color="auto" w:fill="FFFFFF" w:val="clear"/>
                  <w:vAlign w:val="center"/>
                </w:tcPr>
                <w:p>
                  <w:pPr>
                    <w:pStyle w:val="Normal"/>
                    <w:widowControl w:val="false"/>
                    <w:shd w:val="clear" w:color="auto" w:fill="FFFFFF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Номер частей, глав, таблиц, процентов, параграфов и пунктов указаний к разделу Справочника базовых цен на проектные и изыскательские работы для строительства</w:t>
                  </w:r>
                </w:p>
              </w:tc>
              <w:tc>
                <w:tcPr>
                  <w:tcW w:w="2401" w:type="dxa"/>
                  <w:tcBorders>
                    <w:top w:val="single" w:sz="6" w:space="0" w:color="000000"/>
                    <w:left w:val="single" w:sz="2" w:space="0" w:color="000000"/>
                    <w:bottom w:val="single" w:sz="2" w:space="0" w:color="000000"/>
                    <w:right w:val="single" w:sz="6" w:space="0" w:color="000000"/>
                  </w:tcBorders>
                  <w:shd w:color="auto" w:fill="FFFFFF" w:val="clear"/>
                  <w:vAlign w:val="center"/>
                </w:tcPr>
                <w:p>
                  <w:pPr>
                    <w:pStyle w:val="Normal"/>
                    <w:widowControl w:val="false"/>
                    <w:shd w:val="clear" w:color="auto" w:fill="FFFFFF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Расчет стоимости: </w:t>
                  </w:r>
                  <w:r>
                    <w:rPr>
                      <w:sz w:val="20"/>
                      <w:szCs w:val="20"/>
                    </w:rPr>
                    <w:br/>
                  </w:r>
                  <w:r>
                    <w:rPr>
                      <w:sz w:val="20"/>
                    </w:rPr>
                    <w:t xml:space="preserve">(a + bx) </w:t>
                  </w:r>
                  <w:r>
                    <w:rPr>
                      <w:rFonts w:eastAsia="Symbol" w:cs="Symbol" w:ascii="Symbol" w:hAnsi="Symbol"/>
                      <w:sz w:val="20"/>
                    </w:rPr>
                    <w:sym w:font="Symbol" w:char="f0b4"/>
                  </w:r>
                  <w:r>
                    <w:rPr>
                      <w:sz w:val="20"/>
                    </w:rPr>
                    <w:t xml:space="preserve"> K</w:t>
                  </w:r>
                  <w:r>
                    <w:rPr>
                      <w:sz w:val="20"/>
                      <w:vertAlign w:val="subscript"/>
                    </w:rPr>
                    <w:t>i</w:t>
                  </w:r>
                  <w:r>
                    <w:rPr>
                      <w:sz w:val="20"/>
                    </w:rPr>
                    <w:t xml:space="preserve">, или (объем строительно-монтажных работ) </w:t>
                  </w:r>
                  <w:r>
                    <w:rPr>
                      <w:rFonts w:eastAsia="Symbol" w:cs="Symbol" w:ascii="Symbol" w:hAnsi="Symbol"/>
                      <w:sz w:val="20"/>
                    </w:rPr>
                    <w:sym w:font="Symbol" w:char="f0b4"/>
                  </w:r>
                  <w:r>
                    <w:rPr>
                      <w:sz w:val="20"/>
                    </w:rPr>
                    <w:t xml:space="preserve"> проц.</w:t>
                  </w:r>
                </w:p>
              </w:tc>
              <w:tc>
                <w:tcPr>
                  <w:tcW w:w="1104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color="auto" w:fill="FFFFFF" w:val="clear"/>
                  <w:vAlign w:val="center"/>
                </w:tcPr>
                <w:p>
                  <w:pPr>
                    <w:pStyle w:val="Normal"/>
                    <w:widowControl w:val="false"/>
                    <w:shd w:val="clear" w:color="auto" w:fill="FFFFFF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Стоимость</w:t>
                  </w:r>
                </w:p>
              </w:tc>
            </w:tr>
            <w:tr>
              <w:trPr>
                <w:tblHeader w:val="true"/>
              </w:trPr>
              <w:tc>
                <w:tcPr>
                  <w:tcW w:w="578" w:type="dxa"/>
                  <w:vMerge w:val="continue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2" w:space="0" w:color="000000"/>
                  </w:tcBorders>
                  <w:shd w:color="auto" w:fill="FFFFFF" w:val="clear"/>
                  <w:tcMar>
                    <w:left w:w="7" w:type="dxa"/>
                    <w:right w:w="2" w:type="dxa"/>
                  </w:tcMar>
                  <w:vAlign w:val="center"/>
                </w:tcPr>
                <w:p>
                  <w:pPr>
                    <w:pStyle w:val="Normal"/>
                    <w:widowControl w:val="false"/>
                    <w:rPr>
                      <w:sz w:val="20"/>
                    </w:rPr>
                  </w:pPr>
                  <w:r>
                    <w:rPr>
                      <w:sz w:val="20"/>
                    </w:rPr>
                  </w:r>
                </w:p>
              </w:tc>
              <w:tc>
                <w:tcPr>
                  <w:tcW w:w="2042" w:type="dxa"/>
                  <w:vMerge w:val="continue"/>
                  <w:tcBorders>
                    <w:top w:val="single" w:sz="6" w:space="0" w:color="000000"/>
                    <w:left w:val="single" w:sz="2" w:space="0" w:color="000000"/>
                    <w:bottom w:val="single" w:sz="6" w:space="0" w:color="000000"/>
                    <w:right w:val="single" w:sz="2" w:space="0" w:color="000000"/>
                  </w:tcBorders>
                  <w:shd w:color="auto" w:fill="FFFFFF" w:val="clear"/>
                  <w:tcMar>
                    <w:left w:w="7" w:type="dxa"/>
                    <w:right w:w="2" w:type="dxa"/>
                  </w:tcMar>
                  <w:vAlign w:val="center"/>
                </w:tcPr>
                <w:p>
                  <w:pPr>
                    <w:pStyle w:val="Normal"/>
                    <w:widowControl w:val="false"/>
                    <w:rPr>
                      <w:sz w:val="20"/>
                    </w:rPr>
                  </w:pPr>
                  <w:r>
                    <w:rPr>
                      <w:sz w:val="20"/>
                    </w:rPr>
                  </w:r>
                </w:p>
              </w:tc>
              <w:tc>
                <w:tcPr>
                  <w:tcW w:w="3229" w:type="dxa"/>
                  <w:vMerge w:val="continue"/>
                  <w:tcBorders>
                    <w:top w:val="single" w:sz="6" w:space="0" w:color="000000"/>
                    <w:left w:val="single" w:sz="2" w:space="0" w:color="000000"/>
                    <w:bottom w:val="single" w:sz="6" w:space="0" w:color="000000"/>
                    <w:right w:val="single" w:sz="2" w:space="0" w:color="000000"/>
                  </w:tcBorders>
                  <w:shd w:color="auto" w:fill="FFFFFF" w:val="clear"/>
                  <w:tcMar>
                    <w:left w:w="7" w:type="dxa"/>
                    <w:right w:w="2" w:type="dxa"/>
                  </w:tcMar>
                  <w:vAlign w:val="center"/>
                </w:tcPr>
                <w:p>
                  <w:pPr>
                    <w:pStyle w:val="Normal"/>
                    <w:widowControl w:val="false"/>
                    <w:rPr>
                      <w:sz w:val="20"/>
                    </w:rPr>
                  </w:pPr>
                  <w:r>
                    <w:rPr>
                      <w:sz w:val="20"/>
                    </w:rPr>
                  </w:r>
                </w:p>
              </w:tc>
              <w:tc>
                <w:tcPr>
                  <w:tcW w:w="2401" w:type="dxa"/>
                  <w:tcBorders>
                    <w:top w:val="single" w:sz="2" w:space="0" w:color="000000"/>
                    <w:left w:val="single" w:sz="2" w:space="0" w:color="000000"/>
                    <w:bottom w:val="single" w:sz="6" w:space="0" w:color="000000"/>
                    <w:right w:val="single" w:sz="6" w:space="0" w:color="000000"/>
                  </w:tcBorders>
                  <w:shd w:color="auto" w:fill="FFFFFF" w:val="clear"/>
                  <w:vAlign w:val="center"/>
                </w:tcPr>
                <w:p>
                  <w:pPr>
                    <w:pStyle w:val="Normal"/>
                    <w:widowControl w:val="false"/>
                    <w:shd w:val="clear" w:color="auto" w:fill="FFFFFF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100</w:t>
                  </w:r>
                </w:p>
                <w:p>
                  <w:pPr>
                    <w:pStyle w:val="Normal"/>
                    <w:widowControl w:val="false"/>
                    <w:shd w:val="clear" w:color="auto" w:fill="FFFFFF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или</w:t>
                  </w:r>
                </w:p>
                <w:p>
                  <w:pPr>
                    <w:pStyle w:val="Normal"/>
                    <w:widowControl w:val="false"/>
                    <w:shd w:val="clear" w:color="auto" w:fill="FFFFFF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количество </w:t>
                  </w:r>
                  <w:r>
                    <w:rPr>
                      <w:rFonts w:eastAsia="Symbol" w:cs="Symbol" w:ascii="Symbol" w:hAnsi="Symbol"/>
                      <w:sz w:val="20"/>
                    </w:rPr>
                    <w:sym w:font="Symbol" w:char="f0b4"/>
                  </w:r>
                  <w:r>
                    <w:rPr>
                      <w:sz w:val="20"/>
                    </w:rPr>
                    <w:t xml:space="preserve"> цена</w:t>
                  </w:r>
                </w:p>
              </w:tc>
              <w:tc>
                <w:tcPr>
                  <w:tcW w:w="1104" w:type="dxa"/>
                  <w:vMerge w:val="continue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color="auto" w:fill="FFFFFF" w:val="clear"/>
                  <w:tcMar>
                    <w:left w:w="7" w:type="dxa"/>
                    <w:right w:w="2" w:type="dxa"/>
                  </w:tcMar>
                  <w:vAlign w:val="center"/>
                </w:tcPr>
                <w:p>
                  <w:pPr>
                    <w:pStyle w:val="Normal"/>
                    <w:widowControl w:val="false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</w:r>
                </w:p>
              </w:tc>
            </w:tr>
            <w:tr>
              <w:trPr>
                <w:tblHeader w:val="true"/>
              </w:trPr>
              <w:tc>
                <w:tcPr>
                  <w:tcW w:w="57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2" w:space="0" w:color="000000"/>
                  </w:tcBorders>
                  <w:shd w:color="auto" w:fill="FFFFFF" w:val="clear"/>
                  <w:vAlign w:val="center"/>
                </w:tcPr>
                <w:p>
                  <w:pPr>
                    <w:pStyle w:val="Normal"/>
                    <w:widowControl w:val="false"/>
                    <w:shd w:val="clear" w:color="auto" w:fill="FFFFFF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042" w:type="dxa"/>
                  <w:tcBorders>
                    <w:top w:val="single" w:sz="6" w:space="0" w:color="000000"/>
                    <w:left w:val="single" w:sz="2" w:space="0" w:color="000000"/>
                    <w:bottom w:val="single" w:sz="6" w:space="0" w:color="000000"/>
                    <w:right w:val="single" w:sz="2" w:space="0" w:color="000000"/>
                  </w:tcBorders>
                  <w:shd w:color="auto" w:fill="FFFFFF" w:val="clear"/>
                  <w:vAlign w:val="center"/>
                </w:tcPr>
                <w:p>
                  <w:pPr>
                    <w:pStyle w:val="Normal"/>
                    <w:widowControl w:val="false"/>
                    <w:shd w:val="clear" w:color="auto" w:fill="FFFFFF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2</w:t>
                  </w:r>
                </w:p>
              </w:tc>
              <w:tc>
                <w:tcPr>
                  <w:tcW w:w="3229" w:type="dxa"/>
                  <w:tcBorders>
                    <w:top w:val="single" w:sz="6" w:space="0" w:color="000000"/>
                    <w:left w:val="single" w:sz="2" w:space="0" w:color="000000"/>
                    <w:bottom w:val="single" w:sz="6" w:space="0" w:color="000000"/>
                    <w:right w:val="single" w:sz="2" w:space="0" w:color="000000"/>
                  </w:tcBorders>
                  <w:shd w:color="auto" w:fill="FFFFFF" w:val="clear"/>
                  <w:vAlign w:val="center"/>
                </w:tcPr>
                <w:p>
                  <w:pPr>
                    <w:pStyle w:val="Normal"/>
                    <w:widowControl w:val="false"/>
                    <w:shd w:val="clear" w:color="auto" w:fill="FFFFFF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3</w:t>
                  </w:r>
                </w:p>
              </w:tc>
              <w:tc>
                <w:tcPr>
                  <w:tcW w:w="2401" w:type="dxa"/>
                  <w:tcBorders>
                    <w:top w:val="single" w:sz="6" w:space="0" w:color="000000"/>
                    <w:left w:val="single" w:sz="2" w:space="0" w:color="000000"/>
                    <w:bottom w:val="single" w:sz="6" w:space="0" w:color="000000"/>
                    <w:right w:val="single" w:sz="6" w:space="0" w:color="000000"/>
                  </w:tcBorders>
                  <w:shd w:color="auto" w:fill="FFFFFF" w:val="clear"/>
                  <w:vAlign w:val="center"/>
                </w:tcPr>
                <w:p>
                  <w:pPr>
                    <w:pStyle w:val="Normal"/>
                    <w:widowControl w:val="false"/>
                    <w:shd w:val="clear" w:color="auto" w:fill="FFFFFF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104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color="auto" w:fill="FFFFFF" w:val="clear"/>
                  <w:vAlign w:val="center"/>
                </w:tcPr>
                <w:p>
                  <w:pPr>
                    <w:pStyle w:val="Normal"/>
                    <w:widowControl w:val="false"/>
                    <w:shd w:val="clear" w:color="auto" w:fill="FFFFFF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5</w:t>
                  </w:r>
                </w:p>
              </w:tc>
            </w:tr>
            <w:tr>
              <w:trPr/>
              <w:tc>
                <w:tcPr>
                  <w:tcW w:w="578" w:type="dxa"/>
                  <w:tcBorders>
                    <w:top w:val="single" w:sz="6" w:space="0" w:color="000000"/>
                    <w:left w:val="single" w:sz="6" w:space="0" w:color="000000"/>
                    <w:bottom w:val="single" w:sz="2" w:space="0" w:color="000000"/>
                    <w:right w:val="single" w:sz="2" w:space="0" w:color="000000"/>
                  </w:tcBorders>
                  <w:shd w:color="auto" w:fill="FFFFFF" w:val="clear"/>
                  <w:vAlign w:val="center"/>
                </w:tcPr>
                <w:p>
                  <w:pPr>
                    <w:pStyle w:val="Normal"/>
                    <w:widowControl w:val="false"/>
                    <w:shd w:val="clear" w:color="auto" w:fill="FFFFFF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</w:r>
                </w:p>
              </w:tc>
              <w:tc>
                <w:tcPr>
                  <w:tcW w:w="2042" w:type="dxa"/>
                  <w:tcBorders>
                    <w:top w:val="single" w:sz="6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color="auto" w:fill="FFFFFF" w:val="clear"/>
                  <w:vAlign w:val="center"/>
                </w:tcPr>
                <w:p>
                  <w:pPr>
                    <w:pStyle w:val="Normal"/>
                    <w:widowControl w:val="false"/>
                    <w:shd w:val="clear" w:color="auto" w:fill="FFFFFF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</w:r>
                </w:p>
              </w:tc>
              <w:tc>
                <w:tcPr>
                  <w:tcW w:w="3229" w:type="dxa"/>
                  <w:tcBorders>
                    <w:top w:val="single" w:sz="6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color="auto" w:fill="FFFFFF" w:val="clear"/>
                  <w:vAlign w:val="center"/>
                </w:tcPr>
                <w:p>
                  <w:pPr>
                    <w:pStyle w:val="Normal"/>
                    <w:widowControl w:val="false"/>
                    <w:shd w:val="clear" w:color="auto" w:fill="FFFFFF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</w:r>
                </w:p>
              </w:tc>
              <w:tc>
                <w:tcPr>
                  <w:tcW w:w="2401" w:type="dxa"/>
                  <w:tcBorders>
                    <w:top w:val="single" w:sz="6" w:space="0" w:color="000000"/>
                    <w:left w:val="single" w:sz="2" w:space="0" w:color="000000"/>
                    <w:bottom w:val="single" w:sz="2" w:space="0" w:color="000000"/>
                    <w:right w:val="single" w:sz="6" w:space="0" w:color="000000"/>
                  </w:tcBorders>
                  <w:shd w:color="auto" w:fill="FFFFFF" w:val="clear"/>
                  <w:vAlign w:val="center"/>
                </w:tcPr>
                <w:p>
                  <w:pPr>
                    <w:pStyle w:val="Normal"/>
                    <w:widowControl w:val="false"/>
                    <w:shd w:val="clear" w:color="auto" w:fill="FFFFFF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</w:r>
                </w:p>
              </w:tc>
              <w:tc>
                <w:tcPr>
                  <w:tcW w:w="1104" w:type="dxa"/>
                  <w:tcBorders>
                    <w:top w:val="single" w:sz="6" w:space="0" w:color="000000"/>
                    <w:left w:val="single" w:sz="6" w:space="0" w:color="000000"/>
                    <w:bottom w:val="single" w:sz="2" w:space="0" w:color="000000"/>
                    <w:right w:val="single" w:sz="6" w:space="0" w:color="000000"/>
                  </w:tcBorders>
                  <w:shd w:color="auto" w:fill="FFFFFF" w:val="clear"/>
                  <w:vAlign w:val="center"/>
                </w:tcPr>
                <w:p>
                  <w:pPr>
                    <w:pStyle w:val="Normal"/>
                    <w:widowControl w:val="false"/>
                    <w:shd w:val="clear" w:color="auto" w:fill="FFFFFF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</w:r>
                </w:p>
              </w:tc>
            </w:tr>
            <w:tr>
              <w:trPr/>
              <w:tc>
                <w:tcPr>
                  <w:tcW w:w="578" w:type="dxa"/>
                  <w:tcBorders>
                    <w:top w:val="single" w:sz="2" w:space="0" w:color="000000"/>
                    <w:left w:val="single" w:sz="6" w:space="0" w:color="000000"/>
                    <w:bottom w:val="single" w:sz="6" w:space="0" w:color="000000"/>
                    <w:right w:val="single" w:sz="2" w:space="0" w:color="000000"/>
                  </w:tcBorders>
                  <w:shd w:color="auto" w:fill="FFFFFF" w:val="clear"/>
                  <w:vAlign w:val="center"/>
                </w:tcPr>
                <w:p>
                  <w:pPr>
                    <w:pStyle w:val="Normal"/>
                    <w:widowControl w:val="false"/>
                    <w:shd w:val="clear" w:color="auto" w:fill="FFFFFF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</w:r>
                </w:p>
              </w:tc>
              <w:tc>
                <w:tcPr>
                  <w:tcW w:w="2042" w:type="dxa"/>
                  <w:tcBorders>
                    <w:top w:val="single" w:sz="2" w:space="0" w:color="000000"/>
                    <w:left w:val="single" w:sz="2" w:space="0" w:color="000000"/>
                    <w:bottom w:val="single" w:sz="6" w:space="0" w:color="000000"/>
                    <w:right w:val="single" w:sz="2" w:space="0" w:color="000000"/>
                  </w:tcBorders>
                  <w:shd w:color="auto" w:fill="FFFFFF" w:val="clear"/>
                  <w:vAlign w:val="center"/>
                </w:tcPr>
                <w:p>
                  <w:pPr>
                    <w:pStyle w:val="Normal"/>
                    <w:widowControl w:val="false"/>
                    <w:shd w:val="clear" w:color="auto" w:fill="FFFFFF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</w:r>
                </w:p>
              </w:tc>
              <w:tc>
                <w:tcPr>
                  <w:tcW w:w="3229" w:type="dxa"/>
                  <w:tcBorders>
                    <w:top w:val="single" w:sz="2" w:space="0" w:color="000000"/>
                    <w:left w:val="single" w:sz="2" w:space="0" w:color="000000"/>
                    <w:bottom w:val="single" w:sz="6" w:space="0" w:color="000000"/>
                    <w:right w:val="single" w:sz="2" w:space="0" w:color="000000"/>
                  </w:tcBorders>
                  <w:shd w:color="auto" w:fill="FFFFFF" w:val="clear"/>
                  <w:vAlign w:val="center"/>
                </w:tcPr>
                <w:p>
                  <w:pPr>
                    <w:pStyle w:val="Normal"/>
                    <w:widowControl w:val="false"/>
                    <w:shd w:val="clear" w:color="auto" w:fill="FFFFFF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</w:r>
                </w:p>
              </w:tc>
              <w:tc>
                <w:tcPr>
                  <w:tcW w:w="2401" w:type="dxa"/>
                  <w:tcBorders>
                    <w:top w:val="single" w:sz="2" w:space="0" w:color="000000"/>
                    <w:left w:val="single" w:sz="2" w:space="0" w:color="000000"/>
                    <w:bottom w:val="single" w:sz="6" w:space="0" w:color="000000"/>
                    <w:right w:val="single" w:sz="6" w:space="0" w:color="000000"/>
                  </w:tcBorders>
                  <w:shd w:color="auto" w:fill="FFFFFF" w:val="clear"/>
                  <w:vAlign w:val="center"/>
                </w:tcPr>
                <w:p>
                  <w:pPr>
                    <w:pStyle w:val="Normal"/>
                    <w:widowControl w:val="false"/>
                    <w:shd w:val="clear" w:color="auto" w:fill="FFFFFF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</w:r>
                </w:p>
              </w:tc>
              <w:tc>
                <w:tcPr>
                  <w:tcW w:w="1104" w:type="dxa"/>
                  <w:tcBorders>
                    <w:top w:val="single" w:sz="2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shd w:color="auto" w:fill="FFFFFF" w:val="clear"/>
                  <w:vAlign w:val="center"/>
                </w:tcPr>
                <w:p>
                  <w:pPr>
                    <w:pStyle w:val="Normal"/>
                    <w:widowControl w:val="false"/>
                    <w:shd w:val="clear" w:color="auto" w:fill="FFFFFF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</w:r>
                </w:p>
              </w:tc>
            </w:tr>
          </w:tbl>
          <w:p>
            <w:pPr>
              <w:pStyle w:val="Normal"/>
              <w:widowControl w:val="false"/>
              <w:shd w:val="clear" w:color="auto" w:fill="FFFF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shd w:val="clear" w:color="auto" w:fill="FFFF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Составил:_________/должность, организация/____________/подпись/____________/расшифровка подписи/</w:t>
            </w:r>
          </w:p>
          <w:p>
            <w:pPr>
              <w:pStyle w:val="Normal"/>
              <w:widowControl w:val="false"/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0"/>
                <w:szCs w:val="20"/>
              </w:rPr>
              <w:t>Проверил:_____________/должность, организация/____________ /подпись/____________/расшифровка подписи/</w:t>
            </w:r>
          </w:p>
        </w:tc>
      </w:tr>
      <w:tr>
        <w:trPr/>
        <w:tc>
          <w:tcPr>
            <w:tcW w:w="9570" w:type="dxa"/>
            <w:tcBorders/>
          </w:tcPr>
          <w:p>
            <w:pPr>
              <w:pStyle w:val="Normal"/>
              <w:widowControl w:val="fals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</w:tbl>
    <w:p>
      <w:pPr>
        <w:sectPr>
          <w:headerReference w:type="default" r:id="rId13"/>
          <w:headerReference w:type="first" r:id="rId14"/>
          <w:footnotePr>
            <w:numFmt w:val="decimal"/>
            <w:numRestart w:val="eachPage"/>
          </w:footnotePr>
          <w:type w:val="nextPage"/>
          <w:pgSz w:w="11906" w:h="16838"/>
          <w:pgMar w:left="1701" w:right="851" w:gutter="0" w:header="709" w:top="1134" w:footer="0" w:bottom="1134"/>
          <w:pgNumType w:fmt="decimal"/>
          <w:formProt w:val="false"/>
          <w:textDirection w:val="lrTb"/>
          <w:docGrid w:type="default" w:linePitch="100" w:charSpace="0"/>
        </w:sectPr>
      </w:pPr>
    </w:p>
    <w:p>
      <w:pPr>
        <w:pStyle w:val="Normal"/>
        <w:shd w:val="clear" w:color="auto" w:fill="FFFFFF"/>
        <w:ind w:left="142" w:firstLine="142"/>
        <w:rPr>
          <w:b/>
        </w:rPr>
      </w:pPr>
      <w:r>
        <w:rPr>
          <w:b/>
        </w:rPr>
        <w:t>Образец 3п</w:t>
      </w:r>
    </w:p>
    <w:p>
      <w:pPr>
        <w:pStyle w:val="Normal"/>
        <w:shd w:val="clear" w:color="auto" w:fill="FFFFFF"/>
        <w:jc w:val="right"/>
        <w:rPr>
          <w:sz w:val="26"/>
          <w:szCs w:val="26"/>
        </w:rPr>
      </w:pPr>
      <w:r>
        <w:rPr>
          <w:sz w:val="26"/>
          <w:szCs w:val="26"/>
        </w:rPr>
      </w:r>
    </w:p>
    <w:tbl>
      <w:tblPr>
        <w:tblW w:w="9570" w:type="dxa"/>
        <w:jc w:val="center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9570"/>
      </w:tblGrid>
      <w:tr>
        <w:trPr/>
        <w:tc>
          <w:tcPr>
            <w:tcW w:w="9570" w:type="dxa"/>
            <w:tcBorders/>
          </w:tcPr>
          <w:p>
            <w:pPr>
              <w:pStyle w:val="Normal"/>
              <w:widowControl w:val="false"/>
              <w:shd w:val="clear" w:color="auto" w:fill="FFFFFF"/>
              <w:ind w:left="5530" w:hanging="0"/>
              <w:rPr>
                <w:sz w:val="20"/>
                <w:szCs w:val="20"/>
              </w:rPr>
            </w:pPr>
            <w:r>
              <w:rPr>
                <w:sz w:val="20"/>
              </w:rPr>
              <w:t>Приложение №_____</w:t>
            </w:r>
          </w:p>
          <w:p>
            <w:pPr>
              <w:pStyle w:val="Normal"/>
              <w:widowControl w:val="false"/>
              <w:shd w:val="clear" w:color="auto" w:fill="FFFFFF"/>
              <w:ind w:left="5530" w:hanging="0"/>
              <w:rPr>
                <w:sz w:val="20"/>
              </w:rPr>
            </w:pPr>
            <w:r>
              <w:rPr>
                <w:sz w:val="20"/>
              </w:rPr>
              <w:t>к договору, дополнительному соглашению</w:t>
            </w:r>
            <w:r>
              <w:rPr>
                <w:sz w:val="20"/>
                <w:szCs w:val="20"/>
              </w:rPr>
              <w:t xml:space="preserve"> №____от _______</w:t>
            </w:r>
          </w:p>
          <w:p>
            <w:pPr>
              <w:pStyle w:val="Normal"/>
              <w:widowControl w:val="false"/>
              <w:shd w:val="clear" w:color="auto" w:fill="FFFFFF"/>
              <w:ind w:left="2695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tbl>
            <w:tblPr>
              <w:tblW w:w="9354" w:type="dxa"/>
              <w:jc w:val="left"/>
              <w:tblInd w:w="0" w:type="dxa"/>
              <w:tblLayout w:type="fixed"/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 w:noHBand="0" w:noVBand="1" w:firstColumn="1" w:lastRow="0" w:lastColumn="0" w:firstRow="1"/>
            </w:tblPr>
            <w:tblGrid>
              <w:gridCol w:w="4387"/>
              <w:gridCol w:w="4966"/>
            </w:tblGrid>
            <w:tr>
              <w:trPr>
                <w:trHeight w:val="417" w:hRule="atLeast"/>
              </w:trPr>
              <w:tc>
                <w:tcPr>
                  <w:tcW w:w="4387" w:type="dxa"/>
                  <w:tcBorders/>
                  <w:vAlign w:val="bottom"/>
                </w:tcPr>
                <w:p>
                  <w:pPr>
                    <w:pStyle w:val="Normal"/>
                    <w:widowControl w:val="false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</w:r>
                </w:p>
                <w:p>
                  <w:pPr>
                    <w:pStyle w:val="Normal"/>
                    <w:widowControl w:val="false"/>
                    <w:rPr/>
                  </w:pPr>
                  <w:r>
                    <w:rPr>
                      <w:b/>
                      <w:bCs/>
                    </w:rPr>
                    <w:t>СОГЛАСОВАНО:</w:t>
                  </w:r>
                </w:p>
                <w:p>
                  <w:pPr>
                    <w:pStyle w:val="Normal"/>
                    <w:widowControl w:val="false"/>
                    <w:rPr/>
                  </w:pPr>
                  <w:r>
                    <w:rPr/>
                    <w:t>_________________</w:t>
                  </w:r>
                  <w:r>
                    <w:rPr>
                      <w:sz w:val="20"/>
                      <w:szCs w:val="20"/>
                    </w:rPr>
                    <w:t xml:space="preserve"> (Подрядчик)</w:t>
                  </w:r>
                </w:p>
                <w:p>
                  <w:pPr>
                    <w:pStyle w:val="Normal"/>
                    <w:widowControl w:val="false"/>
                    <w:rPr/>
                  </w:pPr>
                  <w:r>
                    <w:rPr/>
                    <w:t>_________________ Ф.И.О</w:t>
                  </w:r>
                </w:p>
                <w:p>
                  <w:pPr>
                    <w:pStyle w:val="Normal"/>
                    <w:widowControl w:val="false"/>
                    <w:rPr/>
                  </w:pPr>
                  <w:r>
                    <w:rPr/>
                  </w:r>
                </w:p>
              </w:tc>
              <w:tc>
                <w:tcPr>
                  <w:tcW w:w="4966" w:type="dxa"/>
                  <w:tcBorders/>
                </w:tcPr>
                <w:p>
                  <w:pPr>
                    <w:pStyle w:val="Normal"/>
                    <w:widowControl w:val="false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</w:r>
                </w:p>
                <w:p>
                  <w:pPr>
                    <w:pStyle w:val="Normal"/>
                    <w:widowControl w:val="false"/>
                    <w:ind w:left="1602" w:hanging="0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  <w:t>УТВЕРЖДАЮ:</w:t>
                  </w:r>
                </w:p>
                <w:p>
                  <w:pPr>
                    <w:pStyle w:val="Normal"/>
                    <w:widowControl w:val="false"/>
                    <w:ind w:left="1460" w:hanging="0"/>
                    <w:rPr>
                      <w:bCs/>
                    </w:rPr>
                  </w:pPr>
                  <w:r>
                    <w:rPr>
                      <w:bCs/>
                    </w:rPr>
                    <w:t>________________(</w:t>
                  </w:r>
                  <w:r>
                    <w:rPr>
                      <w:bCs/>
                      <w:sz w:val="20"/>
                      <w:szCs w:val="20"/>
                    </w:rPr>
                    <w:t>Заказчик)</w:t>
                  </w:r>
                </w:p>
                <w:p>
                  <w:pPr>
                    <w:pStyle w:val="Normal"/>
                    <w:widowControl w:val="false"/>
                    <w:ind w:left="1602" w:hanging="0"/>
                    <w:rPr/>
                  </w:pPr>
                  <w:r>
                    <w:rPr/>
                    <w:t>_________________Ф.И.О</w:t>
                  </w:r>
                </w:p>
                <w:p>
                  <w:pPr>
                    <w:pStyle w:val="Normal"/>
                    <w:widowControl w:val="false"/>
                    <w:rPr>
                      <w:b/>
                      <w:bCs/>
                    </w:rPr>
                  </w:pPr>
                  <w:r>
                    <w:rPr>
                      <w:b/>
                      <w:bCs/>
                    </w:rPr>
                  </w:r>
                </w:p>
              </w:tc>
            </w:tr>
          </w:tbl>
          <w:p>
            <w:pPr>
              <w:pStyle w:val="Normal"/>
              <w:widowControl w:val="false"/>
              <w:shd w:val="clear" w:color="auto" w:fill="FFFFFF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СМЕТА № </w:t>
              <w:br/>
              <w:t>на научно-исследовательские работы (НИР/НИОКР)</w:t>
            </w:r>
          </w:p>
          <w:p>
            <w:pPr>
              <w:pStyle w:val="Normal"/>
              <w:widowControl w:val="false"/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widowControl w:val="false"/>
              <w:shd w:val="clear" w:color="auto" w:fill="FFFFFF"/>
              <w:rPr/>
            </w:pPr>
            <w:r>
              <w:rPr/>
              <w:t>Наименование предприятия, здания, сооружения, стадии проектирования, этапа, вида</w:t>
            </w:r>
          </w:p>
          <w:p>
            <w:pPr>
              <w:pStyle w:val="Normal"/>
              <w:widowControl w:val="false"/>
              <w:shd w:val="clear" w:color="auto" w:fill="FFFFFF"/>
              <w:rPr/>
            </w:pPr>
            <w:r>
              <w:rPr/>
              <w:t>НИР/НИОКР___________________________________________________________</w:t>
            </w:r>
          </w:p>
          <w:p>
            <w:pPr>
              <w:pStyle w:val="Normal"/>
              <w:widowControl w:val="false"/>
              <w:shd w:val="clear" w:color="auto" w:fill="FFFFFF"/>
              <w:rPr/>
            </w:pPr>
            <w:r>
              <w:rPr/>
              <w:t>__________________________________________________________________</w:t>
            </w:r>
          </w:p>
          <w:p>
            <w:pPr>
              <w:pStyle w:val="Normal"/>
              <w:widowControl w:val="false"/>
              <w:shd w:val="clear" w:color="auto" w:fill="FFFFFF"/>
              <w:rPr/>
            </w:pPr>
            <w:r>
              <w:rPr/>
              <w:t>Наименование организации__________________________________________</w:t>
            </w:r>
          </w:p>
          <w:p>
            <w:pPr>
              <w:pStyle w:val="Normal"/>
              <w:widowControl w:val="false"/>
              <w:shd w:val="clear" w:color="auto" w:fill="FFFFFF"/>
              <w:rPr/>
            </w:pPr>
            <w:r>
              <w:rPr/>
              <w:t>__________________________________________________________________</w:t>
            </w:r>
          </w:p>
          <w:p>
            <w:pPr>
              <w:pStyle w:val="Normal"/>
              <w:widowControl w:val="false"/>
              <w:pBdr>
                <w:bottom w:val="single" w:sz="12" w:space="1" w:color="000000"/>
              </w:pBdr>
              <w:shd w:val="clear" w:color="auto" w:fill="FFFFFF"/>
              <w:rPr/>
            </w:pPr>
            <w:r>
              <w:rPr/>
              <w:t>Наименование организации заказчика_________________________________</w:t>
            </w:r>
          </w:p>
          <w:p>
            <w:pPr>
              <w:pStyle w:val="Normal"/>
              <w:widowControl w:val="false"/>
              <w:shd w:val="clear" w:color="auto" w:fill="FFFFFF"/>
              <w:rPr/>
            </w:pPr>
            <w:r>
              <w:rPr/>
              <w:br/>
              <w:t xml:space="preserve"> Составлена в текущих ценах, соответствующих периоду выполнения работ по договору</w:t>
            </w:r>
          </w:p>
          <w:p>
            <w:pPr>
              <w:pStyle w:val="Normal"/>
              <w:widowControl w:val="false"/>
              <w:shd w:val="clear" w:color="auto" w:fill="FFFFFF"/>
              <w:rPr/>
            </w:pPr>
            <w:r>
              <w:rPr>
                <w:b/>
              </w:rPr>
              <w:t>1. Расчет заработной платы</w:t>
            </w:r>
            <w:r>
              <w:rPr/>
              <w:tab/>
              <w:tab/>
              <w:tab/>
              <w:tab/>
              <w:tab/>
              <w:tab/>
              <w:tab/>
              <w:tab/>
              <w:t>руб.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0" w:type="dxa"/>
                <w:left w:w="28" w:type="dxa"/>
                <w:bottom w:w="0" w:type="dxa"/>
                <w:right w:w="28" w:type="dxa"/>
              </w:tblCellMar>
              <w:tblLook w:val="04a0" w:noHBand="0" w:noVBand="1" w:firstColumn="1" w:lastRow="0" w:lastColumn="0" w:firstRow="1"/>
            </w:tblPr>
            <w:tblGrid>
              <w:gridCol w:w="418"/>
              <w:gridCol w:w="2389"/>
              <w:gridCol w:w="1064"/>
              <w:gridCol w:w="1005"/>
              <w:gridCol w:w="1321"/>
              <w:gridCol w:w="1321"/>
              <w:gridCol w:w="1835"/>
            </w:tblGrid>
            <w:tr>
              <w:trPr>
                <w:tblHeader w:val="true"/>
              </w:trPr>
              <w:tc>
                <w:tcPr>
                  <w:tcW w:w="418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2" w:space="0" w:color="000000"/>
                  </w:tcBorders>
                  <w:shd w:color="auto" w:fill="FFFFFF" w:val="clear"/>
                  <w:vAlign w:val="center"/>
                </w:tcPr>
                <w:p>
                  <w:pPr>
                    <w:pStyle w:val="Normal"/>
                    <w:widowControl w:val="false"/>
                    <w:shd w:val="clear" w:color="auto" w:fill="FFFFFF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№ </w:t>
                  </w:r>
                  <w:r>
                    <w:rPr>
                      <w:sz w:val="20"/>
                    </w:rPr>
                    <w:t>п.п.</w:t>
                  </w:r>
                </w:p>
              </w:tc>
              <w:tc>
                <w:tcPr>
                  <w:tcW w:w="2389" w:type="dxa"/>
                  <w:vMerge w:val="restart"/>
                  <w:tcBorders>
                    <w:top w:val="single" w:sz="6" w:space="0" w:color="000000"/>
                    <w:left w:val="single" w:sz="2" w:space="0" w:color="000000"/>
                    <w:bottom w:val="single" w:sz="6" w:space="0" w:color="000000"/>
                    <w:right w:val="single" w:sz="2" w:space="0" w:color="000000"/>
                  </w:tcBorders>
                  <w:shd w:color="auto" w:fill="FFFFFF" w:val="clear"/>
                  <w:vAlign w:val="center"/>
                </w:tcPr>
                <w:p>
                  <w:pPr>
                    <w:pStyle w:val="Normal"/>
                    <w:widowControl w:val="false"/>
                    <w:shd w:val="clear" w:color="auto" w:fill="FFFFFF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Перечень выполняемых работ</w:t>
                  </w:r>
                </w:p>
              </w:tc>
              <w:tc>
                <w:tcPr>
                  <w:tcW w:w="2069" w:type="dxa"/>
                  <w:gridSpan w:val="2"/>
                  <w:tcBorders>
                    <w:top w:val="single" w:sz="6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color="auto" w:fill="FFFFFF" w:val="clear"/>
                  <w:vAlign w:val="center"/>
                </w:tcPr>
                <w:p>
                  <w:pPr>
                    <w:pStyle w:val="Normal"/>
                    <w:widowControl w:val="false"/>
                    <w:shd w:val="clear" w:color="auto" w:fill="FFFFFF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Исполнители</w:t>
                  </w:r>
                </w:p>
              </w:tc>
              <w:tc>
                <w:tcPr>
                  <w:tcW w:w="1321" w:type="dxa"/>
                  <w:vMerge w:val="restart"/>
                  <w:tcBorders>
                    <w:top w:val="single" w:sz="6" w:space="0" w:color="000000"/>
                    <w:left w:val="single" w:sz="2" w:space="0" w:color="000000"/>
                    <w:bottom w:val="single" w:sz="6" w:space="0" w:color="000000"/>
                    <w:right w:val="single" w:sz="6" w:space="0" w:color="000000"/>
                  </w:tcBorders>
                  <w:shd w:color="auto" w:fill="FFFFFF" w:val="clear"/>
                  <w:vAlign w:val="center"/>
                </w:tcPr>
                <w:p>
                  <w:pPr>
                    <w:pStyle w:val="Normal"/>
                    <w:widowControl w:val="false"/>
                    <w:shd w:val="clear" w:color="auto" w:fill="FFFFFF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Количество человеко-дней</w:t>
                  </w:r>
                </w:p>
              </w:tc>
              <w:tc>
                <w:tcPr>
                  <w:tcW w:w="1321" w:type="dxa"/>
                  <w:vMerge w:val="restar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2" w:space="0" w:color="000000"/>
                  </w:tcBorders>
                  <w:shd w:color="auto" w:fill="FFFFFF" w:val="clear"/>
                  <w:vAlign w:val="center"/>
                </w:tcPr>
                <w:p>
                  <w:pPr>
                    <w:pStyle w:val="Normal"/>
                    <w:widowControl w:val="false"/>
                    <w:shd w:val="clear" w:color="auto" w:fill="FFFFFF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Средняя оплата труда</w:t>
                  </w:r>
                </w:p>
                <w:p>
                  <w:pPr>
                    <w:pStyle w:val="Normal"/>
                    <w:widowControl w:val="false"/>
                    <w:shd w:val="clear" w:color="auto" w:fill="FFFFFF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 </w:t>
                  </w:r>
                  <w:r>
                    <w:rPr>
                      <w:sz w:val="20"/>
                    </w:rPr>
                    <w:t>за 1 день</w:t>
                  </w:r>
                </w:p>
              </w:tc>
              <w:tc>
                <w:tcPr>
                  <w:tcW w:w="1835" w:type="dxa"/>
                  <w:vMerge w:val="restart"/>
                  <w:tcBorders>
                    <w:top w:val="single" w:sz="6" w:space="0" w:color="000000"/>
                    <w:left w:val="single" w:sz="2" w:space="0" w:color="000000"/>
                    <w:bottom w:val="single" w:sz="6" w:space="0" w:color="000000"/>
                    <w:right w:val="single" w:sz="6" w:space="0" w:color="000000"/>
                  </w:tcBorders>
                  <w:shd w:color="auto" w:fill="FFFFFF" w:val="clear"/>
                  <w:vAlign w:val="center"/>
                </w:tcPr>
                <w:p>
                  <w:pPr>
                    <w:pStyle w:val="Normal"/>
                    <w:widowControl w:val="false"/>
                    <w:shd w:val="clear" w:color="auto" w:fill="FFFFFF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Оплата труда (всего)</w:t>
                  </w:r>
                </w:p>
              </w:tc>
            </w:tr>
            <w:tr>
              <w:trPr>
                <w:tblHeader w:val="true"/>
              </w:trPr>
              <w:tc>
                <w:tcPr>
                  <w:tcW w:w="418" w:type="dxa"/>
                  <w:vMerge w:val="continue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2" w:space="0" w:color="000000"/>
                  </w:tcBorders>
                  <w:shd w:color="auto" w:fill="FFFFFF" w:val="clear"/>
                  <w:tcMar>
                    <w:left w:w="7" w:type="dxa"/>
                    <w:right w:w="2" w:type="dxa"/>
                  </w:tcMar>
                  <w:vAlign w:val="center"/>
                </w:tcPr>
                <w:p>
                  <w:pPr>
                    <w:pStyle w:val="Normal"/>
                    <w:widowControl w:val="false"/>
                    <w:rPr>
                      <w:sz w:val="20"/>
                    </w:rPr>
                  </w:pPr>
                  <w:r>
                    <w:rPr>
                      <w:sz w:val="20"/>
                    </w:rPr>
                  </w:r>
                </w:p>
              </w:tc>
              <w:tc>
                <w:tcPr>
                  <w:tcW w:w="2389" w:type="dxa"/>
                  <w:vMerge w:val="continue"/>
                  <w:tcBorders>
                    <w:top w:val="single" w:sz="6" w:space="0" w:color="000000"/>
                    <w:left w:val="single" w:sz="2" w:space="0" w:color="000000"/>
                    <w:bottom w:val="single" w:sz="6" w:space="0" w:color="000000"/>
                    <w:right w:val="single" w:sz="2" w:space="0" w:color="000000"/>
                  </w:tcBorders>
                  <w:shd w:color="auto" w:fill="FFFFFF" w:val="clear"/>
                  <w:tcMar>
                    <w:left w:w="7" w:type="dxa"/>
                    <w:right w:w="2" w:type="dxa"/>
                  </w:tcMar>
                  <w:vAlign w:val="center"/>
                </w:tcPr>
                <w:p>
                  <w:pPr>
                    <w:pStyle w:val="Normal"/>
                    <w:widowControl w:val="false"/>
                    <w:rPr>
                      <w:sz w:val="20"/>
                    </w:rPr>
                  </w:pPr>
                  <w:r>
                    <w:rPr>
                      <w:sz w:val="20"/>
                    </w:rPr>
                  </w:r>
                </w:p>
              </w:tc>
              <w:tc>
                <w:tcPr>
                  <w:tcW w:w="1064" w:type="dxa"/>
                  <w:tcBorders>
                    <w:top w:val="single" w:sz="2" w:space="0" w:color="000000"/>
                    <w:left w:val="single" w:sz="2" w:space="0" w:color="000000"/>
                    <w:bottom w:val="single" w:sz="6" w:space="0" w:color="000000"/>
                    <w:right w:val="single" w:sz="2" w:space="0" w:color="000000"/>
                  </w:tcBorders>
                  <w:shd w:color="auto" w:fill="FFFFFF" w:val="clear"/>
                  <w:vAlign w:val="center"/>
                </w:tcPr>
                <w:p>
                  <w:pPr>
                    <w:pStyle w:val="Normal"/>
                    <w:widowControl w:val="false"/>
                    <w:shd w:val="clear" w:color="auto" w:fill="FFFFFF"/>
                    <w:rPr>
                      <w:sz w:val="20"/>
                    </w:rPr>
                  </w:pPr>
                  <w:r>
                    <w:rPr>
                      <w:sz w:val="20"/>
                    </w:rPr>
                    <w:t>количество</w:t>
                  </w:r>
                </w:p>
              </w:tc>
              <w:tc>
                <w:tcPr>
                  <w:tcW w:w="1005" w:type="dxa"/>
                  <w:tcBorders>
                    <w:top w:val="single" w:sz="2" w:space="0" w:color="000000"/>
                    <w:left w:val="single" w:sz="2" w:space="0" w:color="000000"/>
                    <w:bottom w:val="single" w:sz="6" w:space="0" w:color="000000"/>
                    <w:right w:val="single" w:sz="2" w:space="0" w:color="000000"/>
                  </w:tcBorders>
                  <w:shd w:color="auto" w:fill="FFFFFF" w:val="clear"/>
                  <w:vAlign w:val="center"/>
                </w:tcPr>
                <w:p>
                  <w:pPr>
                    <w:pStyle w:val="Normal"/>
                    <w:widowControl w:val="false"/>
                    <w:shd w:val="clear" w:color="auto" w:fill="FFFFFF"/>
                    <w:rPr>
                      <w:sz w:val="20"/>
                    </w:rPr>
                  </w:pPr>
                  <w:r>
                    <w:rPr>
                      <w:sz w:val="20"/>
                    </w:rPr>
                    <w:t>должность</w:t>
                  </w:r>
                </w:p>
              </w:tc>
              <w:tc>
                <w:tcPr>
                  <w:tcW w:w="1321" w:type="dxa"/>
                  <w:vMerge w:val="continue"/>
                  <w:tcBorders>
                    <w:top w:val="single" w:sz="6" w:space="0" w:color="000000"/>
                    <w:left w:val="single" w:sz="2" w:space="0" w:color="000000"/>
                    <w:bottom w:val="single" w:sz="6" w:space="0" w:color="000000"/>
                    <w:right w:val="single" w:sz="6" w:space="0" w:color="000000"/>
                  </w:tcBorders>
                  <w:shd w:color="auto" w:fill="FFFFFF" w:val="clear"/>
                  <w:tcMar>
                    <w:left w:w="7" w:type="dxa"/>
                    <w:right w:w="2" w:type="dxa"/>
                  </w:tcMar>
                  <w:vAlign w:val="center"/>
                </w:tcPr>
                <w:p>
                  <w:pPr>
                    <w:pStyle w:val="Normal"/>
                    <w:widowControl w:val="false"/>
                    <w:rPr>
                      <w:sz w:val="20"/>
                    </w:rPr>
                  </w:pPr>
                  <w:r>
                    <w:rPr>
                      <w:sz w:val="20"/>
                    </w:rPr>
                  </w:r>
                </w:p>
              </w:tc>
              <w:tc>
                <w:tcPr>
                  <w:tcW w:w="1321" w:type="dxa"/>
                  <w:vMerge w:val="continue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2" w:space="0" w:color="000000"/>
                  </w:tcBorders>
                  <w:shd w:color="auto" w:fill="FFFFFF" w:val="clear"/>
                  <w:tcMar>
                    <w:left w:w="7" w:type="dxa"/>
                    <w:right w:w="2" w:type="dxa"/>
                  </w:tcMar>
                  <w:vAlign w:val="center"/>
                </w:tcPr>
                <w:p>
                  <w:pPr>
                    <w:pStyle w:val="Normal"/>
                    <w:widowControl w:val="false"/>
                    <w:rPr>
                      <w:sz w:val="20"/>
                    </w:rPr>
                  </w:pPr>
                  <w:r>
                    <w:rPr>
                      <w:sz w:val="20"/>
                    </w:rPr>
                  </w:r>
                </w:p>
              </w:tc>
              <w:tc>
                <w:tcPr>
                  <w:tcW w:w="1835" w:type="dxa"/>
                  <w:vMerge w:val="continue"/>
                  <w:tcBorders>
                    <w:top w:val="single" w:sz="6" w:space="0" w:color="000000"/>
                    <w:left w:val="single" w:sz="2" w:space="0" w:color="000000"/>
                    <w:bottom w:val="single" w:sz="6" w:space="0" w:color="000000"/>
                    <w:right w:val="single" w:sz="6" w:space="0" w:color="000000"/>
                  </w:tcBorders>
                  <w:shd w:color="auto" w:fill="FFFFFF" w:val="clear"/>
                  <w:tcMar>
                    <w:left w:w="7" w:type="dxa"/>
                    <w:right w:w="2" w:type="dxa"/>
                  </w:tcMar>
                  <w:vAlign w:val="center"/>
                </w:tcPr>
                <w:p>
                  <w:pPr>
                    <w:pStyle w:val="Normal"/>
                    <w:widowControl w:val="false"/>
                    <w:rPr>
                      <w:sz w:val="20"/>
                    </w:rPr>
                  </w:pPr>
                  <w:r>
                    <w:rPr>
                      <w:sz w:val="20"/>
                    </w:rPr>
                  </w:r>
                </w:p>
              </w:tc>
            </w:tr>
            <w:tr>
              <w:trPr>
                <w:tblHeader w:val="true"/>
              </w:trPr>
              <w:tc>
                <w:tcPr>
                  <w:tcW w:w="418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2" w:space="0" w:color="000000"/>
                  </w:tcBorders>
                  <w:shd w:color="auto" w:fill="FFFFFF" w:val="clear"/>
                  <w:vAlign w:val="center"/>
                </w:tcPr>
                <w:p>
                  <w:pPr>
                    <w:pStyle w:val="Normal"/>
                    <w:widowControl w:val="false"/>
                    <w:shd w:val="clear" w:color="auto" w:fill="FFFFFF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389" w:type="dxa"/>
                  <w:tcBorders>
                    <w:top w:val="single" w:sz="6" w:space="0" w:color="000000"/>
                    <w:left w:val="single" w:sz="2" w:space="0" w:color="000000"/>
                    <w:bottom w:val="single" w:sz="6" w:space="0" w:color="000000"/>
                    <w:right w:val="single" w:sz="2" w:space="0" w:color="000000"/>
                  </w:tcBorders>
                  <w:shd w:color="auto" w:fill="FFFFFF" w:val="clear"/>
                  <w:vAlign w:val="center"/>
                </w:tcPr>
                <w:p>
                  <w:pPr>
                    <w:pStyle w:val="Normal"/>
                    <w:widowControl w:val="false"/>
                    <w:shd w:val="clear" w:color="auto" w:fill="FFFFFF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2</w:t>
                  </w:r>
                </w:p>
              </w:tc>
              <w:tc>
                <w:tcPr>
                  <w:tcW w:w="1064" w:type="dxa"/>
                  <w:tcBorders>
                    <w:top w:val="single" w:sz="6" w:space="0" w:color="000000"/>
                    <w:left w:val="single" w:sz="2" w:space="0" w:color="000000"/>
                    <w:bottom w:val="single" w:sz="6" w:space="0" w:color="000000"/>
                    <w:right w:val="single" w:sz="2" w:space="0" w:color="000000"/>
                  </w:tcBorders>
                  <w:shd w:color="auto" w:fill="FFFFFF" w:val="clear"/>
                  <w:vAlign w:val="center"/>
                </w:tcPr>
                <w:p>
                  <w:pPr>
                    <w:pStyle w:val="Normal"/>
                    <w:widowControl w:val="false"/>
                    <w:shd w:val="clear" w:color="auto" w:fill="FFFFFF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3</w:t>
                  </w:r>
                </w:p>
              </w:tc>
              <w:tc>
                <w:tcPr>
                  <w:tcW w:w="1005" w:type="dxa"/>
                  <w:tcBorders>
                    <w:top w:val="single" w:sz="6" w:space="0" w:color="000000"/>
                    <w:left w:val="single" w:sz="2" w:space="0" w:color="000000"/>
                    <w:bottom w:val="single" w:sz="6" w:space="0" w:color="000000"/>
                    <w:right w:val="single" w:sz="2" w:space="0" w:color="000000"/>
                  </w:tcBorders>
                  <w:shd w:color="auto" w:fill="FFFFFF" w:val="clear"/>
                  <w:vAlign w:val="center"/>
                </w:tcPr>
                <w:p>
                  <w:pPr>
                    <w:pStyle w:val="Normal"/>
                    <w:widowControl w:val="false"/>
                    <w:shd w:val="clear" w:color="auto" w:fill="FFFFFF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321" w:type="dxa"/>
                  <w:tcBorders>
                    <w:top w:val="single" w:sz="6" w:space="0" w:color="000000"/>
                    <w:left w:val="single" w:sz="2" w:space="0" w:color="000000"/>
                    <w:bottom w:val="single" w:sz="6" w:space="0" w:color="000000"/>
                    <w:right w:val="single" w:sz="6" w:space="0" w:color="000000"/>
                  </w:tcBorders>
                  <w:shd w:color="auto" w:fill="FFFFFF" w:val="clear"/>
                  <w:vAlign w:val="center"/>
                </w:tcPr>
                <w:p>
                  <w:pPr>
                    <w:pStyle w:val="Normal"/>
                    <w:widowControl w:val="false"/>
                    <w:shd w:val="clear" w:color="auto" w:fill="FFFFFF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321" w:type="dxa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2" w:space="0" w:color="000000"/>
                  </w:tcBorders>
                  <w:shd w:color="auto" w:fill="FFFFFF" w:val="clear"/>
                  <w:vAlign w:val="center"/>
                </w:tcPr>
                <w:p>
                  <w:pPr>
                    <w:pStyle w:val="Normal"/>
                    <w:widowControl w:val="false"/>
                    <w:shd w:val="clear" w:color="auto" w:fill="FFFFFF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835" w:type="dxa"/>
                  <w:tcBorders>
                    <w:top w:val="single" w:sz="6" w:space="0" w:color="000000"/>
                    <w:left w:val="single" w:sz="2" w:space="0" w:color="000000"/>
                    <w:bottom w:val="single" w:sz="6" w:space="0" w:color="000000"/>
                    <w:right w:val="single" w:sz="6" w:space="0" w:color="000000"/>
                  </w:tcBorders>
                  <w:shd w:color="auto" w:fill="FFFFFF" w:val="clear"/>
                  <w:vAlign w:val="center"/>
                </w:tcPr>
                <w:p>
                  <w:pPr>
                    <w:pStyle w:val="Normal"/>
                    <w:widowControl w:val="false"/>
                    <w:shd w:val="clear" w:color="auto" w:fill="FFFFFF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7</w:t>
                  </w:r>
                </w:p>
              </w:tc>
            </w:tr>
            <w:tr>
              <w:trPr/>
              <w:tc>
                <w:tcPr>
                  <w:tcW w:w="418" w:type="dxa"/>
                  <w:tcBorders>
                    <w:top w:val="single" w:sz="6" w:space="0" w:color="000000"/>
                    <w:left w:val="single" w:sz="6" w:space="0" w:color="000000"/>
                    <w:bottom w:val="single" w:sz="2" w:space="0" w:color="000000"/>
                    <w:right w:val="single" w:sz="2" w:space="0" w:color="000000"/>
                  </w:tcBorders>
                  <w:shd w:color="auto" w:fill="FFFFFF" w:val="clear"/>
                  <w:vAlign w:val="center"/>
                </w:tcPr>
                <w:p>
                  <w:pPr>
                    <w:pStyle w:val="Normal"/>
                    <w:widowControl w:val="false"/>
                    <w:shd w:val="clear" w:color="auto" w:fill="FFFFFF"/>
                    <w:rPr>
                      <w:sz w:val="20"/>
                    </w:rPr>
                  </w:pPr>
                  <w:r>
                    <w:rPr>
                      <w:sz w:val="20"/>
                    </w:rPr>
                  </w:r>
                </w:p>
              </w:tc>
              <w:tc>
                <w:tcPr>
                  <w:tcW w:w="2389" w:type="dxa"/>
                  <w:tcBorders>
                    <w:top w:val="single" w:sz="6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color="auto" w:fill="FFFFFF" w:val="clear"/>
                  <w:vAlign w:val="center"/>
                </w:tcPr>
                <w:p>
                  <w:pPr>
                    <w:pStyle w:val="Normal"/>
                    <w:widowControl w:val="false"/>
                    <w:shd w:val="clear" w:color="auto" w:fill="FFFFFF"/>
                    <w:rPr>
                      <w:sz w:val="20"/>
                    </w:rPr>
                  </w:pPr>
                  <w:r>
                    <w:rPr>
                      <w:sz w:val="20"/>
                    </w:rPr>
                  </w:r>
                </w:p>
              </w:tc>
              <w:tc>
                <w:tcPr>
                  <w:tcW w:w="1064" w:type="dxa"/>
                  <w:tcBorders>
                    <w:top w:val="single" w:sz="6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color="auto" w:fill="FFFFFF" w:val="clear"/>
                  <w:vAlign w:val="center"/>
                </w:tcPr>
                <w:p>
                  <w:pPr>
                    <w:pStyle w:val="Normal"/>
                    <w:widowControl w:val="false"/>
                    <w:shd w:val="clear" w:color="auto" w:fill="FFFFFF"/>
                    <w:rPr>
                      <w:sz w:val="20"/>
                    </w:rPr>
                  </w:pPr>
                  <w:r>
                    <w:rPr>
                      <w:sz w:val="20"/>
                    </w:rPr>
                  </w:r>
                </w:p>
              </w:tc>
              <w:tc>
                <w:tcPr>
                  <w:tcW w:w="1005" w:type="dxa"/>
                  <w:tcBorders>
                    <w:top w:val="single" w:sz="6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  <w:shd w:color="auto" w:fill="FFFFFF" w:val="clear"/>
                  <w:vAlign w:val="center"/>
                </w:tcPr>
                <w:p>
                  <w:pPr>
                    <w:pStyle w:val="Normal"/>
                    <w:widowControl w:val="false"/>
                    <w:shd w:val="clear" w:color="auto" w:fill="FFFFFF"/>
                    <w:rPr>
                      <w:sz w:val="20"/>
                    </w:rPr>
                  </w:pPr>
                  <w:r>
                    <w:rPr>
                      <w:sz w:val="20"/>
                    </w:rPr>
                  </w:r>
                </w:p>
              </w:tc>
              <w:tc>
                <w:tcPr>
                  <w:tcW w:w="1321" w:type="dxa"/>
                  <w:tcBorders>
                    <w:top w:val="single" w:sz="6" w:space="0" w:color="000000"/>
                    <w:left w:val="single" w:sz="2" w:space="0" w:color="000000"/>
                    <w:bottom w:val="single" w:sz="2" w:space="0" w:color="000000"/>
                    <w:right w:val="single" w:sz="6" w:space="0" w:color="000000"/>
                  </w:tcBorders>
                  <w:shd w:color="auto" w:fill="FFFFFF" w:val="clear"/>
                  <w:vAlign w:val="center"/>
                </w:tcPr>
                <w:p>
                  <w:pPr>
                    <w:pStyle w:val="Normal"/>
                    <w:widowControl w:val="false"/>
                    <w:shd w:val="clear" w:color="auto" w:fill="FFFFFF"/>
                    <w:rPr>
                      <w:sz w:val="20"/>
                    </w:rPr>
                  </w:pPr>
                  <w:r>
                    <w:rPr>
                      <w:sz w:val="20"/>
                    </w:rPr>
                  </w:r>
                </w:p>
              </w:tc>
              <w:tc>
                <w:tcPr>
                  <w:tcW w:w="1321" w:type="dxa"/>
                  <w:tcBorders>
                    <w:top w:val="single" w:sz="6" w:space="0" w:color="000000"/>
                    <w:left w:val="single" w:sz="6" w:space="0" w:color="000000"/>
                    <w:bottom w:val="single" w:sz="2" w:space="0" w:color="000000"/>
                    <w:right w:val="single" w:sz="2" w:space="0" w:color="000000"/>
                  </w:tcBorders>
                  <w:shd w:color="auto" w:fill="FFFFFF" w:val="clear"/>
                  <w:vAlign w:val="center"/>
                </w:tcPr>
                <w:p>
                  <w:pPr>
                    <w:pStyle w:val="Normal"/>
                    <w:widowControl w:val="false"/>
                    <w:shd w:val="clear" w:color="auto" w:fill="FFFFFF"/>
                    <w:rPr>
                      <w:sz w:val="20"/>
                    </w:rPr>
                  </w:pPr>
                  <w:r>
                    <w:rPr>
                      <w:sz w:val="20"/>
                    </w:rPr>
                  </w:r>
                </w:p>
              </w:tc>
              <w:tc>
                <w:tcPr>
                  <w:tcW w:w="1835" w:type="dxa"/>
                  <w:tcBorders>
                    <w:top w:val="single" w:sz="6" w:space="0" w:color="000000"/>
                    <w:left w:val="single" w:sz="2" w:space="0" w:color="000000"/>
                    <w:bottom w:val="single" w:sz="2" w:space="0" w:color="000000"/>
                    <w:right w:val="single" w:sz="6" w:space="0" w:color="000000"/>
                  </w:tcBorders>
                  <w:shd w:color="auto" w:fill="FFFFFF" w:val="clear"/>
                  <w:vAlign w:val="center"/>
                </w:tcPr>
                <w:p>
                  <w:pPr>
                    <w:pStyle w:val="Normal"/>
                    <w:widowControl w:val="false"/>
                    <w:shd w:val="clear" w:color="auto" w:fill="FFFFFF"/>
                    <w:rPr>
                      <w:sz w:val="20"/>
                    </w:rPr>
                  </w:pPr>
                  <w:r>
                    <w:rPr>
                      <w:sz w:val="20"/>
                    </w:rPr>
                  </w:r>
                </w:p>
              </w:tc>
            </w:tr>
            <w:tr>
              <w:trPr/>
              <w:tc>
                <w:tcPr>
                  <w:tcW w:w="418" w:type="dxa"/>
                  <w:tcBorders>
                    <w:top w:val="single" w:sz="2" w:space="0" w:color="000000"/>
                    <w:left w:val="single" w:sz="6" w:space="0" w:color="000000"/>
                    <w:bottom w:val="single" w:sz="6" w:space="0" w:color="000000"/>
                    <w:right w:val="single" w:sz="2" w:space="0" w:color="000000"/>
                  </w:tcBorders>
                  <w:shd w:color="auto" w:fill="FFFFFF" w:val="clear"/>
                  <w:vAlign w:val="center"/>
                </w:tcPr>
                <w:p>
                  <w:pPr>
                    <w:pStyle w:val="Normal"/>
                    <w:widowControl w:val="false"/>
                    <w:shd w:val="clear" w:color="auto" w:fill="FFFFFF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</w:r>
                </w:p>
              </w:tc>
              <w:tc>
                <w:tcPr>
                  <w:tcW w:w="2389" w:type="dxa"/>
                  <w:tcBorders>
                    <w:top w:val="single" w:sz="2" w:space="0" w:color="000000"/>
                    <w:left w:val="single" w:sz="2" w:space="0" w:color="000000"/>
                    <w:bottom w:val="single" w:sz="6" w:space="0" w:color="000000"/>
                    <w:right w:val="single" w:sz="2" w:space="0" w:color="000000"/>
                  </w:tcBorders>
                  <w:shd w:color="auto" w:fill="FFFFFF" w:val="clear"/>
                  <w:vAlign w:val="center"/>
                </w:tcPr>
                <w:p>
                  <w:pPr>
                    <w:pStyle w:val="Normal"/>
                    <w:widowControl w:val="false"/>
                    <w:shd w:val="clear" w:color="auto" w:fill="FFFFFF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</w:r>
                </w:p>
              </w:tc>
              <w:tc>
                <w:tcPr>
                  <w:tcW w:w="1064" w:type="dxa"/>
                  <w:tcBorders>
                    <w:top w:val="single" w:sz="2" w:space="0" w:color="000000"/>
                    <w:left w:val="single" w:sz="2" w:space="0" w:color="000000"/>
                    <w:bottom w:val="single" w:sz="6" w:space="0" w:color="000000"/>
                    <w:right w:val="single" w:sz="2" w:space="0" w:color="000000"/>
                  </w:tcBorders>
                  <w:shd w:color="auto" w:fill="FFFFFF" w:val="clear"/>
                  <w:vAlign w:val="center"/>
                </w:tcPr>
                <w:p>
                  <w:pPr>
                    <w:pStyle w:val="Normal"/>
                    <w:widowControl w:val="false"/>
                    <w:shd w:val="clear" w:color="auto" w:fill="FFFFFF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</w:r>
                </w:p>
              </w:tc>
              <w:tc>
                <w:tcPr>
                  <w:tcW w:w="1005" w:type="dxa"/>
                  <w:tcBorders>
                    <w:top w:val="single" w:sz="2" w:space="0" w:color="000000"/>
                    <w:left w:val="single" w:sz="2" w:space="0" w:color="000000"/>
                    <w:bottom w:val="single" w:sz="6" w:space="0" w:color="000000"/>
                    <w:right w:val="single" w:sz="2" w:space="0" w:color="000000"/>
                  </w:tcBorders>
                  <w:shd w:color="auto" w:fill="FFFFFF" w:val="clear"/>
                  <w:vAlign w:val="center"/>
                </w:tcPr>
                <w:p>
                  <w:pPr>
                    <w:pStyle w:val="Normal"/>
                    <w:widowControl w:val="false"/>
                    <w:shd w:val="clear" w:color="auto" w:fill="FFFFFF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</w:r>
                </w:p>
              </w:tc>
              <w:tc>
                <w:tcPr>
                  <w:tcW w:w="1321" w:type="dxa"/>
                  <w:tcBorders>
                    <w:top w:val="single" w:sz="2" w:space="0" w:color="000000"/>
                    <w:left w:val="single" w:sz="2" w:space="0" w:color="000000"/>
                    <w:bottom w:val="single" w:sz="6" w:space="0" w:color="000000"/>
                    <w:right w:val="single" w:sz="6" w:space="0" w:color="000000"/>
                  </w:tcBorders>
                  <w:shd w:color="auto" w:fill="FFFFFF" w:val="clear"/>
                  <w:vAlign w:val="center"/>
                </w:tcPr>
                <w:p>
                  <w:pPr>
                    <w:pStyle w:val="Normal"/>
                    <w:widowControl w:val="false"/>
                    <w:shd w:val="clear" w:color="auto" w:fill="FFFFFF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</w:r>
                </w:p>
              </w:tc>
              <w:tc>
                <w:tcPr>
                  <w:tcW w:w="1321" w:type="dxa"/>
                  <w:tcBorders>
                    <w:top w:val="single" w:sz="2" w:space="0" w:color="000000"/>
                    <w:left w:val="single" w:sz="6" w:space="0" w:color="000000"/>
                    <w:bottom w:val="single" w:sz="6" w:space="0" w:color="000000"/>
                    <w:right w:val="single" w:sz="2" w:space="0" w:color="000000"/>
                  </w:tcBorders>
                  <w:shd w:color="auto" w:fill="FFFFFF" w:val="clear"/>
                  <w:vAlign w:val="center"/>
                </w:tcPr>
                <w:p>
                  <w:pPr>
                    <w:pStyle w:val="Normal"/>
                    <w:widowControl w:val="false"/>
                    <w:shd w:val="clear" w:color="auto" w:fill="FFFFFF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</w:r>
                </w:p>
              </w:tc>
              <w:tc>
                <w:tcPr>
                  <w:tcW w:w="1835" w:type="dxa"/>
                  <w:tcBorders>
                    <w:top w:val="single" w:sz="2" w:space="0" w:color="000000"/>
                    <w:left w:val="single" w:sz="2" w:space="0" w:color="000000"/>
                    <w:bottom w:val="single" w:sz="6" w:space="0" w:color="000000"/>
                    <w:right w:val="single" w:sz="6" w:space="0" w:color="000000"/>
                  </w:tcBorders>
                  <w:shd w:color="auto" w:fill="FFFFFF" w:val="clear"/>
                  <w:vAlign w:val="center"/>
                </w:tcPr>
                <w:p>
                  <w:pPr>
                    <w:pStyle w:val="Normal"/>
                    <w:widowControl w:val="false"/>
                    <w:shd w:val="clear" w:color="auto" w:fill="FFFFFF"/>
                    <w:rPr>
                      <w:sz w:val="24"/>
                      <w:szCs w:val="24"/>
                    </w:rPr>
                  </w:pPr>
                  <w:r>
                    <w:rPr>
                      <w:sz w:val="24"/>
                      <w:szCs w:val="24"/>
                    </w:rPr>
                  </w:r>
                </w:p>
              </w:tc>
            </w:tr>
          </w:tbl>
          <w:p>
            <w:pPr>
              <w:pStyle w:val="Normal"/>
              <w:widowControl w:val="false"/>
              <w:shd w:val="clear" w:color="auto" w:fill="FFFFFF"/>
              <w:rPr>
                <w:sz w:val="24"/>
                <w:szCs w:val="24"/>
              </w:rPr>
            </w:pPr>
            <w:r>
              <w:rPr/>
              <w:t>Итого заработной платы, в руб. ______________________________________</w:t>
            </w:r>
          </w:p>
          <w:p>
            <w:pPr>
              <w:pStyle w:val="Normal"/>
              <w:widowControl w:val="false"/>
              <w:shd w:val="clear" w:color="auto" w:fill="FFFFFF"/>
              <w:rPr>
                <w:b/>
              </w:rPr>
            </w:pPr>
            <w:r>
              <w:rPr>
                <w:b/>
              </w:rPr>
              <w:t>2. Расчет стоимости выполнения работ</w:t>
            </w:r>
          </w:p>
          <w:p>
            <w:pPr>
              <w:pStyle w:val="Normal"/>
              <w:widowControl w:val="false"/>
              <w:shd w:val="clear" w:color="auto" w:fill="FFFFFF"/>
              <w:rPr/>
            </w:pPr>
            <w:r>
              <w:rPr/>
              <w:t>2.1 Процент заработной платы в составе себестоимости, %_______________</w:t>
            </w:r>
          </w:p>
          <w:p>
            <w:pPr>
              <w:pStyle w:val="Normal"/>
              <w:widowControl w:val="false"/>
              <w:shd w:val="clear" w:color="auto" w:fill="FFFFFF"/>
              <w:rPr/>
            </w:pPr>
            <w:r>
              <w:rPr/>
              <w:t>2.2 Себестоимость работ____________________________________________</w:t>
            </w:r>
          </w:p>
          <w:p>
            <w:pPr>
              <w:pStyle w:val="Normal"/>
              <w:widowControl w:val="false"/>
              <w:shd w:val="clear" w:color="auto" w:fill="FFFFFF"/>
              <w:rPr/>
            </w:pPr>
            <w:r>
              <w:rPr/>
              <w:t>2.3 Уровень рентабельности, %______________________________________</w:t>
            </w:r>
          </w:p>
          <w:p>
            <w:pPr>
              <w:pStyle w:val="Normal"/>
              <w:widowControl w:val="false"/>
              <w:shd w:val="clear" w:color="auto" w:fill="FFFFFF"/>
              <w:rPr/>
            </w:pPr>
            <w:r>
              <w:rPr>
                <w:b/>
                <w:bCs/>
              </w:rPr>
              <w:t>Итого:</w:t>
            </w:r>
            <w:r>
              <w:rPr/>
              <w:t>__________________________________________________________</w:t>
            </w:r>
          </w:p>
          <w:p>
            <w:pPr>
              <w:pStyle w:val="Normal"/>
              <w:widowControl w:val="false"/>
              <w:shd w:val="clear" w:color="auto" w:fill="FFFFFF"/>
              <w:rPr/>
            </w:pPr>
            <w:r>
              <w:rPr/>
              <w:t>3 Командировочные расходы (по расчету)____________</w:t>
            </w:r>
          </w:p>
          <w:p>
            <w:pPr>
              <w:pStyle w:val="Normal"/>
              <w:widowControl w:val="false"/>
              <w:shd w:val="clear" w:color="auto" w:fill="FFFFFF"/>
              <w:rPr/>
            </w:pPr>
            <w:r>
              <w:rPr>
                <w:b/>
              </w:rPr>
              <w:t>Всего (руб.)</w:t>
            </w:r>
            <w:r>
              <w:rPr/>
              <w:t xml:space="preserve"> ______________________________________________________</w:t>
            </w:r>
          </w:p>
          <w:p>
            <w:pPr>
              <w:pStyle w:val="Normal"/>
              <w:widowControl w:val="false"/>
              <w:shd w:val="clear" w:color="auto" w:fill="FFFFFF"/>
              <w:rPr/>
            </w:pPr>
            <w:r>
              <w:rPr/>
              <w:t>_________________________________________________________________</w:t>
            </w:r>
          </w:p>
          <w:p>
            <w:pPr>
              <w:pStyle w:val="Normal"/>
              <w:widowControl w:val="false"/>
              <w:shd w:val="clear" w:color="auto" w:fill="FFFFFF"/>
              <w:ind w:firstLine="2070"/>
              <w:jc w:val="center"/>
              <w:rPr/>
            </w:pPr>
            <w:r>
              <w:rPr/>
              <w:t>(сумма прописью)</w:t>
            </w:r>
          </w:p>
          <w:p>
            <w:pPr>
              <w:pStyle w:val="Normal"/>
              <w:widowControl w:val="false"/>
              <w:shd w:val="clear" w:color="auto" w:fill="FFFFFF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Составил:_______/должность, организация/________________/подпись/___________/расшифровка подписи/</w:t>
            </w:r>
          </w:p>
          <w:p>
            <w:pPr>
              <w:pStyle w:val="Normal"/>
              <w:widowControl w:val="false"/>
              <w:shd w:val="clear" w:color="auto" w:fill="FFFFFF"/>
              <w:rPr/>
            </w:pPr>
            <w:r>
              <w:rPr/>
            </w:r>
          </w:p>
          <w:p>
            <w:pPr>
              <w:pStyle w:val="Normal"/>
              <w:widowControl w:val="false"/>
              <w:shd w:val="clear" w:color="auto" w:fill="FFFFFF"/>
              <w:rPr>
                <w:sz w:val="24"/>
                <w:szCs w:val="24"/>
              </w:rPr>
            </w:pPr>
            <w:r>
              <w:rPr>
                <w:sz w:val="20"/>
                <w:szCs w:val="20"/>
              </w:rPr>
              <w:t>Проверил:__________/должность, организация/____________________/подпись/_________/расшифровка подписи/</w:t>
            </w:r>
          </w:p>
        </w:tc>
      </w:tr>
      <w:tr>
        <w:trPr/>
        <w:tc>
          <w:tcPr>
            <w:tcW w:w="9570" w:type="dxa"/>
            <w:tcBorders/>
          </w:tcPr>
          <w:p>
            <w:pPr>
              <w:pStyle w:val="Normal"/>
              <w:widowControl w:val="false"/>
              <w:shd w:val="clear" w:color="auto" w:fill="FFFFFF"/>
              <w:ind w:left="5530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/>
        <w:tc>
          <w:tcPr>
            <w:tcW w:w="9570" w:type="dxa"/>
            <w:tcBorders/>
          </w:tcPr>
          <w:p>
            <w:pPr>
              <w:pStyle w:val="Normal"/>
              <w:widowControl w:val="false"/>
              <w:shd w:val="clear" w:color="auto" w:fill="FFFFFF"/>
              <w:ind w:left="5530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rHeight w:val="66" w:hRule="atLeast"/>
        </w:trPr>
        <w:tc>
          <w:tcPr>
            <w:tcW w:w="9570" w:type="dxa"/>
            <w:tcBorders/>
          </w:tcPr>
          <w:p>
            <w:pPr>
              <w:pStyle w:val="Normal"/>
              <w:widowControl w:val="false"/>
              <w:shd w:val="clear" w:color="auto" w:fill="FFFFFF"/>
              <w:ind w:left="5530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</w:tbl>
    <w:p>
      <w:pPr>
        <w:pStyle w:val="Normal"/>
        <w:ind w:left="5670" w:hanging="0"/>
        <w:rPr>
          <w:sz w:val="20"/>
        </w:rPr>
      </w:pPr>
      <w:r>
        <w:br w:type="page"/>
      </w:r>
      <w:r>
        <w:rPr>
          <w:sz w:val="20"/>
        </w:rPr>
        <w:t>Приложение № 3</w:t>
      </w:r>
    </w:p>
    <w:p>
      <w:pPr>
        <w:pStyle w:val="Normal"/>
        <w:tabs>
          <w:tab w:val="clear" w:pos="708"/>
          <w:tab w:val="left" w:pos="1080" w:leader="none"/>
        </w:tabs>
        <w:ind w:left="5670" w:hanging="0"/>
        <w:jc w:val="both"/>
        <w:rPr>
          <w:sz w:val="20"/>
        </w:rPr>
      </w:pPr>
      <w:r>
        <w:rPr>
          <w:sz w:val="20"/>
        </w:rPr>
        <w:t>к Требованиям к оформлению и составлению смет или расчетов на выполнение услуг по программе НИР/НИОКР</w:t>
      </w:r>
    </w:p>
    <w:p>
      <w:pPr>
        <w:pStyle w:val="Normal"/>
        <w:rPr/>
      </w:pPr>
      <w:r>
        <w:rPr>
          <w:b/>
        </w:rPr>
        <w:t>Образец</w:t>
      </w:r>
    </w:p>
    <w:p>
      <w:pPr>
        <w:pStyle w:val="Normal"/>
        <w:shd w:val="clear" w:color="auto" w:fill="FFFFFF"/>
        <w:ind w:left="5530" w:hanging="0"/>
        <w:rPr>
          <w:sz w:val="20"/>
          <w:szCs w:val="20"/>
        </w:rPr>
      </w:pPr>
      <w:r>
        <w:rPr>
          <w:sz w:val="20"/>
        </w:rPr>
        <w:t>Приложение №_____</w:t>
      </w:r>
    </w:p>
    <w:p>
      <w:pPr>
        <w:pStyle w:val="Normal"/>
        <w:shd w:val="clear" w:color="auto" w:fill="FFFFFF"/>
        <w:ind w:left="5530" w:hanging="0"/>
        <w:rPr>
          <w:sz w:val="20"/>
        </w:rPr>
      </w:pPr>
      <w:r>
        <w:rPr>
          <w:sz w:val="20"/>
        </w:rPr>
        <w:t>к договору, дополнительному соглашению</w:t>
      </w:r>
      <w:r>
        <w:rPr>
          <w:sz w:val="20"/>
          <w:szCs w:val="20"/>
        </w:rPr>
        <w:t xml:space="preserve"> №____от _______</w:t>
      </w:r>
    </w:p>
    <w:p>
      <w:pPr>
        <w:pStyle w:val="Normal"/>
        <w:shd w:val="clear" w:color="auto" w:fill="FFFFFF"/>
        <w:ind w:left="5530" w:hanging="0"/>
        <w:rPr/>
      </w:pPr>
      <w:r>
        <w:rPr/>
      </w:r>
    </w:p>
    <w:tbl>
      <w:tblPr>
        <w:tblW w:w="950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4526"/>
        <w:gridCol w:w="4977"/>
      </w:tblGrid>
      <w:tr>
        <w:trPr>
          <w:trHeight w:val="417" w:hRule="atLeast"/>
        </w:trPr>
        <w:tc>
          <w:tcPr>
            <w:tcW w:w="4526" w:type="dxa"/>
            <w:tcBorders/>
            <w:vAlign w:val="bottom"/>
          </w:tcPr>
          <w:p>
            <w:pPr>
              <w:pStyle w:val="Normal"/>
              <w:widowControl w:val="false"/>
              <w:rPr/>
            </w:pPr>
            <w:r>
              <w:rPr>
                <w:b/>
                <w:bCs/>
              </w:rPr>
              <w:t>СОГЛАСОВАНО:</w:t>
            </w:r>
          </w:p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/>
              <w:t>_________________(</w:t>
            </w:r>
            <w:r>
              <w:rPr>
                <w:sz w:val="20"/>
                <w:szCs w:val="20"/>
              </w:rPr>
              <w:t>Подрядчик)</w:t>
            </w:r>
          </w:p>
          <w:p>
            <w:pPr>
              <w:pStyle w:val="Normal"/>
              <w:widowControl w:val="false"/>
              <w:rPr/>
            </w:pPr>
            <w:r>
              <w:rPr/>
              <w:t>_________________Ф.И.О.</w:t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4977" w:type="dxa"/>
            <w:tcBorders/>
          </w:tcPr>
          <w:p>
            <w:pPr>
              <w:pStyle w:val="Normal"/>
              <w:widowControl w:val="false"/>
              <w:ind w:left="1460" w:hanging="0"/>
              <w:rPr>
                <w:b/>
                <w:bCs/>
              </w:rPr>
            </w:pPr>
            <w:r>
              <w:rPr>
                <w:b/>
                <w:bCs/>
              </w:rPr>
              <w:t>УТВЕРЖДАЮ:</w:t>
            </w:r>
          </w:p>
          <w:p>
            <w:pPr>
              <w:pStyle w:val="Normal"/>
              <w:widowControl w:val="false"/>
              <w:ind w:left="1460" w:hanging="0"/>
              <w:rPr>
                <w:bCs/>
              </w:rPr>
            </w:pPr>
            <w:r>
              <w:rPr>
                <w:bCs/>
              </w:rPr>
              <w:t>_________________(</w:t>
            </w:r>
            <w:r>
              <w:rPr>
                <w:bCs/>
                <w:sz w:val="20"/>
                <w:szCs w:val="20"/>
              </w:rPr>
              <w:t>Заказчик)</w:t>
            </w:r>
          </w:p>
          <w:p>
            <w:pPr>
              <w:pStyle w:val="Normal"/>
              <w:widowControl w:val="false"/>
              <w:ind w:left="1460" w:hanging="0"/>
              <w:rPr/>
            </w:pPr>
            <w:r>
              <w:rPr/>
              <w:t>_________________Ф.И.О</w:t>
            </w:r>
          </w:p>
          <w:p>
            <w:pPr>
              <w:pStyle w:val="Normal"/>
              <w:widowControl w:val="false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</w:tr>
    </w:tbl>
    <w:p>
      <w:pPr>
        <w:pStyle w:val="Normal"/>
        <w:shd w:val="clear" w:color="auto" w:fill="FFFFFF"/>
        <w:jc w:val="center"/>
        <w:rPr>
          <w:b/>
          <w:bCs/>
        </w:rPr>
      </w:pPr>
      <w:r>
        <w:rPr>
          <w:b/>
          <w:bCs/>
        </w:rPr>
        <w:t xml:space="preserve">СВОДНАЯ СМЕТА № </w:t>
        <w:br/>
        <w:t>на научно-исследовательские работы (НИР/НИОКР)</w:t>
      </w:r>
    </w:p>
    <w:p>
      <w:pPr>
        <w:pStyle w:val="Normal"/>
        <w:shd w:val="clear" w:color="auto" w:fill="FFFFFF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hd w:val="clear" w:color="auto" w:fill="FFFFFF"/>
        <w:rPr/>
      </w:pPr>
      <w:r>
        <w:rPr/>
        <w:t xml:space="preserve">Наименование предприятия, здания, сооружения, стадии проектирования, этапа, вида </w:t>
      </w:r>
    </w:p>
    <w:p>
      <w:pPr>
        <w:pStyle w:val="Normal"/>
        <w:shd w:val="clear" w:color="auto" w:fill="FFFFFF"/>
        <w:rPr/>
      </w:pPr>
      <w:r>
        <w:rPr/>
        <w:t>НИР/НИОКР___________________________________________________________</w:t>
      </w:r>
    </w:p>
    <w:p>
      <w:pPr>
        <w:pStyle w:val="Normal"/>
        <w:shd w:val="clear" w:color="auto" w:fill="FFFFFF"/>
        <w:rPr/>
      </w:pPr>
      <w:r>
        <w:rPr/>
        <w:t>__________________________________________________________________</w:t>
      </w:r>
    </w:p>
    <w:p>
      <w:pPr>
        <w:pStyle w:val="Normal"/>
        <w:shd w:val="clear" w:color="auto" w:fill="FFFFFF"/>
        <w:rPr/>
      </w:pPr>
      <w:r>
        <w:rPr/>
        <w:t>Наименование подрядной организации_________________________________</w:t>
      </w:r>
    </w:p>
    <w:p>
      <w:pPr>
        <w:pStyle w:val="Normal"/>
        <w:shd w:val="clear" w:color="auto" w:fill="FFFFFF"/>
        <w:rPr/>
      </w:pPr>
      <w:r>
        <w:rPr/>
        <w:t>__________________________________________________________________</w:t>
      </w:r>
    </w:p>
    <w:p>
      <w:pPr>
        <w:pStyle w:val="Normal"/>
        <w:shd w:val="clear" w:color="auto" w:fill="FFFFFF"/>
        <w:rPr/>
      </w:pPr>
      <w:r>
        <w:rPr/>
        <w:t>Наименование организации заказчика_________________________________</w:t>
      </w:r>
    </w:p>
    <w:p>
      <w:pPr>
        <w:pStyle w:val="Normal"/>
        <w:shd w:val="clear" w:color="auto" w:fill="FFFFFF"/>
        <w:rPr/>
      </w:pPr>
      <w:r>
        <w:rPr/>
        <w:t>__________________________________________________________________</w:t>
      </w:r>
    </w:p>
    <w:p>
      <w:pPr>
        <w:pStyle w:val="Normal"/>
        <w:rPr/>
      </w:pPr>
      <w:r>
        <w:rPr/>
        <w:t>Составлена в текущих ценах, соответствующих периоду выполнения работ по договору</w:t>
      </w:r>
    </w:p>
    <w:p>
      <w:pPr>
        <w:pStyle w:val="Normal"/>
        <w:jc w:val="right"/>
        <w:rPr/>
      </w:pPr>
      <w:r>
        <w:rPr/>
        <w:t>руб.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  <w:tblLook w:val="04a0" w:noHBand="0" w:noVBand="1" w:firstColumn="1" w:lastRow="0" w:lastColumn="0" w:firstRow="1"/>
      </w:tblPr>
      <w:tblGrid>
        <w:gridCol w:w="492"/>
        <w:gridCol w:w="3743"/>
        <w:gridCol w:w="1556"/>
        <w:gridCol w:w="3562"/>
      </w:tblGrid>
      <w:tr>
        <w:trPr>
          <w:tblHeader w:val="true"/>
          <w:trHeight w:val="873" w:hRule="atLeast"/>
        </w:trPr>
        <w:tc>
          <w:tcPr>
            <w:tcW w:w="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hd w:val="clear" w:color="auto" w:fill="FFFFFF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№ </w:t>
            </w:r>
            <w:r>
              <w:rPr>
                <w:sz w:val="20"/>
              </w:rPr>
              <w:t>п.п.</w:t>
            </w:r>
          </w:p>
        </w:tc>
        <w:tc>
          <w:tcPr>
            <w:tcW w:w="3743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hd w:val="clear" w:color="auto" w:fill="FFFFFF"/>
              <w:jc w:val="center"/>
              <w:rPr>
                <w:sz w:val="20"/>
              </w:rPr>
            </w:pPr>
            <w:r>
              <w:rPr>
                <w:sz w:val="20"/>
              </w:rPr>
              <w:t>Перечень (наименование) выполняемых работ</w:t>
            </w:r>
          </w:p>
        </w:tc>
        <w:tc>
          <w:tcPr>
            <w:tcW w:w="155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hd w:val="clear" w:color="auto" w:fill="FFFFFF"/>
              <w:jc w:val="center"/>
              <w:rPr>
                <w:sz w:val="20"/>
              </w:rPr>
            </w:pPr>
            <w:r>
              <w:rPr>
                <w:sz w:val="20"/>
              </w:rPr>
              <w:t>Ссылка на № смет и расчетов</w:t>
            </w:r>
          </w:p>
        </w:tc>
        <w:tc>
          <w:tcPr>
            <w:tcW w:w="3562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hd w:val="clear" w:color="auto" w:fill="FFFFFF"/>
              <w:jc w:val="center"/>
              <w:rPr>
                <w:sz w:val="20"/>
              </w:rPr>
            </w:pPr>
            <w:r>
              <w:rPr>
                <w:sz w:val="20"/>
              </w:rPr>
              <w:t>Стоимость работ</w:t>
            </w:r>
          </w:p>
          <w:p>
            <w:pPr>
              <w:pStyle w:val="Normal"/>
              <w:widowControl w:val="false"/>
              <w:shd w:val="clear" w:color="auto" w:fill="FFFFFF"/>
              <w:jc w:val="center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>
          <w:tblHeader w:val="true"/>
        </w:trPr>
        <w:tc>
          <w:tcPr>
            <w:tcW w:w="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hd w:val="clear" w:color="auto" w:fill="FFFFFF"/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3743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hd w:val="clear" w:color="auto" w:fill="FFFFFF"/>
              <w:jc w:val="center"/>
              <w:rPr>
                <w:sz w:val="20"/>
                <w:lang w:val="en-US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55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hd w:val="clear" w:color="auto" w:fill="FFFFFF"/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3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hd w:val="clear" w:color="auto" w:fill="FFFFFF"/>
              <w:jc w:val="center"/>
              <w:rPr>
                <w:sz w:val="20"/>
                <w:lang w:val="en-US"/>
              </w:rPr>
            </w:pPr>
            <w:r>
              <w:rPr>
                <w:sz w:val="20"/>
              </w:rPr>
              <w:t>4</w:t>
            </w:r>
          </w:p>
        </w:tc>
      </w:tr>
      <w:tr>
        <w:trPr/>
        <w:tc>
          <w:tcPr>
            <w:tcW w:w="492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3743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1556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rPr>
                <w:sz w:val="20"/>
              </w:rPr>
            </w:pPr>
            <w:r>
              <w:rPr>
                <w:sz w:val="20"/>
              </w:rPr>
            </w:r>
          </w:p>
        </w:tc>
        <w:tc>
          <w:tcPr>
            <w:tcW w:w="3562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rPr>
                <w:sz w:val="20"/>
              </w:rPr>
            </w:pPr>
            <w:r>
              <w:rPr>
                <w:sz w:val="20"/>
              </w:rPr>
            </w:r>
          </w:p>
        </w:tc>
      </w:tr>
      <w:tr>
        <w:trPr/>
        <w:tc>
          <w:tcPr>
            <w:tcW w:w="492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743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56" w:type="dxa"/>
            <w:tcBorders>
              <w:top w:val="single" w:sz="2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3562" w:type="dxa"/>
            <w:tcBorders>
              <w:top w:val="single" w:sz="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</w:tbl>
    <w:p>
      <w:pPr>
        <w:pStyle w:val="Normal"/>
        <w:shd w:val="clear" w:color="auto" w:fill="FFFFFF"/>
        <w:rPr/>
      </w:pPr>
      <w:r>
        <w:rPr/>
      </w:r>
    </w:p>
    <w:p>
      <w:pPr>
        <w:pStyle w:val="Normal"/>
        <w:shd w:val="clear" w:color="auto" w:fill="FFFFFF"/>
        <w:rPr>
          <w:sz w:val="24"/>
          <w:szCs w:val="24"/>
        </w:rPr>
      </w:pPr>
      <w:r>
        <w:rPr/>
        <w:t>Итого по смете ___________________________________________________</w:t>
      </w:r>
    </w:p>
    <w:p>
      <w:pPr>
        <w:pStyle w:val="Normal"/>
        <w:shd w:val="clear" w:color="auto" w:fill="FFFFFF"/>
        <w:ind w:firstLine="1845"/>
        <w:jc w:val="center"/>
        <w:rPr/>
      </w:pPr>
      <w:r>
        <w:rPr/>
        <w:t>(сумма прописью)</w:t>
      </w:r>
    </w:p>
    <w:p>
      <w:pPr>
        <w:pStyle w:val="Normal"/>
        <w:shd w:val="clear" w:color="auto" w:fill="FFFFFF"/>
        <w:rPr>
          <w:sz w:val="20"/>
          <w:szCs w:val="20"/>
        </w:rPr>
      </w:pPr>
      <w:r>
        <w:rPr>
          <w:sz w:val="20"/>
          <w:szCs w:val="20"/>
        </w:rPr>
        <w:t>Составил:_________/должность, организация/___________/подпись/_____________/расшифровка подписи/</w:t>
      </w:r>
    </w:p>
    <w:p>
      <w:pPr>
        <w:pStyle w:val="Normal"/>
        <w:shd w:val="clear" w:color="auto" w:fill="FFFFFF"/>
        <w:rPr/>
      </w:pPr>
      <w:r>
        <w:rPr/>
      </w:r>
    </w:p>
    <w:p>
      <w:pPr>
        <w:sectPr>
          <w:headerReference w:type="default" r:id="rId15"/>
          <w:headerReference w:type="first" r:id="rId16"/>
          <w:footnotePr>
            <w:numFmt w:val="decimal"/>
            <w:numRestart w:val="eachPage"/>
          </w:footnotePr>
          <w:type w:val="nextPage"/>
          <w:pgSz w:w="11906" w:h="16838"/>
          <w:pgMar w:left="1701" w:right="851" w:gutter="0" w:header="709" w:top="1134" w:footer="0" w:bottom="1134"/>
          <w:pgNumType w:fmt="decimal"/>
          <w:formProt w:val="false"/>
          <w:textDirection w:val="lrTb"/>
          <w:docGrid w:type="default" w:linePitch="100" w:charSpace="0"/>
        </w:sectPr>
        <w:pStyle w:val="Normal"/>
        <w:rPr>
          <w:sz w:val="20"/>
          <w:szCs w:val="20"/>
        </w:rPr>
      </w:pPr>
      <w:r>
        <w:rPr>
          <w:sz w:val="20"/>
          <w:szCs w:val="20"/>
        </w:rPr>
        <w:t>Проверил:___________/должность, организация/_____________/подпись/___________/расшифровка подписи/</w:t>
      </w:r>
    </w:p>
    <w:p>
      <w:pPr>
        <w:pStyle w:val="Normal"/>
        <w:ind w:left="5670" w:hanging="0"/>
        <w:rPr>
          <w:sz w:val="20"/>
        </w:rPr>
      </w:pPr>
      <w:r>
        <w:rPr>
          <w:sz w:val="20"/>
        </w:rPr>
        <w:t>Приложение № 3.1</w:t>
      </w:r>
    </w:p>
    <w:p>
      <w:pPr>
        <w:pStyle w:val="Normal"/>
        <w:tabs>
          <w:tab w:val="clear" w:pos="708"/>
          <w:tab w:val="left" w:pos="1080" w:leader="none"/>
        </w:tabs>
        <w:ind w:left="5670" w:hanging="0"/>
        <w:jc w:val="both"/>
        <w:rPr>
          <w:sz w:val="20"/>
        </w:rPr>
      </w:pPr>
      <w:r>
        <w:rPr>
          <w:sz w:val="20"/>
        </w:rPr>
        <w:t>к Требованиям к оформлению и составлению смет или расчетов на выполнение услуг по программе НИР/НИОКР</w:t>
      </w:r>
    </w:p>
    <w:p>
      <w:pPr>
        <w:pStyle w:val="Normal"/>
        <w:rPr/>
      </w:pPr>
      <w:r>
        <w:rPr>
          <w:b/>
        </w:rPr>
        <w:t>Образец сводной сметы в накопительной форме</w:t>
      </w:r>
    </w:p>
    <w:p>
      <w:pPr>
        <w:pStyle w:val="Normal"/>
        <w:shd w:val="clear" w:color="auto" w:fill="FFFFFF"/>
        <w:ind w:left="5670" w:hanging="0"/>
        <w:rPr>
          <w:sz w:val="20"/>
          <w:szCs w:val="20"/>
        </w:rPr>
      </w:pPr>
      <w:r>
        <w:rPr>
          <w:sz w:val="20"/>
        </w:rPr>
        <w:t>Приложение №_____</w:t>
      </w:r>
    </w:p>
    <w:p>
      <w:pPr>
        <w:pStyle w:val="Normal"/>
        <w:shd w:val="clear" w:color="auto" w:fill="FFFFFF"/>
        <w:ind w:left="5670" w:hanging="0"/>
        <w:rPr>
          <w:sz w:val="20"/>
        </w:rPr>
      </w:pPr>
      <w:r>
        <w:rPr>
          <w:sz w:val="20"/>
        </w:rPr>
        <w:t>к дополнительному соглашению</w:t>
      </w:r>
      <w:r>
        <w:rPr>
          <w:sz w:val="20"/>
          <w:szCs w:val="20"/>
        </w:rPr>
        <w:t xml:space="preserve"> №____от</w:t>
      </w:r>
      <w:r>
        <w:rPr>
          <w:sz w:val="20"/>
        </w:rPr>
        <w:t xml:space="preserve"> договор №___от</w:t>
      </w:r>
      <w:r>
        <w:rPr>
          <w:sz w:val="20"/>
          <w:szCs w:val="20"/>
        </w:rPr>
        <w:t>___</w:t>
      </w:r>
    </w:p>
    <w:p>
      <w:pPr>
        <w:pStyle w:val="Normal"/>
        <w:shd w:val="clear" w:color="auto" w:fill="FFFFFF"/>
        <w:ind w:left="5530" w:hanging="0"/>
        <w:rPr/>
      </w:pPr>
      <w:r>
        <w:rPr/>
      </w:r>
    </w:p>
    <w:tbl>
      <w:tblPr>
        <w:tblW w:w="950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4526"/>
        <w:gridCol w:w="4977"/>
      </w:tblGrid>
      <w:tr>
        <w:trPr>
          <w:trHeight w:val="417" w:hRule="atLeast"/>
        </w:trPr>
        <w:tc>
          <w:tcPr>
            <w:tcW w:w="4526" w:type="dxa"/>
            <w:tcBorders/>
            <w:vAlign w:val="bottom"/>
          </w:tcPr>
          <w:p>
            <w:pPr>
              <w:pStyle w:val="Normal"/>
              <w:widowControl w:val="false"/>
              <w:rPr/>
            </w:pPr>
            <w:r>
              <w:rPr>
                <w:b/>
                <w:bCs/>
              </w:rPr>
              <w:t>СОГЛАСОВАНО:</w:t>
            </w:r>
          </w:p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/>
              <w:t>_________________(</w:t>
            </w:r>
            <w:r>
              <w:rPr>
                <w:sz w:val="20"/>
                <w:szCs w:val="20"/>
              </w:rPr>
              <w:t>Подрядчик)</w:t>
            </w:r>
          </w:p>
          <w:p>
            <w:pPr>
              <w:pStyle w:val="Normal"/>
              <w:widowControl w:val="false"/>
              <w:rPr/>
            </w:pPr>
            <w:r>
              <w:rPr/>
              <w:t>_________________Ф.И.О.</w:t>
            </w:r>
          </w:p>
          <w:p>
            <w:pPr>
              <w:pStyle w:val="Normal"/>
              <w:widowControl w:val="false"/>
              <w:rPr/>
            </w:pPr>
            <w:r>
              <w:rPr/>
            </w:r>
          </w:p>
        </w:tc>
        <w:tc>
          <w:tcPr>
            <w:tcW w:w="4977" w:type="dxa"/>
            <w:tcBorders/>
          </w:tcPr>
          <w:p>
            <w:pPr>
              <w:pStyle w:val="Normal"/>
              <w:widowControl w:val="false"/>
              <w:ind w:left="1460" w:hanging="0"/>
              <w:rPr>
                <w:b/>
                <w:bCs/>
              </w:rPr>
            </w:pPr>
            <w:r>
              <w:rPr>
                <w:b/>
                <w:bCs/>
              </w:rPr>
              <w:t>УТВЕРЖДАЮ:</w:t>
            </w:r>
          </w:p>
          <w:p>
            <w:pPr>
              <w:pStyle w:val="Normal"/>
              <w:widowControl w:val="false"/>
              <w:ind w:left="1460" w:hanging="0"/>
              <w:rPr>
                <w:bCs/>
              </w:rPr>
            </w:pPr>
            <w:r>
              <w:rPr>
                <w:bCs/>
              </w:rPr>
              <w:t>_________________(</w:t>
            </w:r>
            <w:r>
              <w:rPr>
                <w:bCs/>
                <w:sz w:val="20"/>
                <w:szCs w:val="20"/>
              </w:rPr>
              <w:t>Заказчик)</w:t>
            </w:r>
          </w:p>
          <w:p>
            <w:pPr>
              <w:pStyle w:val="Normal"/>
              <w:widowControl w:val="false"/>
              <w:ind w:left="1460" w:hanging="0"/>
              <w:rPr/>
            </w:pPr>
            <w:r>
              <w:rPr/>
              <w:t>_________________Ф.И.О</w:t>
            </w:r>
          </w:p>
          <w:p>
            <w:pPr>
              <w:pStyle w:val="Normal"/>
              <w:widowControl w:val="false"/>
              <w:rPr>
                <w:b/>
                <w:bCs/>
              </w:rPr>
            </w:pPr>
            <w:r>
              <w:rPr>
                <w:b/>
                <w:bCs/>
              </w:rPr>
            </w:r>
          </w:p>
        </w:tc>
      </w:tr>
    </w:tbl>
    <w:p>
      <w:pPr>
        <w:pStyle w:val="Normal"/>
        <w:shd w:val="clear" w:color="auto" w:fill="FFFFFF"/>
        <w:jc w:val="center"/>
        <w:rPr>
          <w:b/>
          <w:bCs/>
        </w:rPr>
      </w:pPr>
      <w:r>
        <w:rPr>
          <w:b/>
          <w:bCs/>
        </w:rPr>
        <w:t xml:space="preserve">СВОДНАЯ СМЕТА № </w:t>
        <w:br/>
        <w:t>на научно-исследовательские работы (НИР/НИОКР)</w:t>
      </w:r>
    </w:p>
    <w:p>
      <w:pPr>
        <w:pStyle w:val="Normal"/>
        <w:shd w:val="clear" w:color="auto" w:fill="FFFFFF"/>
        <w:jc w:val="center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hd w:val="clear" w:color="auto" w:fill="FFFFFF"/>
        <w:rPr/>
      </w:pPr>
      <w:r>
        <w:rPr/>
        <w:t xml:space="preserve">Наименование предприятия, здания, сооружения, стадии проектирования, этапа, вида </w:t>
      </w:r>
    </w:p>
    <w:p>
      <w:pPr>
        <w:pStyle w:val="Normal"/>
        <w:shd w:val="clear" w:color="auto" w:fill="FFFFFF"/>
        <w:rPr/>
      </w:pPr>
      <w:r>
        <w:rPr/>
        <w:t>НИР/НИОКР___________________________________________________________</w:t>
      </w:r>
    </w:p>
    <w:p>
      <w:pPr>
        <w:pStyle w:val="Normal"/>
        <w:shd w:val="clear" w:color="auto" w:fill="FFFFFF"/>
        <w:rPr/>
      </w:pPr>
      <w:r>
        <w:rPr/>
        <w:t>Наименование подрядной организации_________________________________</w:t>
      </w:r>
    </w:p>
    <w:p>
      <w:pPr>
        <w:pStyle w:val="Normal"/>
        <w:shd w:val="clear" w:color="auto" w:fill="FFFFFF"/>
        <w:rPr/>
      </w:pPr>
      <w:r>
        <w:rPr/>
        <w:t>Наименование организации заказчика_________________________________</w:t>
      </w:r>
    </w:p>
    <w:p>
      <w:pPr>
        <w:pStyle w:val="Normal"/>
        <w:rPr/>
      </w:pPr>
      <w:r>
        <w:rPr/>
        <w:t>Составлена в текущих ценах, соответствующих периоду выполнения работ по договору</w:t>
      </w:r>
    </w:p>
    <w:p>
      <w:pPr>
        <w:pStyle w:val="Normal"/>
        <w:jc w:val="right"/>
        <w:rPr/>
      </w:pPr>
      <w:r>
        <w:rPr/>
        <w:t>руб.</w:t>
      </w:r>
    </w:p>
    <w:tbl>
      <w:tblPr>
        <w:tblW w:w="5000" w:type="pct"/>
        <w:jc w:val="center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  <w:tblLook w:val="04a0" w:noHBand="0" w:noVBand="1" w:firstColumn="1" w:lastRow="0" w:lastColumn="0" w:firstRow="1"/>
      </w:tblPr>
      <w:tblGrid>
        <w:gridCol w:w="492"/>
        <w:gridCol w:w="3743"/>
        <w:gridCol w:w="1556"/>
        <w:gridCol w:w="3562"/>
      </w:tblGrid>
      <w:tr>
        <w:trPr>
          <w:tblHeader w:val="true"/>
          <w:trHeight w:val="873" w:hRule="atLeast"/>
        </w:trPr>
        <w:tc>
          <w:tcPr>
            <w:tcW w:w="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hd w:val="clear" w:color="auto" w:fill="FFFFFF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r>
              <w:rPr>
                <w:sz w:val="20"/>
                <w:szCs w:val="20"/>
              </w:rPr>
              <w:t>п.п.</w:t>
            </w:r>
          </w:p>
        </w:tc>
        <w:tc>
          <w:tcPr>
            <w:tcW w:w="3743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hd w:val="clear" w:color="auto" w:fill="FFFFFF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Перечень (наименование) выполняемых работ</w:t>
            </w:r>
          </w:p>
        </w:tc>
        <w:tc>
          <w:tcPr>
            <w:tcW w:w="155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hd w:val="clear" w:color="auto" w:fill="FFFFFF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Ссылка на № смет и расчетов</w:t>
            </w:r>
          </w:p>
        </w:tc>
        <w:tc>
          <w:tcPr>
            <w:tcW w:w="3562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hd w:val="clear" w:color="auto" w:fill="FFFFFF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Стоимость работ</w:t>
            </w:r>
          </w:p>
          <w:p>
            <w:pPr>
              <w:pStyle w:val="Normal"/>
              <w:widowControl w:val="false"/>
              <w:shd w:val="clear" w:color="auto" w:fill="FFFFFF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</w:tr>
      <w:tr>
        <w:trPr>
          <w:tblHeader w:val="true"/>
        </w:trPr>
        <w:tc>
          <w:tcPr>
            <w:tcW w:w="4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hd w:val="clear" w:color="auto" w:fill="FFFFFF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743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2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hd w:val="clear" w:color="auto" w:fill="FFFFFF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556" w:type="dxa"/>
            <w:tcBorders>
              <w:top w:val="single" w:sz="6" w:space="0" w:color="000000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hd w:val="clear" w:color="auto" w:fill="FFFFFF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5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color="auto" w:fill="FFFFFF" w:val="clear"/>
            <w:vAlign w:val="center"/>
          </w:tcPr>
          <w:p>
            <w:pPr>
              <w:pStyle w:val="Normal"/>
              <w:widowControl w:val="false"/>
              <w:shd w:val="clear" w:color="auto" w:fill="FFFFFF"/>
              <w:jc w:val="center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</w:rPr>
              <w:t>4</w:t>
            </w:r>
          </w:p>
        </w:tc>
      </w:tr>
      <w:tr>
        <w:trPr/>
        <w:tc>
          <w:tcPr>
            <w:tcW w:w="9353" w:type="dxa"/>
            <w:gridSpan w:val="4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Сметы основного договора</w:t>
            </w:r>
          </w:p>
        </w:tc>
      </w:tr>
      <w:tr>
        <w:trPr/>
        <w:tc>
          <w:tcPr>
            <w:tcW w:w="492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3743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556" w:type="dxa"/>
            <w:tcBorders>
              <w:top w:val="single" w:sz="6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562" w:type="dxa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/>
        <w:tc>
          <w:tcPr>
            <w:tcW w:w="49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3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56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/>
        <w:tc>
          <w:tcPr>
            <w:tcW w:w="49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Итого по сметам основного договора</w:t>
            </w:r>
          </w:p>
        </w:tc>
        <w:tc>
          <w:tcPr>
            <w:tcW w:w="1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56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/>
        <w:tc>
          <w:tcPr>
            <w:tcW w:w="9353" w:type="dxa"/>
            <w:gridSpan w:val="4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Исключено ДС №1</w:t>
            </w:r>
          </w:p>
        </w:tc>
      </w:tr>
      <w:tr>
        <w:trPr/>
        <w:tc>
          <w:tcPr>
            <w:tcW w:w="49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3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56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/>
        <w:tc>
          <w:tcPr>
            <w:tcW w:w="49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3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56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/>
        <w:tc>
          <w:tcPr>
            <w:tcW w:w="49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Итого исключено дополнительным соглашением № 1</w:t>
            </w:r>
          </w:p>
        </w:tc>
        <w:tc>
          <w:tcPr>
            <w:tcW w:w="1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56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/>
        <w:tc>
          <w:tcPr>
            <w:tcW w:w="9353" w:type="dxa"/>
            <w:gridSpan w:val="4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Включено ДС №1</w:t>
            </w:r>
          </w:p>
        </w:tc>
      </w:tr>
      <w:tr>
        <w:trPr/>
        <w:tc>
          <w:tcPr>
            <w:tcW w:w="49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3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56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/>
        <w:tc>
          <w:tcPr>
            <w:tcW w:w="49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3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56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/>
        <w:tc>
          <w:tcPr>
            <w:tcW w:w="49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Итого включено дополнительным соглашением № 1</w:t>
            </w:r>
          </w:p>
        </w:tc>
        <w:tc>
          <w:tcPr>
            <w:tcW w:w="1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56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/>
        <w:tc>
          <w:tcPr>
            <w:tcW w:w="49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56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/>
        <w:tc>
          <w:tcPr>
            <w:tcW w:w="49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ВСЕГО по договору подряда с учетом ДС №… без НДС:</w:t>
            </w:r>
          </w:p>
        </w:tc>
        <w:tc>
          <w:tcPr>
            <w:tcW w:w="1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56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/>
        <w:tc>
          <w:tcPr>
            <w:tcW w:w="49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Справочно:</w:t>
            </w:r>
          </w:p>
        </w:tc>
        <w:tc>
          <w:tcPr>
            <w:tcW w:w="1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56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/>
        <w:tc>
          <w:tcPr>
            <w:tcW w:w="49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rPr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Сумма основного договора, без НДС</w:t>
            </w:r>
          </w:p>
        </w:tc>
        <w:tc>
          <w:tcPr>
            <w:tcW w:w="1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56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/>
        <w:tc>
          <w:tcPr>
            <w:tcW w:w="49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rPr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Сумма изменения</w:t>
              <w:br/>
              <w:t>(увеличения/уменьшения) стоимости основного договора на основании ДС № 1, без НДС</w:t>
            </w:r>
          </w:p>
        </w:tc>
        <w:tc>
          <w:tcPr>
            <w:tcW w:w="1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56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  <w:tr>
        <w:trPr/>
        <w:tc>
          <w:tcPr>
            <w:tcW w:w="49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7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rPr>
                <w:sz w:val="18"/>
                <w:szCs w:val="18"/>
              </w:rPr>
            </w:pPr>
            <w:r>
              <w:rPr>
                <w:i/>
                <w:sz w:val="18"/>
                <w:szCs w:val="18"/>
              </w:rPr>
              <w:t>Сумма изменения</w:t>
              <w:br/>
              <w:t>(увеличения/уменьшения) стоимости основного договора на основании ДС № 2, без НДС</w:t>
            </w:r>
          </w:p>
        </w:tc>
        <w:tc>
          <w:tcPr>
            <w:tcW w:w="15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3562" w:type="dxa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  <w:shd w:color="auto" w:fill="FFFFFF" w:val="clear"/>
          </w:tcPr>
          <w:p>
            <w:pPr>
              <w:pStyle w:val="Normal"/>
              <w:widowControl w:val="false"/>
              <w:shd w:val="clear" w:color="auto" w:fill="FFFFFF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</w:tr>
    </w:tbl>
    <w:p>
      <w:pPr>
        <w:pStyle w:val="Normal"/>
        <w:shd w:val="clear" w:color="auto" w:fill="FFFFFF"/>
        <w:rPr/>
      </w:pPr>
      <w:r>
        <w:rPr/>
      </w:r>
    </w:p>
    <w:p>
      <w:pPr>
        <w:pStyle w:val="Normal"/>
        <w:shd w:val="clear" w:color="auto" w:fill="FFFFFF"/>
        <w:rPr>
          <w:sz w:val="24"/>
          <w:szCs w:val="24"/>
        </w:rPr>
      </w:pPr>
      <w:r>
        <w:rPr/>
        <w:t>Итого по смете ___________________________________________________</w:t>
      </w:r>
    </w:p>
    <w:p>
      <w:pPr>
        <w:pStyle w:val="Normal"/>
        <w:shd w:val="clear" w:color="auto" w:fill="FFFFFF"/>
        <w:ind w:firstLine="1845"/>
        <w:jc w:val="center"/>
        <w:rPr/>
      </w:pPr>
      <w:r>
        <w:rPr/>
        <w:t>(сумма прописью)</w:t>
      </w:r>
    </w:p>
    <w:p>
      <w:pPr>
        <w:pStyle w:val="Normal"/>
        <w:shd w:val="clear" w:color="auto" w:fill="FFFFFF"/>
        <w:rPr>
          <w:sz w:val="20"/>
          <w:szCs w:val="20"/>
        </w:rPr>
      </w:pPr>
      <w:r>
        <w:rPr>
          <w:sz w:val="20"/>
          <w:szCs w:val="20"/>
        </w:rPr>
        <w:t>Составил:_________/должность, организация/___________/подпись/_____________/расшифровка подписи/</w:t>
      </w:r>
    </w:p>
    <w:p>
      <w:pPr>
        <w:pStyle w:val="Normal"/>
        <w:shd w:val="clear" w:color="auto" w:fill="FFFFFF"/>
        <w:rPr/>
      </w:pPr>
      <w:r>
        <w:rPr/>
      </w:r>
    </w:p>
    <w:p>
      <w:pPr>
        <w:sectPr>
          <w:headerReference w:type="default" r:id="rId17"/>
          <w:headerReference w:type="first" r:id="rId18"/>
          <w:footnotePr>
            <w:numFmt w:val="decimal"/>
            <w:numRestart w:val="eachPage"/>
          </w:footnotePr>
          <w:type w:val="nextPage"/>
          <w:pgSz w:w="11906" w:h="16838"/>
          <w:pgMar w:left="1701" w:right="851" w:gutter="0" w:header="709" w:top="1134" w:footer="0" w:bottom="1134"/>
          <w:pgNumType w:fmt="decimal"/>
          <w:formProt w:val="false"/>
          <w:textDirection w:val="lrTb"/>
          <w:docGrid w:type="default" w:linePitch="100" w:charSpace="0"/>
        </w:sectPr>
        <w:pStyle w:val="Normal"/>
        <w:rPr/>
      </w:pPr>
      <w:r>
        <w:rPr>
          <w:sz w:val="20"/>
          <w:szCs w:val="20"/>
        </w:rPr>
        <w:t>Проверил:___________/должность, организация/_____________/подпись/___________/расшифровка подписи/</w:t>
      </w:r>
    </w:p>
    <w:p>
      <w:pPr>
        <w:pStyle w:val="Normal"/>
        <w:jc w:val="right"/>
        <w:rPr>
          <w:sz w:val="20"/>
        </w:rPr>
      </w:pPr>
      <w:r>
        <w:rPr>
          <w:sz w:val="20"/>
        </w:rPr>
        <w:t>Приложение № 4</w:t>
      </w:r>
    </w:p>
    <w:p>
      <w:pPr>
        <w:pStyle w:val="Normal"/>
        <w:ind w:left="5670" w:hanging="0"/>
        <w:jc w:val="right"/>
        <w:rPr>
          <w:sz w:val="20"/>
        </w:rPr>
      </w:pPr>
      <w:r>
        <w:rPr>
          <w:sz w:val="20"/>
        </w:rPr>
        <w:t>к пояснительной записке по заполнению формы 3п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hanging="567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Образец расчета командировочных расходов</w:t>
      </w:r>
    </w:p>
    <w:p>
      <w:pPr>
        <w:pStyle w:val="Normal"/>
        <w:ind w:hanging="567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hanging="567"/>
        <w:jc w:val="right"/>
        <w:rPr>
          <w:b/>
        </w:rPr>
      </w:pPr>
      <w:r>
        <w:rPr/>
        <w:t>Приложение № __ к смете № __</w:t>
      </w:r>
    </w:p>
    <w:p>
      <w:pPr>
        <w:pStyle w:val="Normal"/>
        <w:ind w:hanging="567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Расчет командировочных расходов</w:t>
      </w:r>
    </w:p>
    <w:tbl>
      <w:tblPr>
        <w:tblW w:w="10787" w:type="dxa"/>
        <w:jc w:val="left"/>
        <w:tblInd w:w="-572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551"/>
        <w:gridCol w:w="630"/>
        <w:gridCol w:w="876"/>
        <w:gridCol w:w="997"/>
        <w:gridCol w:w="1254"/>
        <w:gridCol w:w="730"/>
        <w:gridCol w:w="1179"/>
        <w:gridCol w:w="1278"/>
        <w:gridCol w:w="895"/>
        <w:gridCol w:w="922"/>
        <w:gridCol w:w="1251"/>
        <w:gridCol w:w="222"/>
      </w:tblGrid>
      <w:tr>
        <w:trPr/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r>
              <w:rPr>
                <w:sz w:val="20"/>
                <w:szCs w:val="20"/>
              </w:rPr>
              <w:t>пп.</w:t>
            </w:r>
          </w:p>
        </w:tc>
        <w:tc>
          <w:tcPr>
            <w:tcW w:w="15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Пункт назначения </w:t>
              <w:br/>
              <w:t>(туда / обратно)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Вид транспорта</w:t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Стоимость проезда, руб. (без НДС)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Кол-во дней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Стоимость суточных, руб./сут. </w:t>
              <w:br/>
              <w:t>(без НДС)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Стоимость проживания, руб./сут. </w:t>
              <w:br/>
              <w:t>(без НДС)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Кол-во командировок</w:t>
            </w: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Кол-во командированных человек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Итого стоимость командировочных расходов, руб. </w:t>
              <w:br/>
              <w:t>(без НДС)</w:t>
            </w:r>
          </w:p>
        </w:tc>
        <w:tc>
          <w:tcPr>
            <w:tcW w:w="222" w:type="dxa"/>
            <w:tcBorders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/>
        <w:tc>
          <w:tcPr>
            <w:tcW w:w="11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</w:tc>
        <w:tc>
          <w:tcPr>
            <w:tcW w:w="960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Из пункта 1 в пункт 5</w:t>
            </w:r>
          </w:p>
        </w:tc>
      </w:tr>
      <w:tr>
        <w:trPr/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5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Из пункта 1 в пункт 2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22" w:type="dxa"/>
            <w:tcBorders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/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5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Из пункта 2 в пункт 3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22" w:type="dxa"/>
            <w:tcBorders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/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</w:t>
            </w:r>
          </w:p>
        </w:tc>
        <w:tc>
          <w:tcPr>
            <w:tcW w:w="15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</w:t>
            </w: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</w:t>
            </w:r>
          </w:p>
        </w:tc>
        <w:tc>
          <w:tcPr>
            <w:tcW w:w="222" w:type="dxa"/>
            <w:tcBorders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/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5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Из пункта 4 в пункт 5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22" w:type="dxa"/>
            <w:tcBorders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/>
        <w:tc>
          <w:tcPr>
            <w:tcW w:w="11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</w:tc>
        <w:tc>
          <w:tcPr>
            <w:tcW w:w="813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Итого стоимость командировочных расходов из пункта 1 в пункт 5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22" w:type="dxa"/>
            <w:tcBorders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/>
        <w:tc>
          <w:tcPr>
            <w:tcW w:w="11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</w:tc>
        <w:tc>
          <w:tcPr>
            <w:tcW w:w="9604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Из пункта 5 в пункт 1</w:t>
            </w:r>
          </w:p>
        </w:tc>
      </w:tr>
      <w:tr>
        <w:trPr/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5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Из пункта 5 в пункт 4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22" w:type="dxa"/>
            <w:tcBorders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/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5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Из пункта 4 в пункт 3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22" w:type="dxa"/>
            <w:tcBorders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/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</w:t>
            </w:r>
          </w:p>
        </w:tc>
        <w:tc>
          <w:tcPr>
            <w:tcW w:w="15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</w:t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</w:t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</w:t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</w:t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</w:t>
            </w: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…</w:t>
            </w:r>
          </w:p>
        </w:tc>
        <w:tc>
          <w:tcPr>
            <w:tcW w:w="222" w:type="dxa"/>
            <w:tcBorders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/>
        <w:tc>
          <w:tcPr>
            <w:tcW w:w="5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50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Из пункта 2 в пункт 1</w:t>
            </w:r>
          </w:p>
        </w:tc>
        <w:tc>
          <w:tcPr>
            <w:tcW w:w="9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8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22" w:type="dxa"/>
            <w:tcBorders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/>
        <w:tc>
          <w:tcPr>
            <w:tcW w:w="11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</w:tc>
        <w:tc>
          <w:tcPr>
            <w:tcW w:w="813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Итого стоимость командировочных расходов из пункта 5 в пункт 1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22" w:type="dxa"/>
            <w:tcBorders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  <w:tr>
        <w:trPr>
          <w:trHeight w:val="294" w:hRule="atLeast"/>
        </w:trPr>
        <w:tc>
          <w:tcPr>
            <w:tcW w:w="118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widowControl w:val="false"/>
              <w:jc w:val="right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</w:r>
          </w:p>
        </w:tc>
        <w:tc>
          <w:tcPr>
            <w:tcW w:w="813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  <w:vAlign w:val="center"/>
          </w:tcPr>
          <w:p>
            <w:pPr>
              <w:pStyle w:val="Normal"/>
              <w:widowControl w:val="false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Всего стоимость командировочных расходов</w:t>
            </w:r>
          </w:p>
        </w:tc>
        <w:tc>
          <w:tcPr>
            <w:tcW w:w="12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</w:r>
          </w:p>
        </w:tc>
        <w:tc>
          <w:tcPr>
            <w:tcW w:w="222" w:type="dxa"/>
            <w:tcBorders/>
          </w:tcPr>
          <w:p>
            <w:pPr>
              <w:pStyle w:val="Normal"/>
              <w:widowControl w:val="false"/>
              <w:rPr/>
            </w:pPr>
            <w:r>
              <w:rPr/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ind w:left="8080" w:hanging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clear" w:pos="708"/>
          <w:tab w:val="left" w:pos="1260" w:leader="none"/>
        </w:tabs>
        <w:ind w:left="1260" w:hanging="1080"/>
        <w:jc w:val="right"/>
        <w:rPr>
          <w:sz w:val="22"/>
          <w:szCs w:val="22"/>
        </w:rPr>
      </w:pPr>
      <w:r>
        <w:rPr>
          <w:sz w:val="24"/>
          <w:szCs w:val="24"/>
        </w:rPr>
        <w:t xml:space="preserve"> </w:t>
      </w:r>
    </w:p>
    <w:p>
      <w:pPr>
        <w:pStyle w:val="Normal"/>
        <w:ind w:left="8080" w:hanging="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widowControl w:val="false"/>
        <w:tabs>
          <w:tab w:val="clear" w:pos="708"/>
          <w:tab w:val="left" w:pos="426" w:leader="none"/>
        </w:tabs>
        <w:spacing w:before="120" w:after="120"/>
        <w:jc w:val="both"/>
        <w:rPr>
          <w:rStyle w:val="Style8"/>
          <w:b w:val="false"/>
          <w:bCs/>
          <w:iCs/>
          <w:sz w:val="26"/>
          <w:szCs w:val="26"/>
        </w:rPr>
      </w:pPr>
      <w:r>
        <w:rPr>
          <w:b w:val="false"/>
          <w:bCs/>
          <w:iCs/>
          <w:sz w:val="26"/>
          <w:szCs w:val="26"/>
        </w:rPr>
      </w:r>
    </w:p>
    <w:p>
      <w:pPr>
        <w:pStyle w:val="Normal"/>
        <w:rPr>
          <w:i/>
          <w:i/>
          <w:iCs/>
          <w:sz w:val="24"/>
          <w:szCs w:val="24"/>
          <w:shd w:fill="FFFF99" w:val="clear"/>
        </w:rPr>
      </w:pPr>
      <w:r>
        <w:rPr>
          <w:i/>
          <w:iCs/>
          <w:sz w:val="24"/>
          <w:szCs w:val="24"/>
          <w:shd w:fill="FFFF99" w:val="clear"/>
        </w:rPr>
      </w:r>
      <w:r>
        <w:br w:type="page"/>
      </w:r>
    </w:p>
    <w:p>
      <w:pPr>
        <w:pStyle w:val="Normal"/>
        <w:widowControl w:val="false"/>
        <w:tabs>
          <w:tab w:val="clear" w:pos="708"/>
          <w:tab w:val="left" w:pos="426" w:leader="none"/>
        </w:tabs>
        <w:spacing w:before="120" w:after="120"/>
        <w:jc w:val="both"/>
        <w:rPr>
          <w:rStyle w:val="Style8"/>
          <w:b w:val="false"/>
          <w:iCs/>
          <w:sz w:val="26"/>
          <w:szCs w:val="26"/>
        </w:rPr>
      </w:pPr>
      <w:r>
        <w:rPr>
          <w:b w:val="false"/>
          <w:iCs/>
          <w:sz w:val="26"/>
          <w:szCs w:val="26"/>
        </w:rPr>
      </w:r>
    </w:p>
    <w:p>
      <w:pPr>
        <w:pStyle w:val="Normal"/>
        <w:spacing w:before="240" w:after="120"/>
        <w:jc w:val="center"/>
        <w:rPr>
          <w:b/>
          <w:bCs/>
          <w:i/>
          <w:i/>
          <w:caps/>
          <w:sz w:val="26"/>
          <w:szCs w:val="26"/>
          <w:shd w:fill="FFFF99" w:val="clear"/>
        </w:rPr>
      </w:pPr>
      <w:r>
        <w:rPr>
          <w:b/>
          <w:bCs/>
          <w:caps/>
        </w:rPr>
        <w:t>Лист согласования к техническим требованиям на выполнение научно-исследовательских, опытно-конструкторских и технологических работ</w:t>
      </w:r>
    </w:p>
    <w:p>
      <w:pPr>
        <w:pStyle w:val="Normal"/>
        <w:spacing w:before="0" w:after="120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spacing w:before="0" w:after="120"/>
        <w:rPr>
          <w:i/>
          <w:i/>
          <w:sz w:val="24"/>
          <w:szCs w:val="24"/>
        </w:rPr>
      </w:pPr>
      <w:r>
        <w:rPr>
          <w:i/>
          <w:sz w:val="24"/>
          <w:szCs w:val="24"/>
        </w:rPr>
        <w:t>По теме:</w:t>
      </w:r>
    </w:p>
    <w:p>
      <w:pPr>
        <w:pStyle w:val="Normal"/>
        <w:rPr>
          <w:b/>
        </w:rPr>
      </w:pPr>
      <w:r>
        <w:rPr>
          <w:sz w:val="24"/>
          <w:szCs w:val="24"/>
        </w:rPr>
        <w:t>«</w:t>
      </w:r>
      <w:r>
        <w:rPr>
          <w:b/>
          <w:bCs/>
        </w:rPr>
        <w:t>Проведение экспертизы промышленной безопасности здания являющегося площадкой опасных производственных объектов Гунибской ГЭС</w:t>
      </w:r>
      <w:r>
        <w:rPr>
          <w:b/>
          <w:sz w:val="24"/>
          <w:szCs w:val="24"/>
        </w:rPr>
        <w:t>»</w:t>
      </w:r>
    </w:p>
    <w:p>
      <w:pPr>
        <w:pStyle w:val="Normal"/>
        <w:spacing w:before="0" w:after="120"/>
        <w:rPr>
          <w:i/>
          <w:i/>
          <w:iCs/>
          <w:sz w:val="26"/>
          <w:szCs w:val="26"/>
          <w:shd w:fill="FFFF99" w:val="clear"/>
        </w:rPr>
      </w:pPr>
      <w:r>
        <w:rPr>
          <w:i/>
          <w:iCs/>
          <w:sz w:val="26"/>
          <w:szCs w:val="26"/>
          <w:shd w:fill="FFFF99" w:val="clear"/>
        </w:rPr>
      </w:r>
    </w:p>
    <w:p>
      <w:pPr>
        <w:pStyle w:val="Normal"/>
        <w:spacing w:before="0" w:after="120"/>
        <w:rPr>
          <w:i/>
          <w:i/>
          <w:iCs/>
          <w:sz w:val="26"/>
          <w:szCs w:val="26"/>
          <w:shd w:fill="FFFF99" w:val="clear"/>
        </w:rPr>
      </w:pPr>
      <w:r>
        <w:rPr>
          <w:i/>
          <w:iCs/>
          <w:sz w:val="26"/>
          <w:szCs w:val="26"/>
          <w:shd w:fill="FFFF99" w:val="clear"/>
        </w:rPr>
      </w:r>
    </w:p>
    <w:p>
      <w:pPr>
        <w:pStyle w:val="Normal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Согласовано:</w:t>
      </w:r>
    </w:p>
    <w:p>
      <w:pPr>
        <w:pStyle w:val="Normal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Технический руководитель </w:t>
        <w:tab/>
        <w:tab/>
        <w:tab/>
        <w:tab/>
        <w:t xml:space="preserve">Начальник ПТС </w:t>
      </w:r>
    </w:p>
    <w:p>
      <w:pPr>
        <w:pStyle w:val="Normal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ОП «Ирганайская ГЭС»                 </w:t>
      </w:r>
      <w:bookmarkStart w:id="34" w:name="_GoBack"/>
      <w:bookmarkEnd w:id="34"/>
      <w:r>
        <w:rPr>
          <w:b/>
          <w:sz w:val="24"/>
          <w:szCs w:val="24"/>
        </w:rPr>
        <w:t xml:space="preserve">                                 </w:t>
      </w:r>
    </w:p>
    <w:p>
      <w:pPr>
        <w:pStyle w:val="Normal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____________ И.Ш. Гаджиев</w:t>
        <w:tab/>
        <w:tab/>
        <w:tab/>
        <w:t xml:space="preserve">           ___________З.А. Ахмедов</w:t>
      </w:r>
    </w:p>
    <w:p>
      <w:pPr>
        <w:pStyle w:val="Normal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«____» ______________202</w:t>
      </w:r>
      <w:r>
        <w:rPr>
          <w:b/>
          <w:sz w:val="24"/>
          <w:szCs w:val="24"/>
          <w:lang w:val="en-US"/>
        </w:rPr>
        <w:t>6</w:t>
      </w:r>
      <w:r>
        <w:rPr>
          <w:b/>
          <w:sz w:val="24"/>
          <w:szCs w:val="24"/>
        </w:rPr>
        <w:t>г.</w:t>
        <w:tab/>
        <w:tab/>
        <w:tab/>
        <w:tab/>
        <w:t>«____» _____________202</w:t>
      </w:r>
      <w:r>
        <w:rPr>
          <w:b/>
          <w:sz w:val="24"/>
          <w:szCs w:val="24"/>
          <w:lang w:val="en-US"/>
        </w:rPr>
        <w:t>6</w:t>
      </w:r>
      <w:r>
        <w:rPr>
          <w:b/>
          <w:sz w:val="24"/>
          <w:szCs w:val="24"/>
        </w:rPr>
        <w:t>г.</w:t>
      </w:r>
    </w:p>
    <w:p>
      <w:pPr>
        <w:pStyle w:val="Normal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  <w:tab/>
        <w:tab/>
        <w:tab/>
        <w:tab/>
      </w:r>
    </w:p>
    <w:p>
      <w:pPr>
        <w:pStyle w:val="Normal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Начальник службы СОТ и ПК </w:t>
        <w:tab/>
        <w:tab/>
        <w:tab/>
        <w:tab/>
        <w:t>Начальник СПСР, ТПиР</w:t>
      </w:r>
    </w:p>
    <w:p>
      <w:pPr>
        <w:pStyle w:val="Normal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__________С.В. Шевченко</w:t>
        <w:tab/>
        <w:tab/>
        <w:tab/>
        <w:tab/>
        <w:t>___________Д.М. Саидов</w:t>
      </w:r>
    </w:p>
    <w:p>
      <w:pPr>
        <w:pStyle w:val="Normal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«____» ______________202</w:t>
      </w:r>
      <w:r>
        <w:rPr>
          <w:b/>
          <w:sz w:val="24"/>
          <w:szCs w:val="24"/>
          <w:lang w:val="en-US"/>
        </w:rPr>
        <w:t>6</w:t>
      </w:r>
      <w:r>
        <w:rPr>
          <w:b/>
          <w:sz w:val="24"/>
          <w:szCs w:val="24"/>
        </w:rPr>
        <w:t>г.</w:t>
        <w:tab/>
        <w:tab/>
        <w:tab/>
        <w:tab/>
        <w:t>«____» _____________202</w:t>
      </w:r>
      <w:r>
        <w:rPr>
          <w:b/>
          <w:sz w:val="24"/>
          <w:szCs w:val="24"/>
          <w:lang w:val="en-US"/>
        </w:rPr>
        <w:t>6</w:t>
      </w:r>
      <w:r>
        <w:rPr>
          <w:b/>
          <w:sz w:val="24"/>
          <w:szCs w:val="24"/>
        </w:rPr>
        <w:t>г.</w:t>
      </w:r>
    </w:p>
    <w:p>
      <w:pPr>
        <w:pStyle w:val="Normal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  <w:tab/>
        <w:tab/>
        <w:tab/>
        <w:tab/>
        <w:tab/>
      </w:r>
    </w:p>
    <w:p>
      <w:pPr>
        <w:pStyle w:val="Normal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Зам. главного инженера </w:t>
        <w:tab/>
        <w:tab/>
        <w:t xml:space="preserve">                                   Зам. главного инженера</w:t>
      </w:r>
    </w:p>
    <w:p>
      <w:pPr>
        <w:pStyle w:val="Normal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по эксплуатации</w:t>
        <w:tab/>
        <w:tab/>
        <w:tab/>
        <w:tab/>
        <w:tab/>
        <w:tab/>
        <w:t>по технической части</w:t>
      </w:r>
    </w:p>
    <w:p>
      <w:pPr>
        <w:pStyle w:val="Normal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__________Н.А. Щуцкий</w:t>
        <w:tab/>
        <w:tab/>
        <w:tab/>
        <w:tab/>
        <w:tab/>
        <w:t>____________Б.Т. Юшаев</w:t>
      </w:r>
    </w:p>
    <w:p>
      <w:pPr>
        <w:pStyle w:val="Normal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«____» ______________2026г.</w:t>
        <w:tab/>
        <w:tab/>
        <w:tab/>
        <w:tab/>
        <w:t>«____» _____________202</w:t>
      </w:r>
      <w:r>
        <w:rPr>
          <w:b/>
          <w:sz w:val="24"/>
          <w:szCs w:val="24"/>
          <w:lang w:val="en-US"/>
        </w:rPr>
        <w:t>6</w:t>
      </w:r>
      <w:r>
        <w:rPr>
          <w:b/>
          <w:sz w:val="24"/>
          <w:szCs w:val="24"/>
        </w:rPr>
        <w:t>г.</w:t>
      </w:r>
    </w:p>
    <w:p>
      <w:pPr>
        <w:pStyle w:val="Normal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  <w:tab/>
        <w:tab/>
        <w:tab/>
        <w:tab/>
      </w:r>
    </w:p>
    <w:p>
      <w:pPr>
        <w:pStyle w:val="Normal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Руководитель ГТС и ПЗ ПТС</w:t>
      </w:r>
    </w:p>
    <w:p>
      <w:pPr>
        <w:pStyle w:val="Normal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  <w:tab/>
        <w:tab/>
        <w:tab/>
      </w:r>
    </w:p>
    <w:p>
      <w:pPr>
        <w:pStyle w:val="Normal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____________Ш.О. Шагрудинов</w:t>
        <w:tab/>
        <w:tab/>
      </w:r>
    </w:p>
    <w:p>
      <w:pPr>
        <w:pStyle w:val="Normal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«____» _____________202</w:t>
      </w:r>
      <w:r>
        <w:rPr>
          <w:b/>
          <w:sz w:val="24"/>
          <w:szCs w:val="24"/>
          <w:lang w:val="en-US"/>
        </w:rPr>
        <w:t>6</w:t>
      </w:r>
      <w:r>
        <w:rPr>
          <w:b/>
          <w:sz w:val="24"/>
          <w:szCs w:val="24"/>
        </w:rPr>
        <w:t xml:space="preserve">г. </w:t>
        <w:tab/>
        <w:tab/>
        <w:tab/>
      </w:r>
    </w:p>
    <w:p>
      <w:pPr>
        <w:pStyle w:val="Normal"/>
        <w:spacing w:before="0" w:after="120"/>
        <w:rPr>
          <w:i/>
          <w:i/>
          <w:iCs/>
          <w:sz w:val="26"/>
          <w:szCs w:val="26"/>
          <w:shd w:fill="FFFF99" w:val="clear"/>
        </w:rPr>
      </w:pPr>
      <w:r>
        <w:rPr>
          <w:i/>
          <w:iCs/>
          <w:sz w:val="26"/>
          <w:szCs w:val="26"/>
          <w:shd w:fill="FFFF99" w:val="clear"/>
        </w:rPr>
      </w:r>
    </w:p>
    <w:p>
      <w:pPr>
        <w:pStyle w:val="Normal"/>
        <w:spacing w:before="0" w:after="120"/>
        <w:jc w:val="both"/>
        <w:rPr>
          <w:i/>
          <w:i/>
          <w:iCs/>
          <w:sz w:val="24"/>
          <w:szCs w:val="24"/>
          <w:shd w:fill="FFFF99" w:val="clear"/>
        </w:rPr>
      </w:pPr>
      <w:r>
        <w:rPr>
          <w:i/>
          <w:iCs/>
          <w:sz w:val="24"/>
          <w:szCs w:val="24"/>
          <w:shd w:fill="FFFF99" w:val="clear"/>
        </w:rPr>
      </w:r>
    </w:p>
    <w:p>
      <w:pPr>
        <w:pStyle w:val="Normal"/>
        <w:spacing w:before="0" w:after="120"/>
        <w:jc w:val="right"/>
        <w:rPr>
          <w:i/>
          <w:i/>
          <w:iCs/>
          <w:sz w:val="24"/>
          <w:szCs w:val="24"/>
          <w:shd w:fill="FFFF99" w:val="clear"/>
        </w:rPr>
      </w:pPr>
      <w:r>
        <w:rPr/>
      </w:r>
    </w:p>
    <w:sectPr>
      <w:headerReference w:type="default" r:id="rId19"/>
      <w:headerReference w:type="first" r:id="rId20"/>
      <w:footnotePr>
        <w:numFmt w:val="decimal"/>
        <w:numRestart w:val="eachPage"/>
      </w:footnotePr>
      <w:type w:val="nextPage"/>
      <w:pgSz w:w="11906" w:h="16838"/>
      <w:pgMar w:left="1134" w:right="851" w:gutter="0" w:header="680" w:top="1134" w:footer="0" w:bottom="992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Carlito">
    <w:altName w:val="Calibri"/>
    <w:charset w:val="01"/>
    <w:family w:val="roman"/>
    <w:pitch w:val="variable"/>
  </w:font>
  <w:font w:name="Times New Roman">
    <w:charset w:val="01"/>
    <w:family w:val="roman"/>
    <w:pitch w:val="variable"/>
  </w:font>
  <w:font w:name="Cambria">
    <w:charset w:val="01"/>
    <w:family w:val="roman"/>
    <w:pitch w:val="variable"/>
  </w:font>
  <w:font w:name="Arial">
    <w:charset w:val="01"/>
    <w:family w:val="roman"/>
    <w:pitch w:val="variable"/>
  </w:font>
  <w:font w:name="Calibri">
    <w:charset w:val="01"/>
    <w:family w:val="roman"/>
    <w:pitch w:val="variable"/>
  </w:font>
  <w:font w:name="OpenSymbol">
    <w:altName w:val="Arial Unicode MS"/>
    <w:charset w:val="01"/>
    <w:family w:val="roman"/>
    <w:pitch w:val="variable"/>
  </w:font>
  <w:font w:name="Liberation Sans">
    <w:altName w:val="Arial"/>
    <w:charset w:val="01"/>
    <w:family w:val="roman"/>
    <w:pitch w:val="variable"/>
  </w:font>
  <w:font w:name="Tahoma">
    <w:charset w:val="01"/>
    <w:family w:val="roman"/>
    <w:pitch w:val="variable"/>
  </w:font>
  <w:font w:name="Arial Unicode MS">
    <w:charset w:val="01"/>
    <w:family w:val="roman"/>
    <w:pitch w:val="variable"/>
  </w:font>
  <w:font w:name="Verdana">
    <w:charset w:val="01"/>
    <w:family w:val="roman"/>
    <w:pitch w:val="variable"/>
  </w:font>
  <w:font w:name="Garamond">
    <w:charset w:val="01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default"/>
  </w:font>
  <w:font w:name="Symbol">
    <w:charset w:val="02"/>
    <w:family w:val="auto"/>
    <w:pitch w:val="default"/>
  </w:font>
  <w:font w:name="OpenSymbol">
    <w:altName w:val="Arial Unicode MS"/>
    <w:charset w:val="01"/>
    <w:family w:val="auto"/>
    <w:pitch w:val="variable"/>
  </w:font>
</w:fonts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footnote w:id="0" w:type="separator">
    <w:p>
      <w:pPr>
        <w:rPr>
          <w:sz w:val="12"/>
        </w:rPr>
      </w:pPr>
      <w:r>
        <w:separator/>
      </w:r>
    </w:p>
  </w:footnote>
  <w:footnote w:id="1" w:type="continuationSeparator">
    <w:p>
      <w:pPr>
        <w:rPr>
          <w:sz w:val="12"/>
        </w:rPr>
      </w:pPr>
      <w:r>
        <w:continuationSeparator/>
      </w:r>
    </w:p>
  </w:footnote>
  <w:footnote w:id="2">
    <w:p>
      <w:pPr>
        <w:pStyle w:val="FootnoteText"/>
        <w:rPr/>
      </w:pPr>
      <w:r>
        <w:rPr>
          <w:rStyle w:val="Style"/>
        </w:rPr>
        <w:footnoteRef/>
      </w:r>
      <w:r>
        <w:rPr/>
        <w:t xml:space="preserve"> </w:t>
      </w:r>
      <w:r>
        <w:rPr/>
        <w:t>Если в организации функции главного бухгалтера выполняет генеральный директор – ставится только его виза.</w:t>
      </w:r>
    </w:p>
    <w:p>
      <w:pPr>
        <w:pStyle w:val="FootnoteText"/>
        <w:rPr/>
      </w:pPr>
      <w:r>
        <w:rPr/>
        <w:t>*Возможно предоставление иной формы справки в соответствии с внутренним документооборотом организации.</w:t>
      </w:r>
    </w:p>
  </w:footnote>
</w:footnote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mc:AlternateContent>
        <mc:Choice Requires="wps">
          <w:drawing>
            <wp:anchor behindDoc="1" distT="0" distB="0" distL="0" distR="0" simplePos="0" locked="0" layoutInCell="0" allowOverlap="1" relativeHeight="2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1" name="Врезка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14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Header"/>
                            <w:rPr>
                              <w:rStyle w:val="Pagenumber"/>
                            </w:rPr>
                          </w:pPr>
                          <w:r>
                            <w:rPr>
                              <w:rStyle w:val="Pagenumber"/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t>0</w:t>
                          </w:r>
                          <w:r>
                            <w:rPr>
                              <w:rStyle w:val="Pagenumber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Врезка1" path="m0,0l-2147483645,0l-2147483645,-2147483646l0,-2147483646xe" stroked="f" o:allowincell="f" style="position:absolute;margin-left:0pt;margin-top:0.05pt;width:1.1pt;height:1.1pt;mso-wrap-style:square;v-text-anchor:top;mso-position-horizontal:center;mso-position-horizontal-relative:margin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Header"/>
                      <w:rPr>
                        <w:rStyle w:val="Pagenumber"/>
                      </w:rPr>
                    </w:pPr>
                    <w:r>
                      <w:rPr>
                        <w:rStyle w:val="Pagenumber"/>
                        <w:color w:val="000000"/>
                      </w:rPr>
                      <w:fldChar w:fldCharType="begin"/>
                    </w:r>
                    <w:r>
                      <w:rPr>
                        <w:rStyle w:val="Pagenumber"/>
                        <w:color w:val="000000"/>
                      </w:rPr>
                      <w:instrText xml:space="preserve"> PAGE </w:instrText>
                    </w:r>
                    <w:r>
                      <w:rPr>
                        <w:rStyle w:val="Pagenumber"/>
                        <w:color w:val="000000"/>
                      </w:rPr>
                      <w:fldChar w:fldCharType="separate"/>
                    </w:r>
                    <w:r>
                      <w:rPr>
                        <w:rStyle w:val="Pagenumber"/>
                        <w:color w:val="000000"/>
                      </w:rPr>
                      <w:t>0</w:t>
                    </w:r>
                    <w:r>
                      <w:rPr>
                        <w:rStyle w:val="Pagenumber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/>
            </v:rect>
          </w:pict>
        </mc:Fallback>
      </mc:AlternateConten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4</w:t>
    </w:r>
    <w:r>
      <w:rPr/>
      <w:fldChar w:fldCharType="end"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</w:r>
  </w:p>
</w:hdr>
</file>

<file path=word/header4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12</w:t>
    </w:r>
    <w:r>
      <w:rPr/>
      <w:fldChar w:fldCharType="end"/>
    </w:r>
  </w:p>
</w:hdr>
</file>

<file path=word/header5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</w:r>
  </w:p>
</w:hdr>
</file>

<file path=word/header6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15</w:t>
    </w:r>
    <w:r>
      <w:rPr/>
      <w:fldChar w:fldCharType="end"/>
    </w:r>
  </w:p>
</w:hdr>
</file>

<file path=word/header7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</w:r>
  </w:p>
</w:hdr>
</file>

<file path=word/header8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17</w:t>
    </w:r>
    <w:r>
      <w:rPr/>
      <w:fldChar w:fldCharType="end"/>
    </w:r>
  </w:p>
</w:hdr>
</file>

<file path=word/header9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10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20</w:t>
    </w:r>
    <w:r>
      <w:rPr/>
      <w:fldChar w:fldCharType="end"/>
    </w:r>
  </w:p>
</w:hdr>
</file>

<file path=word/header1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1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21</w:t>
    </w:r>
    <w:r>
      <w:rPr/>
      <w:fldChar w:fldCharType="end"/>
    </w:r>
  </w:p>
</w:hdr>
</file>

<file path=word/header1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14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23</w:t>
    </w:r>
    <w:r>
      <w:rPr/>
      <w:fldChar w:fldCharType="end"/>
    </w:r>
  </w:p>
</w:hdr>
</file>

<file path=word/header15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16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center"/>
      <w:rPr/>
    </w:pPr>
    <w:r>
      <w:rPr/>
      <w:fldChar w:fldCharType="begin"/>
    </w:r>
    <w:r>
      <w:rPr/>
      <w:instrText xml:space="preserve"> PAGE </w:instrText>
    </w:r>
    <w:r>
      <w:rPr/>
      <w:fldChar w:fldCharType="separate"/>
    </w:r>
    <w:r>
      <w:rPr/>
      <w:t>25</w:t>
    </w:r>
    <w:r>
      <w:rPr/>
      <w:fldChar w:fldCharType="end"/>
    </w:r>
  </w:p>
</w:hdr>
</file>

<file path=word/header17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header18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19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Normal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/>
    </w:lvl>
    <w:lvl w:ilvl="1">
      <w:start w:val="1"/>
      <w:numFmt w:val="decimal"/>
      <w:lvlText w:val="%1.%2."/>
      <w:lvlJc w:val="left"/>
      <w:pPr>
        <w:tabs>
          <w:tab w:val="num" w:pos="357"/>
        </w:tabs>
        <w:ind w:left="0" w:hanging="0"/>
      </w:pPr>
      <w:rPr/>
    </w:lvl>
    <w:lvl w:ilvl="2">
      <w:start w:val="1"/>
      <w:numFmt w:val="decimal"/>
      <w:lvlText w:val="%1.%2.%3."/>
      <w:lvlJc w:val="left"/>
      <w:pPr>
        <w:tabs>
          <w:tab w:val="num" w:pos="357"/>
        </w:tabs>
        <w:ind w:left="0" w:hanging="0"/>
      </w:pPr>
      <w:rPr/>
    </w:lvl>
    <w:lvl w:ilvl="3">
      <w:start w:val="1"/>
      <w:numFmt w:val="decimal"/>
      <w:lvlText w:val="%1.%2.%3.%4."/>
      <w:lvlJc w:val="left"/>
      <w:pPr>
        <w:tabs>
          <w:tab w:val="num" w:pos="357"/>
        </w:tabs>
        <w:ind w:left="0" w:hanging="0"/>
      </w:pPr>
      <w:rPr/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0" w:hanging="0"/>
      </w:pPr>
      <w:rPr/>
    </w:lvl>
    <w:lvl w:ilvl="5">
      <w:start w:val="1"/>
      <w:numFmt w:val="decimal"/>
      <w:lvlText w:val="%1.%2.%3.%4.%5.%6."/>
      <w:lvlJc w:val="left"/>
      <w:pPr>
        <w:tabs>
          <w:tab w:val="num" w:pos="357"/>
        </w:tabs>
        <w:ind w:left="0" w:hanging="0"/>
      </w:pPr>
      <w:rPr/>
    </w:lvl>
    <w:lvl w:ilvl="6">
      <w:start w:val="1"/>
      <w:numFmt w:val="decimal"/>
      <w:lvlText w:val="%1.%2.%3.%4.%5.%6.%7."/>
      <w:lvlJc w:val="left"/>
      <w:pPr>
        <w:tabs>
          <w:tab w:val="num" w:pos="357"/>
        </w:tabs>
        <w:ind w:left="0" w:hanging="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357"/>
        </w:tabs>
        <w:ind w:left="0" w:hanging="0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357"/>
        </w:tabs>
        <w:ind w:left="0" w:hanging="0"/>
      </w:pPr>
      <w:rPr/>
    </w:lvl>
  </w:abstractNum>
  <w:abstractNum w:abstractNumId="2">
    <w:lvl w:ilvl="0">
      <w:start w:val="4"/>
      <w:numFmt w:val="bullet"/>
      <w:lvlText w:val="-"/>
      <w:lvlJc w:val="left"/>
      <w:pPr>
        <w:tabs>
          <w:tab w:val="num" w:pos="0"/>
        </w:tabs>
        <w:ind w:left="-207" w:hanging="360"/>
      </w:pPr>
      <w:rPr>
        <w:rFonts w:ascii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513"/>
        </w:tabs>
        <w:ind w:left="513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233"/>
        </w:tabs>
        <w:ind w:left="1233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1953"/>
        </w:tabs>
        <w:ind w:left="1953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2673"/>
        </w:tabs>
        <w:ind w:left="2673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393"/>
        </w:tabs>
        <w:ind w:left="3393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113"/>
        </w:tabs>
        <w:ind w:left="4113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4833"/>
        </w:tabs>
        <w:ind w:left="4833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553"/>
        </w:tabs>
        <w:ind w:left="5553" w:hanging="360"/>
      </w:pPr>
      <w:rPr>
        <w:rFonts w:ascii="Wingdings" w:hAnsi="Wingdings" w:cs="Wingdings" w:hint="default"/>
      </w:r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0"/>
        </w:tabs>
        <w:ind w:left="5038" w:hanging="360"/>
      </w:pPr>
      <w:rPr>
        <w:smallCaps w:val="false"/>
        <w:caps w:val="false"/>
        <w:dstrike w:val="false"/>
        <w:strike w:val="false"/>
        <w:vertAlign w:val="baseline"/>
        <w:position w:val="0"/>
        <w:sz w:val="28"/>
        <w:sz w:val="28"/>
        <w:spacing w:val="0"/>
        <w:i w:val="false"/>
        <w:u w:val="none"/>
        <w:b/>
        <w:kern w:val="0"/>
        <w:effect w:val="none"/>
        <w:szCs w:val="28"/>
        <w:iCs w:val="false"/>
        <w:bCs w:val="false"/>
        <w:em w:val="none"/>
        <w:vanish w:val="false"/>
        <w:rFonts w:ascii="Times New Roman" w:hAnsi="Times New Roman" w:cs="Times New Roman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32" w:hanging="432"/>
      </w:pPr>
      <w:rPr>
        <w:sz w:val="24"/>
        <w:i w:val="false"/>
        <w:b/>
        <w:szCs w:val="24"/>
        <w:iCs/>
        <w:bCs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0"/>
        </w:tabs>
        <w:ind w:left="1134" w:hanging="1134"/>
      </w:pPr>
      <w:rPr/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1134"/>
      </w:pPr>
      <w:rPr/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134" w:hanging="1134"/>
      </w:pPr>
      <w:rPr/>
    </w:lvl>
    <w:lvl w:ilvl="3">
      <w:start w:val="1"/>
      <w:numFmt w:val="russianLower"/>
      <w:lvlText w:val="(%4)"/>
      <w:lvlJc w:val="left"/>
      <w:pPr>
        <w:tabs>
          <w:tab w:val="num" w:pos="0"/>
        </w:tabs>
        <w:ind w:left="1985" w:hanging="567"/>
      </w:pPr>
      <w:rPr/>
    </w:lvl>
    <w:lvl w:ilvl="4">
      <w:start w:val="1"/>
      <w:numFmt w:val="bullet"/>
      <w:lvlText w:val="–"/>
      <w:lvlJc w:val="left"/>
      <w:pPr>
        <w:tabs>
          <w:tab w:val="num" w:pos="0"/>
        </w:tabs>
        <w:ind w:left="2268" w:hanging="567"/>
      </w:pPr>
      <w:rPr>
        <w:rFonts w:ascii="Times New Roman" w:hAnsi="Times New Roman" w:cs="Times New Roman" w:hint="default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34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701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134" w:hanging="0"/>
      </w:pPr>
      <w:rPr/>
    </w:lvl>
  </w:abstractNum>
  <w:abstractNum w:abstractNumId="5">
    <w:lvl w:ilvl="0">
      <w:start w:val="1"/>
      <w:numFmt w:val="decimal"/>
      <w:lvlText w:val="1.%1"/>
      <w:lvlJc w:val="left"/>
      <w:pPr>
        <w:tabs>
          <w:tab w:val="num" w:pos="0"/>
        </w:tabs>
        <w:ind w:left="1429" w:hanging="360"/>
      </w:pPr>
      <w:rPr/>
    </w:lvl>
    <w:lvl w:ilvl="1">
      <w:start w:val="1"/>
      <w:numFmt w:val="lowerLetter"/>
      <w:lvlText w:val="%2."/>
      <w:lvlJc w:val="left"/>
      <w:pPr>
        <w:tabs>
          <w:tab w:val="num" w:pos="0"/>
        </w:tabs>
        <w:ind w:left="2149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869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3589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4309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5029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749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6469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7189" w:hanging="180"/>
      </w:pPr>
      <w:rPr/>
    </w:lvl>
  </w:abstractNum>
  <w:abstractNum w:abstractNumId="6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sz w:val="24"/>
        <w:b/>
        <w:szCs w:val="24"/>
        <w:bCs w:val="false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sz w:val="24"/>
        <w:b w:val="false"/>
        <w:szCs w:val="24"/>
        <w:bCs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7"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/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/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/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/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/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/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/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/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/>
    </w:lvl>
  </w:abstractNum>
  <w:abstractNum w:abstractNumId="8">
    <w:lvl w:ilvl="0">
      <w:start w:val="1"/>
      <w:numFmt w:val="bullet"/>
      <w:lvlText w:val=""/>
      <w:lvlJc w:val="left"/>
      <w:pPr>
        <w:tabs>
          <w:tab w:val="num" w:pos="0"/>
        </w:tabs>
        <w:ind w:left="1713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433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3153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873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593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313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6033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753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473" w:hanging="360"/>
      </w:pPr>
      <w:rPr>
        <w:rFonts w:ascii="Wingdings" w:hAnsi="Wingdings" w:cs="Wingdings" w:hint="default"/>
      </w:rPr>
    </w:lvl>
  </w:abstractNum>
  <w:abstractNum w:abstractNumId="9"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ascii="Times New Roman" w:hAnsi="Times New Roman" w:eastAsia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  <w:rPr/>
    </w:lvl>
    <w:lvl w:ilvl="3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  <w:rPr/>
    </w:lvl>
    <w:lvl w:ilvl="6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  <w:rPr/>
    </w:lvl>
  </w:abstractNum>
  <w:abstractNum w:abstractNumId="10">
    <w:lvl w:ilvl="0">
      <w:start w:val="1"/>
      <w:numFmt w:val="bullet"/>
      <w:lvlText w:val=""/>
      <w:lvlJc w:val="left"/>
      <w:pPr>
        <w:tabs>
          <w:tab w:val="num" w:pos="0"/>
        </w:tabs>
        <w:ind w:left="1713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433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3153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873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593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313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6033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753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473" w:hanging="360"/>
      </w:pPr>
      <w:rPr>
        <w:rFonts w:ascii="Wingdings" w:hAnsi="Wingdings" w:cs="Wingdings" w:hint="default"/>
      </w:rPr>
    </w:lvl>
  </w:abstractNum>
  <w:abstractNum w:abstractNumId="11">
    <w:lvl w:ilvl="0">
      <w:start w:val="1"/>
      <w:numFmt w:val="bullet"/>
      <w:lvlText w:val=""/>
      <w:lvlJc w:val="left"/>
      <w:pPr>
        <w:tabs>
          <w:tab w:val="num" w:pos="0"/>
        </w:tabs>
        <w:ind w:left="1713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433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3153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873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593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313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6033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753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473" w:hanging="360"/>
      </w:pPr>
      <w:rPr>
        <w:rFonts w:ascii="Wingdings" w:hAnsi="Wingdings" w:cs="Wingdings" w:hint="default"/>
      </w:rPr>
    </w:lvl>
  </w:abstractNum>
  <w:abstractNum w:abstractNumId="12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Times New Roman" w:hAnsi="Times New Roman" w:eastAsia="Calibri"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13">
    <w:lvl w:ilvl="0">
      <w:start w:val="1"/>
      <w:numFmt w:val="bullet"/>
      <w:lvlText w:val=""/>
      <w:lvlJc w:val="left"/>
      <w:pPr>
        <w:tabs>
          <w:tab w:val="num" w:pos="0"/>
        </w:tabs>
        <w:ind w:left="1571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291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3011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731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45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171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891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61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331" w:hanging="360"/>
      </w:pPr>
      <w:rPr>
        <w:rFonts w:ascii="Wingdings" w:hAnsi="Wingdings" w:cs="Wingdings" w:hint="default"/>
      </w:rPr>
    </w:lvl>
  </w:abstractNum>
  <w:abstractNum w:abstractNumId="14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</w:numbering>
</file>

<file path=word/settings.xml><?xml version="1.0" encoding="utf-8"?>
<w:settings xmlns:w="http://schemas.openxmlformats.org/wordprocessingml/2006/main">
  <w:zoom w:percent="120"/>
  <w:defaultTabStop w:val="708"/>
  <w:autoHyphenation w:val="true"/>
  <w:footnotePr>
    <w:numFmt w:val="decimal"/>
    <w:numRestart w:val="eachPage"/>
    <w:footnote w:id="0"/>
    <w:footnote w:id="1"/>
  </w:footnotePr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uiPriority="99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uiPriority="99" w:semiHidden="1" w:unhideWhenUsed="1"/>
    <w:lsdException w:name="annotation reference" w:uiPriority="99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/>
    <w:lsdException w:name="table of authorities" w:semiHidden="1" w:unhideWhenUsed="1"/>
    <w:lsdException w:name="macro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99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uiPriority="99" w:semiHidden="1" w:unhideWhenUsed="1"/>
    <w:lsdException w:name="HTML Top of Form" w:semiHidden="1" w:unhideWhenUsed="1"/>
    <w:lsdException w:name="HTML Bottom of Form" w:semiHidden="1" w:unhideWhenUsed="1"/>
    <w:lsdException w:name="Normal (Web)" w:uiPriority="99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uiPriority="99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a2166f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8"/>
      <w:lang w:val="ru-RU" w:eastAsia="ru-RU" w:bidi="ar-SA"/>
    </w:rPr>
  </w:style>
  <w:style w:type="paragraph" w:styleId="Heading1">
    <w:name w:val="Heading 1"/>
    <w:basedOn w:val="Heading3"/>
    <w:next w:val="Normal"/>
    <w:link w:val="11"/>
    <w:qFormat/>
    <w:rsid w:val="00353a27"/>
    <w:pPr>
      <w:numPr>
        <w:ilvl w:val="0"/>
      </w:numPr>
      <w:outlineLvl w:val="0"/>
    </w:pPr>
    <w:rPr>
      <w:sz w:val="28"/>
      <w:szCs w:val="28"/>
    </w:rPr>
  </w:style>
  <w:style w:type="paragraph" w:styleId="Heading2">
    <w:name w:val="Heading 2"/>
    <w:basedOn w:val="Heading4"/>
    <w:next w:val="Normal"/>
    <w:link w:val="2"/>
    <w:qFormat/>
    <w:rsid w:val="00ea61a8"/>
    <w:pPr>
      <w:outlineLvl w:val="1"/>
    </w:pPr>
    <w:rPr/>
  </w:style>
  <w:style w:type="paragraph" w:styleId="Heading3">
    <w:name w:val="Heading 3"/>
    <w:basedOn w:val="Normal"/>
    <w:next w:val="Normal"/>
    <w:link w:val="3"/>
    <w:autoRedefine/>
    <w:qFormat/>
    <w:rsid w:val="00035e96"/>
    <w:pPr>
      <w:keepNext w:val="true"/>
      <w:numPr>
        <w:ilvl w:val="2"/>
        <w:numId w:val="3"/>
      </w:numPr>
      <w:spacing w:before="120" w:after="60"/>
      <w:outlineLvl w:val="2"/>
    </w:pPr>
    <w:rPr>
      <w:rFonts w:eastAsia="Calibri"/>
      <w:b/>
      <w:sz w:val="24"/>
      <w:szCs w:val="24"/>
      <w:lang w:val="x-none" w:eastAsia="x-none"/>
    </w:rPr>
  </w:style>
  <w:style w:type="paragraph" w:styleId="Heading4">
    <w:name w:val="Heading 4"/>
    <w:basedOn w:val="Heading3"/>
    <w:next w:val="Normal"/>
    <w:link w:val="4"/>
    <w:qFormat/>
    <w:rsid w:val="006629c9"/>
    <w:pPr>
      <w:numPr>
        <w:ilvl w:val="0"/>
        <w:numId w:val="0"/>
      </w:numPr>
      <w:tabs>
        <w:tab w:val="clear" w:pos="708"/>
        <w:tab w:val="left" w:pos="0" w:leader="none"/>
      </w:tabs>
      <w:ind w:left="432" w:hanging="432"/>
      <w:outlineLvl w:val="3"/>
    </w:pPr>
    <w:rPr>
      <w:bCs/>
    </w:rPr>
  </w:style>
  <w:style w:type="paragraph" w:styleId="Heading5">
    <w:name w:val="Heading 5"/>
    <w:basedOn w:val="Normal"/>
    <w:next w:val="Normal"/>
    <w:link w:val="5"/>
    <w:uiPriority w:val="9"/>
    <w:qFormat/>
    <w:rsid w:val="0076353a"/>
    <w:pPr>
      <w:spacing w:before="240" w:after="60"/>
      <w:outlineLvl w:val="4"/>
    </w:pPr>
    <w:rPr>
      <w:b/>
      <w:bCs/>
      <w:i/>
      <w:iCs/>
      <w:sz w:val="26"/>
      <w:szCs w:val="26"/>
      <w:lang w:val="x-none" w:eastAsia="x-none"/>
    </w:rPr>
  </w:style>
  <w:style w:type="paragraph" w:styleId="Heading6">
    <w:name w:val="Heading 6"/>
    <w:basedOn w:val="Normal"/>
    <w:next w:val="Normal"/>
    <w:link w:val="6"/>
    <w:uiPriority w:val="9"/>
    <w:qFormat/>
    <w:rsid w:val="00d22f6d"/>
    <w:pPr>
      <w:keepNext w:val="true"/>
      <w:keepLines/>
      <w:spacing w:before="200" w:after="0"/>
      <w:outlineLvl w:val="5"/>
    </w:pPr>
    <w:rPr>
      <w:rFonts w:ascii="Cambria" w:hAnsi="Cambria"/>
      <w:i/>
      <w:iCs/>
      <w:color w:val="243F60"/>
      <w:sz w:val="20"/>
      <w:szCs w:val="20"/>
      <w:lang w:val="x-none" w:eastAsia="x-none"/>
    </w:rPr>
  </w:style>
  <w:style w:type="paragraph" w:styleId="Heading7">
    <w:name w:val="Heading 7"/>
    <w:basedOn w:val="Normal"/>
    <w:next w:val="Normal"/>
    <w:link w:val="7"/>
    <w:uiPriority w:val="9"/>
    <w:qFormat/>
    <w:rsid w:val="00d22f6d"/>
    <w:pPr>
      <w:keepNext w:val="true"/>
      <w:keepLines/>
      <w:spacing w:before="200" w:after="0"/>
      <w:outlineLvl w:val="6"/>
    </w:pPr>
    <w:rPr>
      <w:rFonts w:ascii="Cambria" w:hAnsi="Cambria"/>
      <w:i/>
      <w:iCs/>
      <w:color w:val="404040"/>
      <w:sz w:val="20"/>
      <w:szCs w:val="20"/>
      <w:lang w:val="x-none" w:eastAsia="x-none"/>
    </w:rPr>
  </w:style>
  <w:style w:type="paragraph" w:styleId="Heading8">
    <w:name w:val="Heading 8"/>
    <w:basedOn w:val="Normal"/>
    <w:next w:val="Normal"/>
    <w:link w:val="8"/>
    <w:uiPriority w:val="9"/>
    <w:qFormat/>
    <w:rsid w:val="00d22f6d"/>
    <w:pPr>
      <w:keepNext w:val="true"/>
      <w:keepLines/>
      <w:spacing w:before="200" w:after="0"/>
      <w:outlineLvl w:val="7"/>
    </w:pPr>
    <w:rPr>
      <w:rFonts w:ascii="Cambria" w:hAnsi="Cambria"/>
      <w:color w:val="4F81BD"/>
      <w:sz w:val="20"/>
      <w:szCs w:val="20"/>
      <w:lang w:val="x-none" w:eastAsia="x-none"/>
    </w:rPr>
  </w:style>
  <w:style w:type="paragraph" w:styleId="Heading9">
    <w:name w:val="Heading 9"/>
    <w:basedOn w:val="Normal"/>
    <w:next w:val="Normal"/>
    <w:link w:val="9"/>
    <w:uiPriority w:val="9"/>
    <w:qFormat/>
    <w:rsid w:val="0076353a"/>
    <w:pPr>
      <w:spacing w:before="240" w:after="60"/>
      <w:outlineLvl w:val="8"/>
    </w:pPr>
    <w:rPr>
      <w:rFonts w:ascii="Arial" w:hAnsi="Arial"/>
      <w:sz w:val="22"/>
      <w:szCs w:val="22"/>
      <w:lang w:val="x-none" w:eastAsia="x-none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" w:customStyle="1">
    <w:name w:val="Символ сноски"/>
    <w:qFormat/>
    <w:rsid w:val="00842be6"/>
    <w:rPr>
      <w:vertAlign w:val="superscript"/>
    </w:rPr>
  </w:style>
  <w:style w:type="character" w:styleId="1" w:customStyle="1">
    <w:name w:val="Знак сноски1"/>
    <w:qFormat/>
    <w:rsid w:val="00842be6"/>
    <w:rPr>
      <w:vertAlign w:val="superscript"/>
    </w:rPr>
  </w:style>
  <w:style w:type="character" w:styleId="Pagenumber">
    <w:name w:val="page number"/>
    <w:basedOn w:val="DefaultParagraphFont"/>
    <w:qFormat/>
    <w:rsid w:val="006c2f3f"/>
    <w:rPr/>
  </w:style>
  <w:style w:type="character" w:styleId="Hyperlink">
    <w:name w:val="Hyperlink"/>
    <w:uiPriority w:val="99"/>
    <w:rsid w:val="006c2f3f"/>
    <w:rPr>
      <w:color w:val="0000FF"/>
      <w:u w:val="single"/>
    </w:rPr>
  </w:style>
  <w:style w:type="character" w:styleId="Annotationreference">
    <w:name w:val="annotation reference"/>
    <w:uiPriority w:val="99"/>
    <w:semiHidden/>
    <w:qFormat/>
    <w:rsid w:val="00b714b0"/>
    <w:rPr>
      <w:sz w:val="16"/>
      <w:szCs w:val="16"/>
    </w:rPr>
  </w:style>
  <w:style w:type="character" w:styleId="Strong">
    <w:name w:val="Strong"/>
    <w:qFormat/>
    <w:rsid w:val="00165965"/>
    <w:rPr>
      <w:b/>
      <w:bCs/>
    </w:rPr>
  </w:style>
  <w:style w:type="character" w:styleId="6" w:customStyle="1">
    <w:name w:val="Заголовок 6 Знак"/>
    <w:uiPriority w:val="9"/>
    <w:qFormat/>
    <w:rsid w:val="00d22f6d"/>
    <w:rPr>
      <w:rFonts w:ascii="Cambria" w:hAnsi="Cambria"/>
      <w:i/>
      <w:iCs/>
      <w:color w:val="243F60"/>
      <w:lang w:val="x-none" w:eastAsia="x-none"/>
    </w:rPr>
  </w:style>
  <w:style w:type="character" w:styleId="7" w:customStyle="1">
    <w:name w:val="Заголовок 7 Знак"/>
    <w:uiPriority w:val="9"/>
    <w:qFormat/>
    <w:rsid w:val="00d22f6d"/>
    <w:rPr>
      <w:rFonts w:ascii="Cambria" w:hAnsi="Cambria"/>
      <w:i/>
      <w:iCs/>
      <w:color w:val="404040"/>
      <w:lang w:val="x-none" w:eastAsia="x-none"/>
    </w:rPr>
  </w:style>
  <w:style w:type="character" w:styleId="8" w:customStyle="1">
    <w:name w:val="Заголовок 8 Знак"/>
    <w:uiPriority w:val="9"/>
    <w:qFormat/>
    <w:rsid w:val="00d22f6d"/>
    <w:rPr>
      <w:rFonts w:ascii="Cambria" w:hAnsi="Cambria"/>
      <w:color w:val="4F81BD"/>
      <w:lang w:val="x-none" w:eastAsia="x-none"/>
    </w:rPr>
  </w:style>
  <w:style w:type="character" w:styleId="11" w:customStyle="1">
    <w:name w:val="Заголовок 1 Знак"/>
    <w:qFormat/>
    <w:rsid w:val="00353a27"/>
    <w:rPr>
      <w:rFonts w:eastAsia="Calibri"/>
      <w:b/>
      <w:sz w:val="28"/>
      <w:szCs w:val="28"/>
      <w:lang w:val="x-none" w:eastAsia="x-none"/>
    </w:rPr>
  </w:style>
  <w:style w:type="character" w:styleId="2" w:customStyle="1">
    <w:name w:val="Заголовок 2 Знак"/>
    <w:qFormat/>
    <w:rsid w:val="00ea61a8"/>
    <w:rPr>
      <w:rFonts w:eastAsia="Calibri"/>
      <w:b/>
      <w:bCs/>
      <w:sz w:val="24"/>
      <w:szCs w:val="24"/>
      <w:lang w:val="x-none" w:eastAsia="x-none"/>
    </w:rPr>
  </w:style>
  <w:style w:type="character" w:styleId="3" w:customStyle="1">
    <w:name w:val="Заголовок 3 Знак"/>
    <w:qFormat/>
    <w:rsid w:val="00035e96"/>
    <w:rPr>
      <w:rFonts w:eastAsia="Calibri"/>
      <w:b/>
      <w:sz w:val="24"/>
      <w:szCs w:val="24"/>
      <w:lang w:val="x-none" w:eastAsia="x-none"/>
    </w:rPr>
  </w:style>
  <w:style w:type="character" w:styleId="4" w:customStyle="1">
    <w:name w:val="Заголовок 4 Знак"/>
    <w:qFormat/>
    <w:rsid w:val="006629c9"/>
    <w:rPr>
      <w:rFonts w:eastAsia="Calibri"/>
      <w:b/>
      <w:bCs/>
      <w:sz w:val="24"/>
      <w:szCs w:val="24"/>
      <w:lang w:val="x-none" w:eastAsia="x-none"/>
    </w:rPr>
  </w:style>
  <w:style w:type="character" w:styleId="5" w:customStyle="1">
    <w:name w:val="Заголовок 5 Знак"/>
    <w:uiPriority w:val="9"/>
    <w:qFormat/>
    <w:rsid w:val="00d22f6d"/>
    <w:rPr>
      <w:b/>
      <w:bCs/>
      <w:i/>
      <w:iCs/>
      <w:sz w:val="26"/>
      <w:szCs w:val="26"/>
    </w:rPr>
  </w:style>
  <w:style w:type="character" w:styleId="9" w:customStyle="1">
    <w:name w:val="Заголовок 9 Знак"/>
    <w:uiPriority w:val="9"/>
    <w:qFormat/>
    <w:rsid w:val="00d22f6d"/>
    <w:rPr>
      <w:rFonts w:ascii="Arial" w:hAnsi="Arial" w:cs="Arial"/>
      <w:sz w:val="22"/>
      <w:szCs w:val="22"/>
    </w:rPr>
  </w:style>
  <w:style w:type="character" w:styleId="Style1" w:customStyle="1">
    <w:name w:val="Название Знак"/>
    <w:link w:val="16"/>
    <w:uiPriority w:val="10"/>
    <w:qFormat/>
    <w:rsid w:val="00d22f6d"/>
    <w:rPr>
      <w:sz w:val="28"/>
    </w:rPr>
  </w:style>
  <w:style w:type="character" w:styleId="Style2" w:customStyle="1">
    <w:name w:val="Подзаголовок Знак"/>
    <w:uiPriority w:val="11"/>
    <w:qFormat/>
    <w:rsid w:val="00d22f6d"/>
    <w:rPr>
      <w:rFonts w:ascii="Cambria" w:hAnsi="Cambria"/>
      <w:i/>
      <w:iCs/>
      <w:color w:val="4F81BD"/>
      <w:spacing w:val="15"/>
      <w:sz w:val="24"/>
      <w:szCs w:val="24"/>
      <w:lang w:val="x-none" w:eastAsia="x-none"/>
    </w:rPr>
  </w:style>
  <w:style w:type="character" w:styleId="Emphasis">
    <w:name w:val="Emphasis"/>
    <w:uiPriority w:val="20"/>
    <w:qFormat/>
    <w:rsid w:val="00d22f6d"/>
    <w:rPr>
      <w:i/>
      <w:iCs/>
    </w:rPr>
  </w:style>
  <w:style w:type="character" w:styleId="21" w:customStyle="1">
    <w:name w:val="Цитата 2 Знак"/>
    <w:link w:val="Quote"/>
    <w:uiPriority w:val="29"/>
    <w:qFormat/>
    <w:rsid w:val="00d22f6d"/>
    <w:rPr>
      <w:rFonts w:ascii="Calibri" w:hAnsi="Calibri" w:eastAsia="Calibri"/>
      <w:i/>
      <w:iCs/>
      <w:color w:val="000000"/>
      <w:lang w:val="x-none" w:eastAsia="x-none"/>
    </w:rPr>
  </w:style>
  <w:style w:type="character" w:styleId="Style3" w:customStyle="1">
    <w:name w:val="Выделенная цитата Знак"/>
    <w:link w:val="IntenseQuote"/>
    <w:uiPriority w:val="30"/>
    <w:qFormat/>
    <w:rsid w:val="00d22f6d"/>
    <w:rPr>
      <w:rFonts w:ascii="Calibri" w:hAnsi="Calibri" w:eastAsia="Calibri"/>
      <w:b/>
      <w:bCs/>
      <w:i/>
      <w:iCs/>
      <w:color w:val="4F81BD"/>
      <w:lang w:val="x-none" w:eastAsia="x-none"/>
    </w:rPr>
  </w:style>
  <w:style w:type="character" w:styleId="SubtleEmphasis">
    <w:name w:val="Subtle Emphasis"/>
    <w:uiPriority w:val="19"/>
    <w:qFormat/>
    <w:rsid w:val="00d22f6d"/>
    <w:rPr>
      <w:i/>
      <w:iCs/>
      <w:color w:val="808080"/>
    </w:rPr>
  </w:style>
  <w:style w:type="character" w:styleId="IntenseEmphasis">
    <w:name w:val="Intense Emphasis"/>
    <w:uiPriority w:val="21"/>
    <w:qFormat/>
    <w:rsid w:val="00d22f6d"/>
    <w:rPr>
      <w:b/>
      <w:bCs/>
      <w:i/>
      <w:iCs/>
      <w:color w:val="4F81BD"/>
    </w:rPr>
  </w:style>
  <w:style w:type="character" w:styleId="SubtleReference">
    <w:name w:val="Subtle Reference"/>
    <w:uiPriority w:val="31"/>
    <w:qFormat/>
    <w:rsid w:val="00d22f6d"/>
    <w:rPr>
      <w:smallCaps/>
      <w:color w:val="C0504D"/>
      <w:u w:val="single"/>
    </w:rPr>
  </w:style>
  <w:style w:type="character" w:styleId="IntenseReference">
    <w:name w:val="Intense Reference"/>
    <w:uiPriority w:val="32"/>
    <w:qFormat/>
    <w:rsid w:val="00d22f6d"/>
    <w:rPr>
      <w:b/>
      <w:bCs/>
      <w:smallCaps/>
      <w:color w:val="C0504D"/>
      <w:spacing w:val="5"/>
      <w:u w:val="single"/>
    </w:rPr>
  </w:style>
  <w:style w:type="character" w:styleId="BookTitle">
    <w:name w:val="Book Title"/>
    <w:uiPriority w:val="33"/>
    <w:qFormat/>
    <w:rsid w:val="00d22f6d"/>
    <w:rPr>
      <w:b/>
      <w:bCs/>
      <w:smallCaps/>
      <w:spacing w:val="5"/>
    </w:rPr>
  </w:style>
  <w:style w:type="character" w:styleId="Style4" w:customStyle="1">
    <w:name w:val="Электронная подпись Знак"/>
    <w:link w:val="E-mailSignature"/>
    <w:uiPriority w:val="99"/>
    <w:qFormat/>
    <w:rsid w:val="00d22f6d"/>
    <w:rPr>
      <w:rFonts w:eastAsia="Calibri"/>
      <w:sz w:val="24"/>
      <w:szCs w:val="24"/>
    </w:rPr>
  </w:style>
  <w:style w:type="character" w:styleId="12" w:customStyle="1">
    <w:name w:val="Подпункт Знак1"/>
    <w:link w:val="Style22"/>
    <w:qFormat/>
    <w:locked/>
    <w:rsid w:val="00d22f6d"/>
    <w:rPr>
      <w:sz w:val="28"/>
    </w:rPr>
  </w:style>
  <w:style w:type="character" w:styleId="Style5" w:customStyle="1">
    <w:name w:val="Текст сноски Знак"/>
    <w:uiPriority w:val="99"/>
    <w:qFormat/>
    <w:rsid w:val="00d22f6d"/>
    <w:rPr/>
  </w:style>
  <w:style w:type="character" w:styleId="Style6" w:customStyle="1">
    <w:name w:val="Основной текст Знак"/>
    <w:qFormat/>
    <w:rsid w:val="004459a5"/>
    <w:rPr>
      <w:sz w:val="28"/>
      <w:szCs w:val="28"/>
    </w:rPr>
  </w:style>
  <w:style w:type="character" w:styleId="Blk" w:customStyle="1">
    <w:name w:val="blk"/>
    <w:qFormat/>
    <w:rsid w:val="00431ace"/>
    <w:rPr/>
  </w:style>
  <w:style w:type="character" w:styleId="Style7" w:customStyle="1">
    <w:name w:val="Абзац списка Знак"/>
    <w:link w:val="ListParagraph"/>
    <w:uiPriority w:val="34"/>
    <w:qFormat/>
    <w:locked/>
    <w:rsid w:val="00310eb4"/>
    <w:rPr>
      <w:rFonts w:eastAsia="Calibri"/>
      <w:sz w:val="24"/>
      <w:szCs w:val="24"/>
    </w:rPr>
  </w:style>
  <w:style w:type="character" w:styleId="Style8" w:customStyle="1">
    <w:name w:val="комментарий"/>
    <w:qFormat/>
    <w:rsid w:val="0025139e"/>
    <w:rPr>
      <w:b/>
      <w:i/>
      <w:shd w:fill="FFFF99" w:val="clear"/>
    </w:rPr>
  </w:style>
  <w:style w:type="character" w:styleId="Style9" w:customStyle="1">
    <w:name w:val="Подподпункт Знак"/>
    <w:link w:val="Style30"/>
    <w:qFormat/>
    <w:locked/>
    <w:rsid w:val="0025139e"/>
    <w:rPr>
      <w:sz w:val="26"/>
      <w:szCs w:val="26"/>
    </w:rPr>
  </w:style>
  <w:style w:type="character" w:styleId="31" w:customStyle="1">
    <w:name w:val="УРОВЕНЬ_Абзац_тип3 Знак"/>
    <w:link w:val="36"/>
    <w:qFormat/>
    <w:rsid w:val="00b56f46"/>
    <w:rPr>
      <w:rFonts w:eastAsia="Calibri"/>
      <w:sz w:val="26"/>
      <w:szCs w:val="28"/>
      <w:lang w:eastAsia="en-US"/>
    </w:rPr>
  </w:style>
  <w:style w:type="character" w:styleId="Style10" w:customStyle="1">
    <w:name w:val="Верхний колонтитул Знак"/>
    <w:uiPriority w:val="99"/>
    <w:qFormat/>
    <w:rsid w:val="002f31af"/>
    <w:rPr>
      <w:sz w:val="24"/>
      <w:szCs w:val="24"/>
    </w:rPr>
  </w:style>
  <w:style w:type="character" w:styleId="Style11" w:customStyle="1">
    <w:name w:val="Текст примечания Знак"/>
    <w:link w:val="Annotationtext"/>
    <w:semiHidden/>
    <w:qFormat/>
    <w:rsid w:val="00dc0f7d"/>
    <w:rPr/>
  </w:style>
  <w:style w:type="character" w:styleId="Style12" w:customStyle="1">
    <w:name w:val="Текст концевой сноски Знак"/>
    <w:basedOn w:val="DefaultParagraphFont"/>
    <w:qFormat/>
    <w:rsid w:val="003879d4"/>
    <w:rPr/>
  </w:style>
  <w:style w:type="character" w:styleId="Style13" w:customStyle="1">
    <w:name w:val="Символ концевой сноски"/>
    <w:qFormat/>
    <w:rsid w:val="003879d4"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22" w:customStyle="1">
    <w:name w:val="Пункт2 Знак"/>
    <w:link w:val="24"/>
    <w:qFormat/>
    <w:rsid w:val="00de52bc"/>
    <w:rPr>
      <w:b/>
      <w:sz w:val="28"/>
    </w:rPr>
  </w:style>
  <w:style w:type="character" w:styleId="13" w:customStyle="1">
    <w:name w:val="УРОВЕНЬ_1. Знак"/>
    <w:link w:val="110"/>
    <w:qFormat/>
    <w:rsid w:val="004a17ae"/>
    <w:rPr>
      <w:rFonts w:eastAsia="Calibri"/>
      <w:caps/>
      <w:sz w:val="28"/>
      <w:szCs w:val="28"/>
      <w:lang w:eastAsia="en-US"/>
    </w:rPr>
  </w:style>
  <w:style w:type="character" w:styleId="14" w:customStyle="1">
    <w:name w:val="Неразрешенное упоминание1"/>
    <w:basedOn w:val="DefaultParagraphFont"/>
    <w:uiPriority w:val="99"/>
    <w:semiHidden/>
    <w:unhideWhenUsed/>
    <w:qFormat/>
    <w:rsid w:val="00c36f30"/>
    <w:rPr>
      <w:color w:val="605E5C"/>
      <w:shd w:fill="E1DFDD" w:val="clear"/>
    </w:rPr>
  </w:style>
  <w:style w:type="character" w:styleId="32" w:customStyle="1">
    <w:name w:val="Основной текст с отступом 3 Знак"/>
    <w:link w:val="BodyTextIndent3"/>
    <w:qFormat/>
    <w:rsid w:val="00c36f30"/>
    <w:rPr>
      <w:sz w:val="16"/>
      <w:szCs w:val="16"/>
    </w:rPr>
  </w:style>
  <w:style w:type="character" w:styleId="FootnoteCharacters" w:customStyle="1">
    <w:name w:val="Footnote Characters"/>
    <w:uiPriority w:val="99"/>
    <w:unhideWhenUsed/>
    <w:qFormat/>
    <w:rsid w:val="00842be6"/>
    <w:rPr>
      <w:vertAlign w:val="superscript"/>
    </w:rPr>
  </w:style>
  <w:style w:type="character" w:styleId="ConsPlusNormal" w:customStyle="1">
    <w:name w:val="ConsPlusNormal Знак"/>
    <w:link w:val="ConsPlusNormal1"/>
    <w:qFormat/>
    <w:rsid w:val="00e13ebc"/>
    <w:rPr>
      <w:rFonts w:ascii="Arial" w:hAnsi="Arial" w:cs="Arial"/>
    </w:rPr>
  </w:style>
  <w:style w:type="character" w:styleId="Style14" w:customStyle="1">
    <w:name w:val="Ссылка указателя"/>
    <w:qFormat/>
    <w:rPr/>
  </w:style>
  <w:style w:type="character" w:styleId="FootnoteReference">
    <w:name w:val="Footnote Reference"/>
    <w:rPr>
      <w:vertAlign w:val="superscript"/>
    </w:rPr>
  </w:style>
  <w:style w:type="character" w:styleId="Style15">
    <w:name w:val="Маркеры"/>
    <w:qFormat/>
    <w:rPr>
      <w:rFonts w:ascii="OpenSymbol" w:hAnsi="OpenSymbol" w:eastAsia="OpenSymbol" w:cs="OpenSymbol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Arial Unicode MS"/>
      <w:sz w:val="28"/>
      <w:szCs w:val="28"/>
    </w:rPr>
  </w:style>
  <w:style w:type="paragraph" w:styleId="BodyText">
    <w:name w:val="Body Text"/>
    <w:basedOn w:val="Normal"/>
    <w:link w:val="Style6"/>
    <w:rsid w:val="0076353a"/>
    <w:pPr>
      <w:spacing w:before="0" w:after="12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 Unicode MS"/>
    </w:rPr>
  </w:style>
  <w:style w:type="paragraph" w:styleId="Title">
    <w:name w:val="Title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Arial Unicode MS" w:cs="Arial Unicode MS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Indexheading1">
    <w:name w:val="index heading1"/>
    <w:basedOn w:val="Title"/>
    <w:qFormat/>
    <w:pPr/>
    <w:rPr/>
  </w:style>
  <w:style w:type="paragraph" w:styleId="Caption11" w:customStyle="1">
    <w:name w:val="caption11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heading11" w:customStyle="1">
    <w:name w:val="index heading11"/>
    <w:basedOn w:val="Title"/>
    <w:qFormat/>
    <w:pPr/>
    <w:rPr/>
  </w:style>
  <w:style w:type="paragraph" w:styleId="Style18" w:customStyle="1">
    <w:name w:val="Название раздела инструкции"/>
    <w:basedOn w:val="Normal"/>
    <w:autoRedefine/>
    <w:qFormat/>
    <w:rsid w:val="00275328"/>
    <w:pPr>
      <w:jc w:val="center"/>
    </w:pPr>
    <w:rPr>
      <w:b/>
    </w:rPr>
  </w:style>
  <w:style w:type="paragraph" w:styleId="Style19" w:customStyle="1">
    <w:name w:val="Раздел положения"/>
    <w:basedOn w:val="Normal"/>
    <w:autoRedefine/>
    <w:qFormat/>
    <w:rsid w:val="007475ee"/>
    <w:pPr>
      <w:numPr>
        <w:ilvl w:val="0"/>
        <w:numId w:val="1"/>
      </w:numPr>
      <w:spacing w:before="80" w:after="80"/>
      <w:jc w:val="center"/>
    </w:pPr>
    <w:rPr>
      <w:b/>
      <w:sz w:val="32"/>
      <w:szCs w:val="32"/>
    </w:rPr>
  </w:style>
  <w:style w:type="paragraph" w:styleId="Style20" w:customStyle="1">
    <w:name w:val="Подраздел раздела положения"/>
    <w:basedOn w:val="Normal"/>
    <w:autoRedefine/>
    <w:qFormat/>
    <w:rsid w:val="007475ee"/>
    <w:pPr>
      <w:numPr>
        <w:ilvl w:val="1"/>
        <w:numId w:val="1"/>
      </w:numPr>
      <w:spacing w:before="80" w:after="80"/>
      <w:jc w:val="both"/>
    </w:pPr>
    <w:rPr/>
  </w:style>
  <w:style w:type="paragraph" w:styleId="FootnoteText">
    <w:name w:val="Footnote Text"/>
    <w:basedOn w:val="Normal"/>
    <w:link w:val="Style5"/>
    <w:uiPriority w:val="99"/>
    <w:qFormat/>
    <w:rsid w:val="00d561d9"/>
    <w:pPr/>
    <w:rPr>
      <w:sz w:val="20"/>
      <w:szCs w:val="20"/>
    </w:rPr>
  </w:style>
  <w:style w:type="paragraph" w:styleId="15" w:customStyle="1">
    <w:name w:val="Шапка 1"/>
    <w:basedOn w:val="Normal"/>
    <w:qFormat/>
    <w:rsid w:val="00d561d9"/>
    <w:pPr>
      <w:pBdr>
        <w:bottom w:val="thickThinSmallGap" w:sz="24" w:space="1" w:color="000000"/>
      </w:pBdr>
      <w:spacing w:before="0" w:after="240"/>
      <w:jc w:val="center"/>
    </w:pPr>
    <w:rPr>
      <w:sz w:val="22"/>
      <w:szCs w:val="22"/>
    </w:rPr>
  </w:style>
  <w:style w:type="paragraph" w:styleId="23" w:customStyle="1">
    <w:name w:val="Шапка 2"/>
    <w:basedOn w:val="Normal"/>
    <w:qFormat/>
    <w:rsid w:val="00d561d9"/>
    <w:pPr>
      <w:pBdr>
        <w:bottom w:val="thickThinSmallGap" w:sz="24" w:space="1" w:color="000000"/>
      </w:pBdr>
      <w:spacing w:before="0" w:after="120"/>
      <w:jc w:val="center"/>
    </w:pPr>
    <w:rPr>
      <w:b/>
      <w:sz w:val="22"/>
      <w:szCs w:val="22"/>
    </w:rPr>
  </w:style>
  <w:style w:type="paragraph" w:styleId="33" w:customStyle="1">
    <w:name w:val="Шапка 3"/>
    <w:basedOn w:val="Normal"/>
    <w:qFormat/>
    <w:rsid w:val="00d561d9"/>
    <w:pPr>
      <w:pBdr>
        <w:bottom w:val="thickThinSmallGap" w:sz="24" w:space="1" w:color="000000"/>
      </w:pBdr>
      <w:spacing w:before="240" w:after="360"/>
      <w:jc w:val="center"/>
    </w:pPr>
    <w:rPr>
      <w:b/>
      <w:sz w:val="24"/>
      <w:szCs w:val="24"/>
    </w:rPr>
  </w:style>
  <w:style w:type="paragraph" w:styleId="16" w:customStyle="1">
    <w:name w:val="Название1"/>
    <w:basedOn w:val="Normal"/>
    <w:link w:val="Style1"/>
    <w:uiPriority w:val="10"/>
    <w:qFormat/>
    <w:rsid w:val="00bd4014"/>
    <w:pPr>
      <w:jc w:val="center"/>
    </w:pPr>
    <w:rPr>
      <w:szCs w:val="20"/>
      <w:lang w:val="x-none" w:eastAsia="x-none"/>
    </w:rPr>
  </w:style>
  <w:style w:type="paragraph" w:styleId="Style21" w:customStyle="1">
    <w:name w:val="Колонтитул"/>
    <w:basedOn w:val="Normal"/>
    <w:qFormat/>
    <w:pPr/>
    <w:rPr/>
  </w:style>
  <w:style w:type="paragraph" w:styleId="Header">
    <w:name w:val="Header"/>
    <w:basedOn w:val="Normal"/>
    <w:link w:val="Style10"/>
    <w:rsid w:val="0076353a"/>
    <w:pPr>
      <w:tabs>
        <w:tab w:val="clear" w:pos="708"/>
        <w:tab w:val="center" w:pos="4677" w:leader="none"/>
        <w:tab w:val="right" w:pos="9355" w:leader="none"/>
      </w:tabs>
    </w:pPr>
    <w:rPr>
      <w:sz w:val="24"/>
      <w:szCs w:val="24"/>
    </w:rPr>
  </w:style>
  <w:style w:type="paragraph" w:styleId="BodyTextIndent">
    <w:name w:val="Body Text Indent"/>
    <w:basedOn w:val="Normal"/>
    <w:rsid w:val="0076353a"/>
    <w:pPr>
      <w:ind w:left="360" w:hanging="0"/>
    </w:pPr>
    <w:rPr>
      <w:sz w:val="24"/>
      <w:szCs w:val="24"/>
    </w:rPr>
  </w:style>
  <w:style w:type="paragraph" w:styleId="Footer">
    <w:name w:val="Footer"/>
    <w:basedOn w:val="Normal"/>
    <w:rsid w:val="0076353a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BodyTextIndent2">
    <w:name w:val="Body Text Indent 2"/>
    <w:basedOn w:val="Normal"/>
    <w:qFormat/>
    <w:rsid w:val="0076353a"/>
    <w:pPr>
      <w:spacing w:lineRule="auto" w:line="480" w:before="0" w:after="120"/>
      <w:ind w:left="283" w:hanging="0"/>
    </w:pPr>
    <w:rPr/>
  </w:style>
  <w:style w:type="paragraph" w:styleId="BodyText3">
    <w:name w:val="Body Text 3"/>
    <w:basedOn w:val="Normal"/>
    <w:qFormat/>
    <w:rsid w:val="0076353a"/>
    <w:pPr>
      <w:spacing w:before="0" w:after="120"/>
    </w:pPr>
    <w:rPr>
      <w:sz w:val="16"/>
      <w:szCs w:val="16"/>
    </w:rPr>
  </w:style>
  <w:style w:type="paragraph" w:styleId="BodyTextIndent3">
    <w:name w:val="Body Text Indent 3"/>
    <w:basedOn w:val="Normal"/>
    <w:link w:val="32"/>
    <w:qFormat/>
    <w:rsid w:val="0076353a"/>
    <w:pPr>
      <w:spacing w:before="0" w:after="120"/>
      <w:ind w:left="283" w:hanging="0"/>
    </w:pPr>
    <w:rPr>
      <w:sz w:val="16"/>
      <w:szCs w:val="16"/>
    </w:rPr>
  </w:style>
  <w:style w:type="paragraph" w:styleId="BodyText2">
    <w:name w:val="Body Text 2"/>
    <w:basedOn w:val="Normal"/>
    <w:qFormat/>
    <w:rsid w:val="0076353a"/>
    <w:pPr>
      <w:spacing w:lineRule="auto" w:line="480" w:before="0" w:after="120"/>
    </w:pPr>
    <w:rPr/>
  </w:style>
  <w:style w:type="paragraph" w:styleId="BlockText">
    <w:name w:val="Block Text"/>
    <w:basedOn w:val="Normal"/>
    <w:qFormat/>
    <w:rsid w:val="0076353a"/>
    <w:pPr>
      <w:ind w:left="-567" w:right="-766" w:hanging="0"/>
      <w:jc w:val="center"/>
    </w:pPr>
    <w:rPr>
      <w:b/>
      <w:bCs/>
      <w:sz w:val="24"/>
      <w:szCs w:val="20"/>
    </w:rPr>
  </w:style>
  <w:style w:type="paragraph" w:styleId="Style22" w:customStyle="1">
    <w:name w:val="Подпункт"/>
    <w:basedOn w:val="Normal"/>
    <w:link w:val="12"/>
    <w:qFormat/>
    <w:rsid w:val="0076353a"/>
    <w:pPr>
      <w:tabs>
        <w:tab w:val="clear" w:pos="708"/>
        <w:tab w:val="left" w:pos="1134" w:leader="none"/>
      </w:tabs>
      <w:snapToGrid w:val="false"/>
      <w:spacing w:lineRule="auto" w:line="360"/>
      <w:ind w:left="1134" w:hanging="1134"/>
      <w:jc w:val="both"/>
    </w:pPr>
    <w:rPr>
      <w:szCs w:val="20"/>
      <w:lang w:val="x-none" w:eastAsia="x-none"/>
    </w:rPr>
  </w:style>
  <w:style w:type="paragraph" w:styleId="24" w:customStyle="1">
    <w:name w:val="Пункт2"/>
    <w:basedOn w:val="Normal"/>
    <w:link w:val="22"/>
    <w:qFormat/>
    <w:rsid w:val="0076353a"/>
    <w:pPr>
      <w:keepNext w:val="true"/>
      <w:tabs>
        <w:tab w:val="clear" w:pos="708"/>
        <w:tab w:val="left" w:pos="1134" w:leader="none"/>
      </w:tabs>
      <w:snapToGrid w:val="false"/>
      <w:spacing w:before="240" w:after="120"/>
      <w:ind w:left="1134" w:hanging="1134"/>
      <w:outlineLvl w:val="2"/>
    </w:pPr>
    <w:rPr>
      <w:b/>
      <w:szCs w:val="20"/>
    </w:rPr>
  </w:style>
  <w:style w:type="paragraph" w:styleId="TOC1">
    <w:name w:val="TOC 1"/>
    <w:basedOn w:val="Normal"/>
    <w:next w:val="Normal"/>
    <w:autoRedefine/>
    <w:uiPriority w:val="39"/>
    <w:rsid w:val="007314de"/>
    <w:pPr>
      <w:spacing w:before="120" w:after="0"/>
    </w:pPr>
    <w:rPr>
      <w:rFonts w:cs="Calibri Light (Заголовки)"/>
      <w:b/>
      <w:bCs/>
      <w:sz w:val="24"/>
      <w:szCs w:val="24"/>
    </w:rPr>
  </w:style>
  <w:style w:type="paragraph" w:styleId="TOC3">
    <w:name w:val="TOC 3"/>
    <w:basedOn w:val="Normal"/>
    <w:next w:val="Normal"/>
    <w:autoRedefine/>
    <w:uiPriority w:val="39"/>
    <w:rsid w:val="00c01756"/>
    <w:pPr>
      <w:ind w:left="280" w:hanging="0"/>
    </w:pPr>
    <w:rPr>
      <w:rFonts w:cs="Calibri" w:cstheme="minorHAnsi"/>
      <w:sz w:val="20"/>
      <w:szCs w:val="20"/>
    </w:rPr>
  </w:style>
  <w:style w:type="paragraph" w:styleId="Style23" w:customStyle="1">
    <w:name w:val="Раздел регламента"/>
    <w:basedOn w:val="Normal"/>
    <w:qFormat/>
    <w:rsid w:val="00e228fa"/>
    <w:pPr/>
    <w:rPr/>
  </w:style>
  <w:style w:type="paragraph" w:styleId="Style24" w:customStyle="1">
    <w:name w:val="Приложение к регламенту"/>
    <w:basedOn w:val="Normal"/>
    <w:qFormat/>
    <w:rsid w:val="00e228fa"/>
    <w:pPr>
      <w:jc w:val="right"/>
    </w:pPr>
    <w:rPr/>
  </w:style>
  <w:style w:type="paragraph" w:styleId="TOC2">
    <w:name w:val="TOC 2"/>
    <w:basedOn w:val="Normal"/>
    <w:next w:val="Normal"/>
    <w:autoRedefine/>
    <w:uiPriority w:val="39"/>
    <w:rsid w:val="00c01756"/>
    <w:pPr>
      <w:spacing w:before="240" w:after="0"/>
    </w:pPr>
    <w:rPr>
      <w:rFonts w:cs="Calibri" w:cstheme="minorHAnsi"/>
      <w:b/>
      <w:bCs/>
      <w:sz w:val="20"/>
      <w:szCs w:val="20"/>
    </w:rPr>
  </w:style>
  <w:style w:type="paragraph" w:styleId="BalloonText">
    <w:name w:val="Balloon Text"/>
    <w:basedOn w:val="Normal"/>
    <w:semiHidden/>
    <w:qFormat/>
    <w:rsid w:val="00197c91"/>
    <w:pPr/>
    <w:rPr>
      <w:rFonts w:ascii="Tahoma" w:hAnsi="Tahoma" w:cs="Tahoma"/>
      <w:sz w:val="16"/>
      <w:szCs w:val="16"/>
    </w:rPr>
  </w:style>
  <w:style w:type="paragraph" w:styleId="Annotationtext">
    <w:name w:val="annotation text"/>
    <w:basedOn w:val="Normal"/>
    <w:link w:val="Style11"/>
    <w:semiHidden/>
    <w:qFormat/>
    <w:rsid w:val="00b714b0"/>
    <w:pPr/>
    <w:rPr>
      <w:sz w:val="20"/>
      <w:szCs w:val="20"/>
    </w:rPr>
  </w:style>
  <w:style w:type="paragraph" w:styleId="Annotationsubject">
    <w:name w:val="annotation subject"/>
    <w:basedOn w:val="Annotationtext"/>
    <w:next w:val="Annotationtext"/>
    <w:semiHidden/>
    <w:qFormat/>
    <w:rsid w:val="00b714b0"/>
    <w:pPr/>
    <w:rPr>
      <w:b/>
      <w:bCs/>
    </w:rPr>
  </w:style>
  <w:style w:type="paragraph" w:styleId="17" w:customStyle="1">
    <w:name w:val="Обычный (веб)1"/>
    <w:basedOn w:val="Normal"/>
    <w:uiPriority w:val="99"/>
    <w:qFormat/>
    <w:rsid w:val="002f559a"/>
    <w:pPr>
      <w:spacing w:beforeAutospacing="1" w:afterAutospacing="1"/>
    </w:pPr>
    <w:rPr>
      <w:rFonts w:ascii="Arial Unicode MS" w:hAnsi="Arial Unicode MS" w:eastAsia="Arial Unicode MS" w:cs="Arial Unicode MS"/>
      <w:sz w:val="24"/>
      <w:szCs w:val="24"/>
    </w:rPr>
  </w:style>
  <w:style w:type="paragraph" w:styleId="TOC9">
    <w:name w:val="TOC 9"/>
    <w:basedOn w:val="Normal"/>
    <w:next w:val="Normal"/>
    <w:autoRedefine/>
    <w:semiHidden/>
    <w:rsid w:val="00f57628"/>
    <w:pPr>
      <w:ind w:left="1960" w:hanging="0"/>
    </w:pPr>
    <w:rPr>
      <w:rFonts w:ascii="Calibri" w:hAnsi="Calibri" w:cs="Calibri" w:asciiTheme="minorHAnsi" w:cstheme="minorHAnsi" w:hAnsiTheme="minorHAnsi"/>
      <w:sz w:val="20"/>
      <w:szCs w:val="20"/>
    </w:rPr>
  </w:style>
  <w:style w:type="paragraph" w:styleId="TOC5">
    <w:name w:val="TOC 5"/>
    <w:basedOn w:val="Normal"/>
    <w:next w:val="Normal"/>
    <w:autoRedefine/>
    <w:semiHidden/>
    <w:rsid w:val="00f57628"/>
    <w:pPr>
      <w:ind w:left="840" w:hanging="0"/>
    </w:pPr>
    <w:rPr>
      <w:rFonts w:ascii="Calibri" w:hAnsi="Calibri" w:cs="Calibri" w:asciiTheme="minorHAnsi" w:cstheme="minorHAnsi" w:hAnsiTheme="minorHAnsi"/>
      <w:sz w:val="20"/>
      <w:szCs w:val="20"/>
    </w:rPr>
  </w:style>
  <w:style w:type="paragraph" w:styleId="TOC4">
    <w:name w:val="TOC 4"/>
    <w:basedOn w:val="Normal"/>
    <w:next w:val="Normal"/>
    <w:autoRedefine/>
    <w:uiPriority w:val="39"/>
    <w:rsid w:val="00c01756"/>
    <w:pPr>
      <w:ind w:left="560" w:hanging="0"/>
    </w:pPr>
    <w:rPr>
      <w:rFonts w:cs="Calibri" w:cstheme="minorHAnsi"/>
      <w:sz w:val="20"/>
      <w:szCs w:val="20"/>
    </w:rPr>
  </w:style>
  <w:style w:type="paragraph" w:styleId="25" w:customStyle="1">
    <w:name w:val="Раздел положения 2"/>
    <w:basedOn w:val="Normal"/>
    <w:qFormat/>
    <w:rsid w:val="002c1e0e"/>
    <w:pPr>
      <w:pageBreakBefore/>
      <w:jc w:val="both"/>
      <w:outlineLvl w:val="0"/>
    </w:pPr>
    <w:rPr>
      <w:b/>
    </w:rPr>
  </w:style>
  <w:style w:type="paragraph" w:styleId="Style25" w:customStyle="1">
    <w:name w:val="Знак Знак Знак Знак Знак Знак Знак Знак Знак"/>
    <w:basedOn w:val="Normal"/>
    <w:qFormat/>
    <w:rsid w:val="00d22f6d"/>
    <w:pPr>
      <w:spacing w:lineRule="exact" w:line="240" w:before="0" w:after="160"/>
      <w:jc w:val="both"/>
    </w:pPr>
    <w:rPr>
      <w:rFonts w:ascii="Verdana" w:hAnsi="Verdana" w:cs="Verdana"/>
      <w:sz w:val="22"/>
      <w:szCs w:val="22"/>
      <w:lang w:val="en-US" w:eastAsia="en-US"/>
    </w:rPr>
  </w:style>
  <w:style w:type="paragraph" w:styleId="NoSpacing">
    <w:name w:val="No Spacing"/>
    <w:basedOn w:val="Normal"/>
    <w:uiPriority w:val="1"/>
    <w:qFormat/>
    <w:rsid w:val="00d22f6d"/>
    <w:pPr>
      <w:spacing w:lineRule="auto" w:line="360"/>
    </w:pPr>
    <w:rPr>
      <w:rFonts w:eastAsia="Calibri"/>
      <w:sz w:val="24"/>
      <w:szCs w:val="24"/>
    </w:rPr>
  </w:style>
  <w:style w:type="paragraph" w:styleId="Caption111" w:customStyle="1">
    <w:name w:val="caption111"/>
    <w:basedOn w:val="Normal"/>
    <w:next w:val="Normal"/>
    <w:uiPriority w:val="35"/>
    <w:qFormat/>
    <w:rsid w:val="00d22f6d"/>
    <w:pPr/>
    <w:rPr>
      <w:rFonts w:eastAsia="Calibri"/>
      <w:b/>
      <w:bCs/>
      <w:color w:val="4F81BD"/>
      <w:sz w:val="18"/>
      <w:szCs w:val="18"/>
    </w:rPr>
  </w:style>
  <w:style w:type="paragraph" w:styleId="Subtitle">
    <w:name w:val="Subtitle"/>
    <w:basedOn w:val="Normal"/>
    <w:next w:val="Normal"/>
    <w:link w:val="Style2"/>
    <w:uiPriority w:val="11"/>
    <w:qFormat/>
    <w:rsid w:val="00d22f6d"/>
    <w:pPr>
      <w:numPr>
        <w:ilvl w:val="1"/>
      </w:numPr>
      <w:ind w:left="1066" w:firstLine="709"/>
    </w:pPr>
    <w:rPr>
      <w:rFonts w:ascii="Cambria" w:hAnsi="Cambria"/>
      <w:i/>
      <w:iCs/>
      <w:color w:val="4F81BD"/>
      <w:spacing w:val="15"/>
      <w:sz w:val="24"/>
      <w:szCs w:val="24"/>
      <w:lang w:val="x-none" w:eastAsia="x-none"/>
    </w:rPr>
  </w:style>
  <w:style w:type="paragraph" w:styleId="ListParagraph">
    <w:name w:val="List Paragraph"/>
    <w:basedOn w:val="Normal"/>
    <w:link w:val="Style7"/>
    <w:uiPriority w:val="34"/>
    <w:qFormat/>
    <w:rsid w:val="00d22f6d"/>
    <w:pPr>
      <w:spacing w:before="0" w:after="0"/>
      <w:ind w:left="720" w:hanging="0"/>
      <w:contextualSpacing/>
    </w:pPr>
    <w:rPr>
      <w:rFonts w:eastAsia="Calibri"/>
      <w:sz w:val="24"/>
      <w:szCs w:val="24"/>
    </w:rPr>
  </w:style>
  <w:style w:type="paragraph" w:styleId="Quote">
    <w:name w:val="Quote"/>
    <w:basedOn w:val="Normal"/>
    <w:next w:val="Normal"/>
    <w:link w:val="21"/>
    <w:uiPriority w:val="29"/>
    <w:qFormat/>
    <w:rsid w:val="00d22f6d"/>
    <w:pPr/>
    <w:rPr>
      <w:rFonts w:ascii="Calibri" w:hAnsi="Calibri" w:eastAsia="Calibri"/>
      <w:i/>
      <w:iCs/>
      <w:color w:val="000000"/>
      <w:sz w:val="20"/>
      <w:szCs w:val="20"/>
      <w:lang w:val="x-none" w:eastAsia="x-none"/>
    </w:rPr>
  </w:style>
  <w:style w:type="paragraph" w:styleId="IntenseQuote">
    <w:name w:val="Intense Quote"/>
    <w:basedOn w:val="Normal"/>
    <w:next w:val="Normal"/>
    <w:link w:val="Style3"/>
    <w:uiPriority w:val="30"/>
    <w:qFormat/>
    <w:rsid w:val="00d22f6d"/>
    <w:pPr>
      <w:pBdr>
        <w:bottom w:val="single" w:sz="4" w:space="4" w:color="4F81BD"/>
      </w:pBdr>
      <w:spacing w:before="200" w:after="280"/>
      <w:ind w:left="936" w:right="936" w:hanging="0"/>
    </w:pPr>
    <w:rPr>
      <w:rFonts w:ascii="Calibri" w:hAnsi="Calibri" w:eastAsia="Calibri"/>
      <w:b/>
      <w:bCs/>
      <w:i/>
      <w:iCs/>
      <w:color w:val="4F81BD"/>
      <w:sz w:val="20"/>
      <w:szCs w:val="20"/>
      <w:lang w:val="x-none" w:eastAsia="x-none"/>
    </w:rPr>
  </w:style>
  <w:style w:type="paragraph" w:styleId="IndexHeading">
    <w:name w:val="Index Heading"/>
    <w:basedOn w:val="Style16"/>
    <w:pPr/>
    <w:rPr/>
  </w:style>
  <w:style w:type="paragraph" w:styleId="TOCHeading">
    <w:name w:val="TOC Heading"/>
    <w:basedOn w:val="Heading1"/>
    <w:next w:val="Normal"/>
    <w:uiPriority w:val="39"/>
    <w:qFormat/>
    <w:rsid w:val="00d22f6d"/>
    <w:pPr>
      <w:keepLines/>
      <w:spacing w:before="480" w:after="60"/>
      <w:outlineLvl w:val="9"/>
    </w:pPr>
    <w:rPr>
      <w:rFonts w:ascii="Cambria" w:hAnsi="Cambria"/>
      <w:bCs/>
      <w:color w:val="365F91"/>
    </w:rPr>
  </w:style>
  <w:style w:type="paragraph" w:styleId="E-mailSignature">
    <w:name w:val="E-mail Signature"/>
    <w:basedOn w:val="Normal"/>
    <w:link w:val="Style4"/>
    <w:uiPriority w:val="99"/>
    <w:unhideWhenUsed/>
    <w:qFormat/>
    <w:rsid w:val="00d22f6d"/>
    <w:pPr/>
    <w:rPr>
      <w:rFonts w:eastAsia="Calibri"/>
      <w:sz w:val="24"/>
      <w:szCs w:val="24"/>
      <w:lang w:val="x-none" w:eastAsia="x-none"/>
    </w:rPr>
  </w:style>
  <w:style w:type="paragraph" w:styleId="Style26" w:customStyle="1">
    <w:name w:val="Знак"/>
    <w:basedOn w:val="Normal"/>
    <w:qFormat/>
    <w:rsid w:val="00d22f6d"/>
    <w:pPr>
      <w:spacing w:lineRule="exact" w:line="240" w:before="0" w:after="160"/>
    </w:pPr>
    <w:rPr>
      <w:rFonts w:ascii="Verdana" w:hAnsi="Verdana" w:cs="Verdana"/>
      <w:sz w:val="20"/>
      <w:szCs w:val="20"/>
      <w:lang w:val="en-US" w:eastAsia="en-US"/>
    </w:rPr>
  </w:style>
  <w:style w:type="paragraph" w:styleId="34" w:customStyle="1">
    <w:name w:val="Нумерованный список ур3"/>
    <w:basedOn w:val="Normal"/>
    <w:qFormat/>
    <w:rsid w:val="00d22f6d"/>
    <w:pPr>
      <w:numPr>
        <w:ilvl w:val="2"/>
        <w:numId w:val="2"/>
      </w:numPr>
      <w:jc w:val="both"/>
    </w:pPr>
    <w:rPr>
      <w:rFonts w:ascii="Garamond" w:hAnsi="Garamond"/>
      <w:sz w:val="24"/>
      <w:szCs w:val="20"/>
    </w:rPr>
  </w:style>
  <w:style w:type="paragraph" w:styleId="311" w:customStyle="1">
    <w:name w:val="Список 31"/>
    <w:basedOn w:val="Normal"/>
    <w:qFormat/>
    <w:rsid w:val="00d22f6d"/>
    <w:pPr>
      <w:numPr>
        <w:ilvl w:val="0"/>
        <w:numId w:val="2"/>
      </w:numPr>
      <w:spacing w:before="120" w:after="0"/>
      <w:jc w:val="both"/>
    </w:pPr>
    <w:rPr>
      <w:rFonts w:ascii="Garamond" w:hAnsi="Garamond"/>
      <w:sz w:val="24"/>
      <w:szCs w:val="20"/>
    </w:rPr>
  </w:style>
  <w:style w:type="paragraph" w:styleId="26" w:customStyle="1">
    <w:name w:val="Нумерованный список ур2"/>
    <w:basedOn w:val="Normal"/>
    <w:qFormat/>
    <w:rsid w:val="00d22f6d"/>
    <w:pPr>
      <w:numPr>
        <w:ilvl w:val="1"/>
        <w:numId w:val="2"/>
      </w:numPr>
      <w:spacing w:before="120" w:after="0"/>
      <w:jc w:val="both"/>
    </w:pPr>
    <w:rPr>
      <w:rFonts w:ascii="Garamond" w:hAnsi="Garamond"/>
      <w:sz w:val="24"/>
      <w:szCs w:val="20"/>
    </w:rPr>
  </w:style>
  <w:style w:type="paragraph" w:styleId="Revision">
    <w:name w:val="Revision"/>
    <w:uiPriority w:val="99"/>
    <w:semiHidden/>
    <w:qFormat/>
    <w:rsid w:val="00d22f6d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auto"/>
      <w:kern w:val="0"/>
      <w:sz w:val="24"/>
      <w:szCs w:val="24"/>
      <w:lang w:val="ru-RU" w:eastAsia="ru-RU" w:bidi="ar-SA"/>
    </w:rPr>
  </w:style>
  <w:style w:type="paragraph" w:styleId="ConsPlusNormal1" w:customStyle="1">
    <w:name w:val="ConsPlusNormal"/>
    <w:link w:val="ConsPlusNormal"/>
    <w:qFormat/>
    <w:rsid w:val="00d22f6d"/>
    <w:pPr>
      <w:widowControl w:val="false"/>
      <w:suppressAutoHyphens w:val="true"/>
      <w:bidi w:val="0"/>
      <w:spacing w:before="0" w:after="0"/>
      <w:ind w:firstLine="720"/>
      <w:jc w:val="left"/>
    </w:pPr>
    <w:rPr>
      <w:rFonts w:ascii="Arial" w:hAnsi="Arial" w:eastAsia="Times New Roman" w:cs="Arial"/>
      <w:color w:val="auto"/>
      <w:kern w:val="0"/>
      <w:sz w:val="20"/>
      <w:szCs w:val="20"/>
      <w:lang w:val="ru-RU" w:eastAsia="ru-RU" w:bidi="ar-SA"/>
    </w:rPr>
  </w:style>
  <w:style w:type="paragraph" w:styleId="35" w:customStyle="1">
    <w:name w:val="Знак Знак3 Знак Знак"/>
    <w:basedOn w:val="Normal"/>
    <w:qFormat/>
    <w:rsid w:val="00d22f6d"/>
    <w:pPr>
      <w:spacing w:lineRule="exact" w:line="240" w:before="0" w:after="160"/>
      <w:jc w:val="both"/>
    </w:pPr>
    <w:rPr>
      <w:rFonts w:ascii="Verdana" w:hAnsi="Verdana" w:cs="Verdana"/>
      <w:sz w:val="22"/>
      <w:szCs w:val="22"/>
      <w:lang w:val="en-US" w:eastAsia="en-US"/>
    </w:rPr>
  </w:style>
  <w:style w:type="paragraph" w:styleId="Style27" w:customStyle="1">
    <w:name w:val="Пункт"/>
    <w:basedOn w:val="Normal"/>
    <w:qFormat/>
    <w:rsid w:val="00d22f6d"/>
    <w:pPr>
      <w:widowControl w:val="false"/>
      <w:tabs>
        <w:tab w:val="clear" w:pos="708"/>
        <w:tab w:val="left" w:pos="1134" w:leader="none"/>
      </w:tabs>
      <w:spacing w:lineRule="auto" w:line="360" w:before="120" w:after="0"/>
      <w:ind w:left="1134" w:right="800" w:hanging="1134"/>
      <w:jc w:val="both"/>
    </w:pPr>
    <w:rPr>
      <w:rFonts w:ascii="Arial" w:hAnsi="Arial"/>
      <w:b/>
      <w:i/>
      <w:szCs w:val="20"/>
    </w:rPr>
  </w:style>
  <w:style w:type="paragraph" w:styleId="18" w:customStyle="1">
    <w:name w:val="Абзац списка1"/>
    <w:basedOn w:val="Normal"/>
    <w:qFormat/>
    <w:rsid w:val="00d22f6d"/>
    <w:pPr>
      <w:spacing w:lineRule="auto" w:line="276" w:before="0" w:after="200"/>
      <w:ind w:left="720" w:hanging="0"/>
      <w:contextualSpacing/>
    </w:pPr>
    <w:rPr>
      <w:rFonts w:ascii="Calibri" w:hAnsi="Calibri"/>
      <w:sz w:val="22"/>
      <w:szCs w:val="22"/>
      <w:lang w:eastAsia="en-US"/>
    </w:rPr>
  </w:style>
  <w:style w:type="paragraph" w:styleId="Style28" w:customStyle="1">
    <w:name w:val="Таблица"/>
    <w:basedOn w:val="Normal"/>
    <w:qFormat/>
    <w:rsid w:val="0041356c"/>
    <w:pPr>
      <w:keepNext w:val="true"/>
      <w:spacing w:before="60" w:after="60"/>
      <w:jc w:val="center"/>
    </w:pPr>
    <w:rPr>
      <w:rFonts w:eastAsia="Calibri"/>
      <w:b/>
      <w:sz w:val="24"/>
      <w:szCs w:val="24"/>
      <w:lang w:val="x-none" w:eastAsia="x-none"/>
    </w:rPr>
  </w:style>
  <w:style w:type="paragraph" w:styleId="Style29" w:customStyle="1">
    <w:name w:val="Таблица шапка"/>
    <w:basedOn w:val="Normal"/>
    <w:qFormat/>
    <w:rsid w:val="00f64089"/>
    <w:pPr>
      <w:keepNext w:val="true"/>
      <w:spacing w:before="40" w:after="40"/>
      <w:ind w:left="57" w:right="57" w:hanging="0"/>
    </w:pPr>
    <w:rPr>
      <w:sz w:val="22"/>
      <w:szCs w:val="26"/>
    </w:rPr>
  </w:style>
  <w:style w:type="paragraph" w:styleId="Style30" w:customStyle="1">
    <w:name w:val="Подподпункт"/>
    <w:basedOn w:val="Style22"/>
    <w:link w:val="Style9"/>
    <w:qFormat/>
    <w:rsid w:val="0025139e"/>
    <w:pPr>
      <w:tabs>
        <w:tab w:val="clear" w:pos="1134"/>
        <w:tab w:val="left" w:pos="5104" w:leader="none"/>
      </w:tabs>
      <w:snapToGrid w:val="true"/>
      <w:spacing w:lineRule="auto" w:line="240" w:before="120" w:after="0"/>
      <w:ind w:left="5104" w:hanging="567"/>
    </w:pPr>
    <w:rPr>
      <w:sz w:val="26"/>
      <w:szCs w:val="26"/>
      <w:lang w:val="ru-RU" w:eastAsia="ru-RU"/>
    </w:rPr>
  </w:style>
  <w:style w:type="paragraph" w:styleId="Style31" w:customStyle="1">
    <w:name w:val="УРОВЕНЬ_(а)"/>
    <w:basedOn w:val="ListParagraph"/>
    <w:qFormat/>
    <w:rsid w:val="00b56f46"/>
    <w:pPr>
      <w:numPr>
        <w:ilvl w:val="3"/>
        <w:numId w:val="4"/>
      </w:numPr>
      <w:spacing w:lineRule="exact" w:line="360" w:before="120" w:after="0"/>
      <w:contextualSpacing w:val="false"/>
      <w:jc w:val="both"/>
      <w:outlineLvl w:val="3"/>
    </w:pPr>
    <w:rPr>
      <w:sz w:val="26"/>
      <w:szCs w:val="28"/>
      <w:lang w:eastAsia="en-US"/>
    </w:rPr>
  </w:style>
  <w:style w:type="paragraph" w:styleId="-" w:customStyle="1">
    <w:name w:val="УРОВЕНЬ_-"/>
    <w:basedOn w:val="ListParagraph"/>
    <w:qFormat/>
    <w:rsid w:val="00b56f46"/>
    <w:pPr>
      <w:numPr>
        <w:ilvl w:val="4"/>
        <w:numId w:val="4"/>
      </w:numPr>
      <w:spacing w:lineRule="exact" w:line="360" w:before="120" w:after="0"/>
      <w:contextualSpacing w:val="false"/>
      <w:jc w:val="both"/>
      <w:outlineLvl w:val="4"/>
    </w:pPr>
    <w:rPr>
      <w:sz w:val="26"/>
      <w:szCs w:val="28"/>
      <w:lang w:eastAsia="en-US"/>
    </w:rPr>
  </w:style>
  <w:style w:type="paragraph" w:styleId="27" w:customStyle="1">
    <w:name w:val="УРОВЕНЬ_Абзац_тип2"/>
    <w:basedOn w:val="ListParagraph"/>
    <w:qFormat/>
    <w:rsid w:val="00b56f46"/>
    <w:pPr>
      <w:numPr>
        <w:ilvl w:val="6"/>
        <w:numId w:val="4"/>
      </w:numPr>
      <w:spacing w:lineRule="exact" w:line="360" w:before="120" w:after="0"/>
      <w:contextualSpacing w:val="false"/>
      <w:jc w:val="both"/>
    </w:pPr>
    <w:rPr>
      <w:sz w:val="26"/>
      <w:szCs w:val="28"/>
      <w:lang w:eastAsia="en-US"/>
    </w:rPr>
  </w:style>
  <w:style w:type="paragraph" w:styleId="36" w:customStyle="1">
    <w:name w:val="УРОВЕНЬ_Абзац_тип3"/>
    <w:basedOn w:val="ListParagraph"/>
    <w:link w:val="31"/>
    <w:qFormat/>
    <w:rsid w:val="00b56f46"/>
    <w:pPr>
      <w:numPr>
        <w:ilvl w:val="7"/>
        <w:numId w:val="4"/>
      </w:numPr>
      <w:spacing w:lineRule="exact" w:line="360" w:before="120" w:after="0"/>
      <w:contextualSpacing w:val="false"/>
      <w:jc w:val="both"/>
    </w:pPr>
    <w:rPr>
      <w:sz w:val="26"/>
      <w:szCs w:val="28"/>
      <w:lang w:eastAsia="en-US"/>
    </w:rPr>
  </w:style>
  <w:style w:type="paragraph" w:styleId="Style32" w:customStyle="1">
    <w:name w:val="УРОВЕНЬ_Подпись"/>
    <w:basedOn w:val="ListParagraph"/>
    <w:qFormat/>
    <w:rsid w:val="00b56f46"/>
    <w:pPr>
      <w:keepNext w:val="true"/>
      <w:numPr>
        <w:ilvl w:val="5"/>
        <w:numId w:val="4"/>
      </w:numPr>
      <w:spacing w:lineRule="exact" w:line="360" w:before="120" w:after="120"/>
      <w:contextualSpacing w:val="false"/>
      <w:jc w:val="right"/>
      <w:outlineLvl w:val="3"/>
    </w:pPr>
    <w:rPr>
      <w:sz w:val="26"/>
      <w:szCs w:val="28"/>
      <w:lang w:eastAsia="en-US"/>
    </w:rPr>
  </w:style>
  <w:style w:type="paragraph" w:styleId="19" w:customStyle="1">
    <w:name w:val="Стиль Заголовок 1 + по ширине"/>
    <w:basedOn w:val="Heading1"/>
    <w:qFormat/>
    <w:rsid w:val="005773b2"/>
    <w:pPr>
      <w:keepLines/>
      <w:numPr>
        <w:ilvl w:val="0"/>
        <w:numId w:val="0"/>
      </w:numPr>
      <w:tabs>
        <w:tab w:val="clear" w:pos="708"/>
        <w:tab w:val="left" w:pos="567" w:leader="none"/>
      </w:tabs>
      <w:spacing w:before="480" w:after="240"/>
      <w:ind w:left="567" w:hanging="567"/>
      <w:jc w:val="both"/>
    </w:pPr>
    <w:rPr>
      <w:rFonts w:ascii="Arial" w:hAnsi="Arial" w:eastAsia="Times New Roman"/>
      <w:bCs/>
      <w:kern w:val="2"/>
      <w:sz w:val="40"/>
      <w:szCs w:val="20"/>
      <w:lang w:val="ru-RU" w:eastAsia="ru-RU"/>
    </w:rPr>
  </w:style>
  <w:style w:type="paragraph" w:styleId="EndnoteText">
    <w:name w:val="Endnote Text"/>
    <w:basedOn w:val="Normal"/>
    <w:link w:val="Style12"/>
    <w:rsid w:val="003879d4"/>
    <w:pPr/>
    <w:rPr>
      <w:sz w:val="20"/>
      <w:szCs w:val="20"/>
    </w:rPr>
  </w:style>
  <w:style w:type="paragraph" w:styleId="28" w:customStyle="1">
    <w:name w:val="Заголовок 2 КВВ"/>
    <w:basedOn w:val="Normal"/>
    <w:qFormat/>
    <w:rsid w:val="00cb35e8"/>
    <w:pPr>
      <w:keepNext w:val="true"/>
      <w:numPr>
        <w:ilvl w:val="0"/>
        <w:numId w:val="5"/>
      </w:numPr>
      <w:spacing w:before="120" w:after="120"/>
      <w:jc w:val="both"/>
      <w:outlineLvl w:val="0"/>
    </w:pPr>
    <w:rPr>
      <w:b/>
      <w:kern w:val="2"/>
      <w:sz w:val="24"/>
      <w:szCs w:val="20"/>
      <w:lang w:eastAsia="x-none"/>
    </w:rPr>
  </w:style>
  <w:style w:type="paragraph" w:styleId="Style33" w:customStyle="1">
    <w:name w:val="Таблица текст"/>
    <w:basedOn w:val="Normal"/>
    <w:qFormat/>
    <w:rsid w:val="00343e95"/>
    <w:pPr>
      <w:spacing w:before="40" w:after="40"/>
      <w:ind w:left="57" w:right="57" w:hanging="0"/>
    </w:pPr>
    <w:rPr>
      <w:sz w:val="24"/>
      <w:szCs w:val="26"/>
    </w:rPr>
  </w:style>
  <w:style w:type="paragraph" w:styleId="NormalWeb">
    <w:name w:val="Normal (Web)"/>
    <w:basedOn w:val="Normal"/>
    <w:uiPriority w:val="99"/>
    <w:unhideWhenUsed/>
    <w:qFormat/>
    <w:rsid w:val="00265d9f"/>
    <w:pPr>
      <w:spacing w:beforeAutospacing="1" w:afterAutospacing="1"/>
    </w:pPr>
    <w:rPr>
      <w:sz w:val="24"/>
      <w:szCs w:val="24"/>
    </w:rPr>
  </w:style>
  <w:style w:type="paragraph" w:styleId="110" w:customStyle="1">
    <w:name w:val="УРОВЕНЬ_1."/>
    <w:basedOn w:val="ListParagraph"/>
    <w:link w:val="13"/>
    <w:qFormat/>
    <w:rsid w:val="004a17ae"/>
    <w:pPr>
      <w:keepNext w:val="true"/>
      <w:keepLines/>
      <w:spacing w:lineRule="auto" w:line="276" w:before="240" w:after="120"/>
      <w:ind w:left="0" w:hanging="0"/>
      <w:contextualSpacing w:val="false"/>
      <w:jc w:val="both"/>
      <w:outlineLvl w:val="0"/>
    </w:pPr>
    <w:rPr>
      <w:caps/>
      <w:sz w:val="28"/>
      <w:szCs w:val="28"/>
      <w:lang w:eastAsia="en-US"/>
    </w:rPr>
  </w:style>
  <w:style w:type="paragraph" w:styleId="TOC6">
    <w:name w:val="TOC 6"/>
    <w:basedOn w:val="Normal"/>
    <w:next w:val="Normal"/>
    <w:autoRedefine/>
    <w:unhideWhenUsed/>
    <w:rsid w:val="00d849aa"/>
    <w:pPr>
      <w:ind w:left="1120" w:hanging="0"/>
    </w:pPr>
    <w:rPr>
      <w:rFonts w:ascii="Calibri" w:hAnsi="Calibri" w:cs="Calibri" w:asciiTheme="minorHAnsi" w:cstheme="minorHAnsi" w:hAnsiTheme="minorHAnsi"/>
      <w:sz w:val="20"/>
      <w:szCs w:val="20"/>
    </w:rPr>
  </w:style>
  <w:style w:type="paragraph" w:styleId="TOC7">
    <w:name w:val="TOC 7"/>
    <w:basedOn w:val="Normal"/>
    <w:next w:val="Normal"/>
    <w:autoRedefine/>
    <w:unhideWhenUsed/>
    <w:rsid w:val="00d849aa"/>
    <w:pPr>
      <w:ind w:left="1400" w:hanging="0"/>
    </w:pPr>
    <w:rPr>
      <w:rFonts w:ascii="Calibri" w:hAnsi="Calibri" w:cs="Calibri" w:asciiTheme="minorHAnsi" w:cstheme="minorHAnsi" w:hAnsiTheme="minorHAnsi"/>
      <w:sz w:val="20"/>
      <w:szCs w:val="20"/>
    </w:rPr>
  </w:style>
  <w:style w:type="paragraph" w:styleId="TOC8">
    <w:name w:val="TOC 8"/>
    <w:basedOn w:val="Normal"/>
    <w:next w:val="Normal"/>
    <w:autoRedefine/>
    <w:unhideWhenUsed/>
    <w:rsid w:val="00d849aa"/>
    <w:pPr>
      <w:ind w:left="1680" w:hanging="0"/>
    </w:pPr>
    <w:rPr>
      <w:rFonts w:ascii="Calibri" w:hAnsi="Calibri" w:cs="Calibri" w:asciiTheme="minorHAnsi" w:cstheme="minorHAnsi" w:hAnsiTheme="minorHAnsi"/>
      <w:sz w:val="20"/>
      <w:szCs w:val="20"/>
    </w:rPr>
  </w:style>
  <w:style w:type="paragraph" w:styleId="DefaultParagraphFontParaCharChar" w:customStyle="1">
    <w:name w:val="Default Paragraph Font Para Char Char Знак"/>
    <w:basedOn w:val="Normal"/>
    <w:qFormat/>
    <w:rsid w:val="00496937"/>
    <w:pPr>
      <w:spacing w:lineRule="exact" w:line="240" w:before="0" w:after="160"/>
      <w:jc w:val="both"/>
    </w:pPr>
    <w:rPr>
      <w:rFonts w:ascii="Verdana" w:hAnsi="Verdana"/>
      <w:sz w:val="20"/>
      <w:szCs w:val="20"/>
      <w:lang w:val="en-US" w:eastAsia="en-US"/>
    </w:rPr>
  </w:style>
  <w:style w:type="paragraph" w:styleId="Style34" w:customStyle="1">
    <w:name w:val="Обычный таблица"/>
    <w:basedOn w:val="Normal"/>
    <w:qFormat/>
    <w:rsid w:val="00013167"/>
    <w:pPr/>
    <w:rPr>
      <w:rFonts w:eastAsia="" w:cs="" w:cstheme="minorBidi" w:eastAsiaTheme="minorEastAsia"/>
      <w:sz w:val="20"/>
      <w:szCs w:val="24"/>
      <w:lang w:eastAsia="en-US"/>
    </w:rPr>
  </w:style>
  <w:style w:type="paragraph" w:styleId="Style35" w:customStyle="1">
    <w:name w:val="Содержимое врезки"/>
    <w:basedOn w:val="Normal"/>
    <w:qFormat/>
    <w:pPr/>
    <w:rPr/>
  </w:style>
  <w:style w:type="paragraph" w:styleId="Style36" w:customStyle="1">
    <w:name w:val="Содержимое таблицы"/>
    <w:basedOn w:val="Normal"/>
    <w:qFormat/>
    <w:pPr>
      <w:widowControl w:val="false"/>
      <w:suppressLineNumbers/>
    </w:pPr>
    <w:rPr/>
  </w:style>
  <w:style w:type="paragraph" w:styleId="Style37" w:customStyle="1">
    <w:name w:val="Заголовок таблицы"/>
    <w:basedOn w:val="Style36"/>
    <w:qFormat/>
    <w:pPr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numbering" w:styleId="111" w:customStyle="1">
    <w:name w:val="Стиль1"/>
    <w:uiPriority w:val="99"/>
    <w:qFormat/>
    <w:rsid w:val="00f001e4"/>
  </w:style>
  <w:style w:type="numbering" w:styleId="29" w:customStyle="1">
    <w:name w:val="Стиль2"/>
    <w:uiPriority w:val="99"/>
    <w:qFormat/>
    <w:rsid w:val="006629c9"/>
  </w:style>
  <w:style w:type="numbering" w:styleId="39941089391">
    <w:name w:val="39941089391"/>
    <w:qFormat/>
  </w:style>
  <w:style w:type="table" w:default="1" w:styleId="a5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ffff8">
    <w:name w:val="Table Grid"/>
    <w:basedOn w:val="a5"/>
    <w:rsid w:val="0076353a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d">
    <w:name w:val="Сетка таблицы1"/>
    <w:basedOn w:val="a5"/>
    <w:uiPriority w:val="39"/>
    <w:rsid w:val="00214b9f"/>
    <w:rPr>
      <w:rFonts w:asciiTheme="minorHAnsi" w:hAnsiTheme="minorHAnsi" w:eastAsiaTheme="minorHAnsi" w:cstheme="minorBidi"/>
      <w:lang w:eastAsia="en-US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header" Target="header3.xml"/><Relationship Id="rId5" Type="http://schemas.openxmlformats.org/officeDocument/2006/relationships/header" Target="header4.xml"/><Relationship Id="rId6" Type="http://schemas.openxmlformats.org/officeDocument/2006/relationships/header" Target="header5.xml"/><Relationship Id="rId7" Type="http://schemas.openxmlformats.org/officeDocument/2006/relationships/header" Target="header6.xml"/><Relationship Id="rId8" Type="http://schemas.openxmlformats.org/officeDocument/2006/relationships/header" Target="header7.xml"/><Relationship Id="rId9" Type="http://schemas.openxmlformats.org/officeDocument/2006/relationships/header" Target="header8.xml"/><Relationship Id="rId10" Type="http://schemas.openxmlformats.org/officeDocument/2006/relationships/header" Target="header9.xml"/><Relationship Id="rId11" Type="http://schemas.openxmlformats.org/officeDocument/2006/relationships/header" Target="header10.xml"/><Relationship Id="rId12" Type="http://schemas.openxmlformats.org/officeDocument/2006/relationships/header" Target="header11.xml"/><Relationship Id="rId13" Type="http://schemas.openxmlformats.org/officeDocument/2006/relationships/header" Target="header12.xml"/><Relationship Id="rId14" Type="http://schemas.openxmlformats.org/officeDocument/2006/relationships/header" Target="header13.xml"/><Relationship Id="rId15" Type="http://schemas.openxmlformats.org/officeDocument/2006/relationships/header" Target="header14.xml"/><Relationship Id="rId16" Type="http://schemas.openxmlformats.org/officeDocument/2006/relationships/header" Target="header15.xml"/><Relationship Id="rId17" Type="http://schemas.openxmlformats.org/officeDocument/2006/relationships/header" Target="header16.xml"/><Relationship Id="rId18" Type="http://schemas.openxmlformats.org/officeDocument/2006/relationships/header" Target="header17.xml"/><Relationship Id="rId19" Type="http://schemas.openxmlformats.org/officeDocument/2006/relationships/header" Target="header18.xml"/><Relationship Id="rId20" Type="http://schemas.openxmlformats.org/officeDocument/2006/relationships/header" Target="header19.xml"/><Relationship Id="rId21" Type="http://schemas.openxmlformats.org/officeDocument/2006/relationships/footnotes" Target="footnotes.xml"/><Relationship Id="rId22" Type="http://schemas.openxmlformats.org/officeDocument/2006/relationships/numbering" Target="numbering.xml"/><Relationship Id="rId23" Type="http://schemas.openxmlformats.org/officeDocument/2006/relationships/fontTable" Target="fontTable.xml"/><Relationship Id="rId24" Type="http://schemas.openxmlformats.org/officeDocument/2006/relationships/settings" Target="settings.xml"/><Relationship Id="rId25" Type="http://schemas.openxmlformats.org/officeDocument/2006/relationships/theme" Target="theme/theme1.xml"/><Relationship Id="rId2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616DD6-992B-4E60-98E2-2D4DE9FEBA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467</TotalTime>
  <Application>AlterOffice/2025.2.1.0$Linux_X86_64 LibreOffice_project/d2c615264c9535987c375e0f04a158be6015ce3d</Application>
  <AppVersion>15.0000</AppVersion>
  <Pages>27</Pages>
  <Words>3492</Words>
  <Characters>26279</Characters>
  <CharactersWithSpaces>29777</CharactersWithSpaces>
  <Paragraphs>518</Paragraphs>
  <Company>Microsoft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2024-05-20T13:16:00Z</dcterms:created>
  <dc:creator>Быстров Олег Геннадьевич</dc:creator>
  <dc:description/>
  <dc:language>ru-RU</dc:language>
  <cp:lastModifiedBy>shagrudinovia@corp.gidroogk.com</cp:lastModifiedBy>
  <cp:lastPrinted>2026-01-16T08:51:06Z</cp:lastPrinted>
  <dcterms:modified xsi:type="dcterms:W3CDTF">2026-09-08T15:43:48Z</dcterms:modified>
  <cp:revision>39</cp:revision>
  <dc:subject/>
  <dc:title>Российское открытое акционерное общество энергетики и электрификации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