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header5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18"/>
        <w:keepNext w:val="true"/>
        <w:keepLines w:val="true"/>
        <w:pBdr/>
        <w:spacing/>
        <w:ind/>
        <w:jc w:val="right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18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18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18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18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18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18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18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18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18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18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требования.</w:t>
      </w:r>
      <w:r>
        <w:rPr>
          <w:rFonts w:eastAsia="Calibri"/>
          <w:b/>
          <w:sz w:val="26"/>
          <w:szCs w:val="26"/>
        </w:rPr>
      </w:r>
    </w:p>
    <w:p>
      <w:pPr>
        <w:pStyle w:val="718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18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60"/>
        <w:pBdr/>
        <w:spacing/>
        <w:ind/>
        <w:jc w:val="center"/>
        <w:rPr>
          <w:b/>
          <w:bCs/>
          <w:color w:val="000000"/>
          <w:sz w:val="26"/>
          <w:szCs w:val="26"/>
          <w14:ligatures w14:val="none"/>
        </w:rPr>
      </w:pPr>
      <w:r>
        <w:rPr>
          <w:rFonts w:eastAsia="Calibri"/>
          <w:b/>
          <w:bCs/>
          <w:sz w:val="26"/>
          <w:szCs w:val="26"/>
        </w:rPr>
        <w:t xml:space="preserve">«</w:t>
      </w:r>
      <w:r>
        <w:rPr>
          <w:b/>
          <w:bCs/>
          <w:color w:val="000000"/>
          <w:sz w:val="26"/>
          <w:szCs w:val="26"/>
        </w:rPr>
        <w:t xml:space="preserve">ОКПД2 33.12.11.000 </w:t>
      </w:r>
      <w:r>
        <w:rPr>
          <w:b/>
          <w:bCs/>
          <w:color w:val="000000"/>
          <w:sz w:val="26"/>
          <w:szCs w:val="26"/>
        </w:rPr>
        <w:t xml:space="preserve">Оказание услуги по капитальному ремонту ДГ-315 </w:t>
      </w:r>
      <w:r>
        <w:rPr>
          <w:b/>
          <w:bCs/>
          <w:color w:val="000000"/>
          <w:sz w:val="26"/>
          <w:szCs w:val="26"/>
        </w:rPr>
        <w:t xml:space="preserve"> ДЭС п. Белая гора Белогорского РЭС </w:t>
      </w:r>
      <w:r>
        <w:rPr>
          <w:b/>
          <w:bCs/>
          <w:color w:val="000000"/>
          <w:sz w:val="26"/>
          <w:szCs w:val="26"/>
        </w:rPr>
        <w:t xml:space="preserve">филиала </w:t>
      </w:r>
      <w:r>
        <w:rPr>
          <w:b/>
          <w:bCs/>
          <w:color w:val="000000"/>
          <w:sz w:val="26"/>
          <w:szCs w:val="26"/>
        </w:rPr>
        <w:t xml:space="preserve">АО «Сахаэнерго» </w:t>
      </w:r>
      <w:r>
        <w:rPr>
          <w:b/>
          <w:bCs/>
          <w:color w:val="000000"/>
          <w:sz w:val="26"/>
          <w:szCs w:val="26"/>
          <w14:ligatures w14:val="none"/>
        </w:rPr>
      </w:r>
      <w:r>
        <w:rPr>
          <w:b/>
          <w:bCs/>
          <w:color w:val="000000"/>
          <w:sz w:val="26"/>
          <w:szCs w:val="26"/>
          <w14:ligatures w14:val="none"/>
        </w:rPr>
      </w:r>
    </w:p>
    <w:p>
      <w:pPr>
        <w:pStyle w:val="718"/>
        <w:keepNext w:val="true"/>
        <w:keepLines w:val="true"/>
        <w:pBdr/>
        <w:spacing/>
        <w:ind/>
        <w:jc w:val="center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/>
    </w:p>
    <w:p>
      <w:pPr>
        <w:pStyle w:val="718"/>
        <w:keepNext w:val="true"/>
        <w:keepLines w:val="true"/>
        <w:pBdr/>
        <w:spacing/>
        <w:ind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  <w:r>
        <w:rPr>
          <w:rFonts w:eastAsia="Calibri"/>
          <w:sz w:val="26"/>
          <w:szCs w:val="26"/>
        </w:rPr>
      </w:r>
    </w:p>
    <w:p>
      <w:pPr>
        <w:pStyle w:val="718"/>
        <w:keepNext w:val="true"/>
        <w:keepLines w:val="true"/>
        <w:pBdr/>
        <w:spacing/>
        <w:ind/>
        <w:jc w:val="center"/>
        <w:rPr>
          <w:sz w:val="26"/>
          <w:szCs w:val="26"/>
        </w:rPr>
      </w:pPr>
      <w:r/>
      <w:r>
        <w:rPr>
          <w:sz w:val="26"/>
          <w:szCs w:val="26"/>
        </w:rPr>
      </w:r>
    </w:p>
    <w:p>
      <w:pPr>
        <w:pStyle w:val="718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br w:type="page" w:clear="all"/>
      </w:r>
      <w:r>
        <w:rPr>
          <w:sz w:val="26"/>
          <w:szCs w:val="26"/>
        </w:rPr>
      </w:r>
    </w:p>
    <w:p>
      <w:pPr>
        <w:pStyle w:val="718"/>
        <w:pBdr/>
        <w:spacing/>
        <w:ind/>
        <w:jc w:val="center"/>
        <w:rPr>
          <w:b/>
        </w:rPr>
      </w:pPr>
      <w:r>
        <w:rPr>
          <w:b/>
        </w:rPr>
        <w:t xml:space="preserve">СОДЕРЖАНИЕ</w:t>
      </w:r>
      <w:r>
        <w:rPr>
          <w:b/>
        </w:rPr>
      </w:r>
    </w:p>
    <w:sdt>
      <w:sdtPr>
        <w15:appearance w15:val="boundingBox"/>
        <w:docPartObj>
          <w:docPartGallery w:val="Table of Contents"/>
          <w:docPartUnique w:val="true"/>
        </w:docPartObj>
        <w:rPr/>
      </w:sdtPr>
      <w:sdtContent>
        <w:p>
          <w:pPr>
            <w:pStyle w:val="749"/>
            <w:pBdr/>
            <w:tabs>
              <w:tab w:val="left" w:leader="none" w:pos="567"/>
              <w:tab w:val="right" w:leader="dot" w:pos="10053"/>
            </w:tabs>
            <w:spacing/>
            <w:ind/>
            <w:rPr>
              <w:caps/>
            </w:rPr>
          </w:pPr>
          <w:r>
            <w:fldChar w:fldCharType="begin"/>
          </w:r>
          <w:r>
            <w:rPr>
              <w:rStyle w:val="739"/>
              <w:vanish w:val="0"/>
            </w:rPr>
            <w:instrText xml:space="preserve"> TOC \z \o "1-4" \u \h</w:instrText>
          </w:r>
          <w:r>
            <w:rPr>
              <w:rStyle w:val="739"/>
              <w:vanish w:val="0"/>
            </w:rPr>
            <w:fldChar w:fldCharType="separate"/>
          </w:r>
          <w:r>
            <w:rPr>
              <w:rFonts w:asciiTheme="minorHAnsi" w:hAnsiTheme="minorHAnsi" w:eastAsiaTheme="minorEastAsia" w:cstheme="minorBidi"/>
              <w:b w:val="0"/>
              <w:bCs w:val="0"/>
              <w:sz w:val="22"/>
              <w:szCs w:val="22"/>
            </w:rPr>
          </w:r>
          <w:hyperlink w:tooltip="#_Toc1" w:anchor="_Toc1" w:history="1">
            <w:r>
              <w:rPr>
                <w:rFonts w:ascii="Times New Roman" w:hAnsi="Times New Roman" w:eastAsia="Calibri" w:cs="Times New Roman"/>
              </w:rPr>
              <w:t xml:space="preserve">1.</w:t>
            </w:r>
            <w:r>
              <w:tab/>
            </w:r>
            <w:r>
              <w:rPr>
                <w:rStyle w:val="733"/>
              </w:rPr>
            </w:r>
            <w:r>
              <w:rPr>
                <w:rStyle w:val="733"/>
              </w:rPr>
              <w:t xml:space="preserve">Общие сведения</w:t>
            </w:r>
            <w:r>
              <w:rPr>
                <w:rStyle w:val="733"/>
                <w:caps/>
              </w:rPr>
            </w:r>
            <w:r>
              <w:tab/>
            </w:r>
            <w:r>
              <w:fldChar w:fldCharType="begin"/>
              <w:instrText xml:space="preserve">PAGEREF _Toc1 \h</w:instrText>
              <w:fldChar w:fldCharType="separate"/>
              <w:t xml:space="preserve">3</w:t>
              <w:fldChar w:fldCharType="end"/>
            </w:r>
          </w:hyperlink>
          <w:r>
            <w:rPr>
              <w:caps/>
            </w:rPr>
          </w:r>
        </w:p>
        <w:p>
          <w:pPr>
            <w:pStyle w:val="751"/>
            <w:pBdr/>
            <w:tabs>
              <w:tab w:val="left" w:leader="none" w:pos="1417"/>
              <w:tab w:val="right" w:leader="dot" w:pos="10053"/>
            </w:tabs>
            <w:spacing/>
            <w:ind/>
            <w:rPr/>
          </w:pPr>
          <w:hyperlink w:tooltip="#_Toc2" w:anchor="_Toc2" w:history="1">
            <w:r>
              <w:rPr>
                <w:rFonts w:ascii="Times New Roman" w:hAnsi="Times New Roman" w:eastAsia="Calibri" w:cs="Times New Roman"/>
              </w:rPr>
              <w:t xml:space="preserve">1.1.</w:t>
            </w:r>
            <w:r>
              <w:tab/>
            </w:r>
            <w:r>
              <w:rPr>
                <w:rStyle w:val="733"/>
              </w:rPr>
            </w:r>
            <w:r>
              <w:rPr>
                <w:rStyle w:val="733"/>
              </w:rPr>
              <w:t xml:space="preserve">Обозначения и сокращения</w:t>
            </w:r>
            <w:r>
              <w:rPr>
                <w:rStyle w:val="733"/>
              </w:rPr>
            </w:r>
            <w:r>
              <w:tab/>
            </w:r>
            <w:r>
              <w:fldChar w:fldCharType="begin"/>
              <w:instrText xml:space="preserve">PAGEREF _Toc2 \h</w:instrText>
              <w:fldChar w:fldCharType="separate"/>
              <w:t xml:space="preserve">3</w:t>
              <w:fldChar w:fldCharType="end"/>
            </w:r>
          </w:hyperlink>
          <w:r/>
        </w:p>
        <w:p>
          <w:pPr>
            <w:pStyle w:val="751"/>
            <w:pBdr/>
            <w:tabs>
              <w:tab w:val="left" w:leader="none" w:pos="1417"/>
              <w:tab w:val="right" w:leader="dot" w:pos="10053"/>
            </w:tabs>
            <w:spacing/>
            <w:ind/>
            <w:rPr>
              <w:i/>
              <w:shd w:val="clear" w:color="auto" w:fill="ffff99"/>
            </w:rPr>
          </w:pPr>
          <w:hyperlink w:tooltip="#_Toc3" w:anchor="_Toc3" w:history="1">
            <w:r>
              <w:rPr>
                <w:rFonts w:ascii="Times New Roman" w:hAnsi="Times New Roman" w:eastAsia="Calibri" w:cs="Times New Roman"/>
              </w:rPr>
              <w:t xml:space="preserve">1.2.</w:t>
            </w:r>
            <w:r>
              <w:tab/>
            </w:r>
            <w:r>
              <w:rPr>
                <w:rStyle w:val="733"/>
              </w:rPr>
            </w:r>
            <w:r>
              <w:rPr>
                <w:rStyle w:val="733"/>
              </w:rPr>
              <w:t xml:space="preserve">Наименование объекта, место выполнения работ</w:t>
            </w:r>
            <w:r>
              <w:rPr>
                <w:rStyle w:val="733"/>
                <w:i/>
                <w:shd w:val="clear" w:color="auto" w:fill="ffff99"/>
              </w:rPr>
            </w:r>
            <w:r>
              <w:tab/>
            </w:r>
            <w:r>
              <w:fldChar w:fldCharType="begin"/>
              <w:instrText xml:space="preserve">PAGEREF _Toc3 \h</w:instrText>
              <w:fldChar w:fldCharType="separate"/>
              <w:t xml:space="preserve">3</w:t>
              <w:fldChar w:fldCharType="end"/>
            </w:r>
          </w:hyperlink>
          <w:r>
            <w:rPr>
              <w:i/>
              <w:shd w:val="clear" w:color="auto" w:fill="ffff99"/>
            </w:rPr>
          </w:r>
        </w:p>
        <w:p>
          <w:pPr>
            <w:pStyle w:val="751"/>
            <w:pBdr/>
            <w:tabs>
              <w:tab w:val="left" w:leader="none" w:pos="1417"/>
              <w:tab w:val="right" w:leader="dot" w:pos="10053"/>
            </w:tabs>
            <w:spacing/>
            <w:ind/>
            <w:rPr/>
          </w:pPr>
          <w:hyperlink w:tooltip="#_Toc4" w:anchor="_Toc4" w:history="1">
            <w:r>
              <w:rPr>
                <w:rFonts w:ascii="Times New Roman" w:hAnsi="Times New Roman" w:eastAsia="Calibri" w:cs="Times New Roman"/>
              </w:rPr>
              <w:t xml:space="preserve">1.3.</w:t>
            </w:r>
            <w:r>
              <w:tab/>
            </w:r>
            <w:r>
              <w:rPr>
                <w:rStyle w:val="733"/>
              </w:rPr>
            </w:r>
            <w:r>
              <w:rPr>
                <w:rStyle w:val="733"/>
              </w:rPr>
              <w:t xml:space="preserve">Цель </w:t>
            </w:r>
            <w:r>
              <w:rPr>
                <w:rStyle w:val="733"/>
              </w:rPr>
              <w:t xml:space="preserve">использования закупаемой услуги</w:t>
            </w:r>
            <w:r>
              <w:rPr>
                <w:rStyle w:val="733"/>
              </w:rPr>
              <w:t xml:space="preserve"> </w:t>
            </w:r>
            <w:r>
              <w:rPr>
                <w:rStyle w:val="733"/>
              </w:rPr>
            </w:r>
            <w:r>
              <w:tab/>
            </w:r>
            <w:r>
              <w:fldChar w:fldCharType="begin"/>
              <w:instrText xml:space="preserve">PAGEREF _Toc4 \h</w:instrText>
              <w:fldChar w:fldCharType="separate"/>
              <w:t xml:space="preserve">3</w:t>
              <w:fldChar w:fldCharType="end"/>
            </w:r>
          </w:hyperlink>
          <w:r/>
        </w:p>
        <w:p>
          <w:pPr>
            <w:pStyle w:val="749"/>
            <w:pBdr/>
            <w:tabs>
              <w:tab w:val="left" w:leader="none" w:pos="567"/>
              <w:tab w:val="right" w:leader="dot" w:pos="10053"/>
            </w:tabs>
            <w:spacing/>
            <w:ind/>
            <w:rPr/>
          </w:pPr>
          <w:hyperlink w:tooltip="#_Toc5" w:anchor="_Toc5" w:history="1">
            <w:r>
              <w:rPr>
                <w:rFonts w:ascii="Times New Roman" w:hAnsi="Times New Roman" w:eastAsia="Calibri" w:cs="Times New Roman"/>
              </w:rPr>
              <w:t xml:space="preserve">2.</w:t>
            </w:r>
            <w:r>
              <w:tab/>
            </w:r>
            <w:r>
              <w:rPr>
                <w:rStyle w:val="733"/>
              </w:rPr>
            </w:r>
            <w:r>
              <w:rPr>
                <w:rStyle w:val="733"/>
              </w:rPr>
              <w:t xml:space="preserve">Требования </w:t>
            </w:r>
            <w:r>
              <w:rPr>
                <w:rStyle w:val="733"/>
              </w:rPr>
              <w:t xml:space="preserve">заказчика</w:t>
            </w:r>
            <w:r>
              <w:rPr>
                <w:rStyle w:val="733"/>
              </w:rPr>
            </w:r>
            <w:r>
              <w:tab/>
            </w:r>
            <w:r>
              <w:fldChar w:fldCharType="begin"/>
              <w:instrText xml:space="preserve">PAGEREF _Toc5 \h</w:instrText>
              <w:fldChar w:fldCharType="separate"/>
              <w:t xml:space="preserve">3</w:t>
              <w:fldChar w:fldCharType="end"/>
            </w:r>
          </w:hyperlink>
          <w:r/>
        </w:p>
        <w:p>
          <w:pPr>
            <w:pStyle w:val="751"/>
            <w:pBdr/>
            <w:tabs>
              <w:tab w:val="left" w:leader="none" w:pos="1417"/>
              <w:tab w:val="right" w:leader="dot" w:pos="10053"/>
            </w:tabs>
            <w:spacing/>
            <w:ind/>
            <w:rPr/>
          </w:pPr>
          <w:hyperlink w:tooltip="#_Toc6" w:anchor="_Toc6" w:history="1">
            <w:r>
              <w:rPr>
                <w:rFonts w:ascii="Times New Roman" w:hAnsi="Times New Roman" w:eastAsia="Calibri" w:cs="Times New Roman"/>
              </w:rPr>
              <w:t xml:space="preserve">2.1.</w:t>
            </w:r>
            <w:r>
              <w:tab/>
            </w:r>
            <w:r>
              <w:rPr>
                <w:rStyle w:val="733"/>
              </w:rPr>
            </w:r>
            <w:r>
              <w:rPr>
                <w:rStyle w:val="733"/>
              </w:rPr>
              <w:t xml:space="preserve">Требования к объемам и срокам </w:t>
            </w:r>
            <w:r>
              <w:rPr>
                <w:rStyle w:val="733"/>
                <w:lang w:val="ru-RU"/>
              </w:rPr>
              <w:t xml:space="preserve">выполнения работ</w:t>
            </w:r>
            <w:r>
              <w:rPr>
                <w:rStyle w:val="733"/>
                <w:lang w:val="ru-RU"/>
              </w:rPr>
            </w:r>
            <w:r>
              <w:tab/>
            </w:r>
            <w:r>
              <w:fldChar w:fldCharType="begin"/>
              <w:instrText xml:space="preserve">PAGEREF _Toc6 \h</w:instrText>
              <w:fldChar w:fldCharType="separate"/>
              <w:t xml:space="preserve">3</w:t>
              <w:fldChar w:fldCharType="end"/>
            </w:r>
          </w:hyperlink>
          <w:r>
            <w:rPr>
              <w:lang w:val="ru-RU"/>
            </w:rPr>
          </w:r>
        </w:p>
        <w:p>
          <w:pPr>
            <w:pStyle w:val="750"/>
            <w:pBdr/>
            <w:tabs>
              <w:tab w:val="clear" w:leader="none" w:pos="708"/>
              <w:tab w:val="left" w:leader="none" w:pos="850"/>
              <w:tab w:val="clear" w:leader="none" w:pos="1100"/>
              <w:tab w:val="clear" w:leader="none" w:pos="10053"/>
            </w:tabs>
            <w:spacing/>
            <w:ind/>
            <w:rPr/>
          </w:pPr>
          <w:hyperlink w:tooltip="#_Toc7" w:anchor="_Toc7" w:history="1">
            <w:r>
              <w:rPr>
                <w:rFonts w:ascii="Times New Roman" w:hAnsi="Times New Roman" w:eastAsia="Calibri" w:cs="Times New Roman"/>
              </w:rPr>
              <w:t xml:space="preserve">2.1.1.</w:t>
            </w:r>
            <w:r>
              <w:tab/>
            </w:r>
            <w:r>
              <w:rPr>
                <w:rStyle w:val="733"/>
              </w:rPr>
            </w:r>
            <w:r>
              <w:rPr>
                <w:rStyle w:val="733"/>
              </w:rPr>
              <w:t xml:space="preserve">Перечень и объем выполняемых работ</w:t>
            </w:r>
            <w:r>
              <w:rPr>
                <w:rStyle w:val="733"/>
                <w:lang w:val="ru-RU"/>
              </w:rPr>
            </w:r>
            <w:r>
              <w:tab/>
            </w:r>
            <w:r>
              <w:fldChar w:fldCharType="begin"/>
              <w:instrText xml:space="preserve">PAGEREF _Toc7 \h</w:instrText>
              <w:fldChar w:fldCharType="separate"/>
              <w:t xml:space="preserve">3</w:t>
              <w:fldChar w:fldCharType="end"/>
            </w:r>
          </w:hyperlink>
          <w:r>
            <w:rPr>
              <w:lang w:val="ru-RU"/>
            </w:rPr>
          </w:r>
        </w:p>
        <w:p>
          <w:pPr>
            <w:pStyle w:val="749"/>
            <w:pBdr/>
            <w:tabs>
              <w:tab w:val="right" w:leader="dot" w:pos="10053"/>
            </w:tabs>
            <w:spacing/>
            <w:ind/>
            <w:rPr/>
          </w:pPr>
          <w:hyperlink w:tooltip="#_Toc8" w:anchor="_Toc8" w:history="1">
            <w:r>
              <w:rPr>
                <w:rStyle w:val="733"/>
              </w:rPr>
            </w:r>
            <w:r>
              <w:rPr>
                <w:rStyle w:val="733"/>
              </w:rPr>
              <w:t xml:space="preserve">Таблица 1. Перечень </w:t>
            </w:r>
            <w:r>
              <w:rPr>
                <w:rStyle w:val="733"/>
              </w:rPr>
              <w:t xml:space="preserve">и объем выполняемых работ</w:t>
            </w:r>
            <w:r>
              <w:rPr>
                <w:rStyle w:val="733"/>
                <w:lang w:val="ru-RU"/>
              </w:rPr>
            </w:r>
            <w:r>
              <w:tab/>
            </w:r>
            <w:r>
              <w:fldChar w:fldCharType="begin"/>
              <w:instrText xml:space="preserve">PAGEREF _Toc8 \h</w:instrText>
              <w:fldChar w:fldCharType="separate"/>
              <w:t xml:space="preserve">3</w:t>
              <w:fldChar w:fldCharType="end"/>
            </w:r>
          </w:hyperlink>
          <w:r>
            <w:rPr>
              <w:lang w:val="ru-RU"/>
            </w:rPr>
          </w:r>
        </w:p>
        <w:p>
          <w:pPr>
            <w:pStyle w:val="750"/>
            <w:pBdr/>
            <w:tabs>
              <w:tab w:val="clear" w:leader="none" w:pos="708"/>
              <w:tab w:val="left" w:leader="none" w:pos="850"/>
              <w:tab w:val="clear" w:leader="none" w:pos="1100"/>
              <w:tab w:val="clear" w:leader="none" w:pos="10053"/>
            </w:tabs>
            <w:spacing/>
            <w:ind/>
            <w:rPr/>
          </w:pPr>
          <w:hyperlink w:tooltip="#_Toc9" w:anchor="_Toc9" w:history="1">
            <w:r>
              <w:rPr>
                <w:rFonts w:ascii="Times New Roman" w:hAnsi="Times New Roman" w:eastAsia="Calibri" w:cs="Times New Roman"/>
              </w:rPr>
              <w:t xml:space="preserve">2.1.2.</w:t>
            </w:r>
            <w:r>
              <w:tab/>
            </w:r>
            <w:r>
              <w:rPr>
                <w:rStyle w:val="733"/>
              </w:rPr>
            </w:r>
            <w:r>
              <w:rPr>
                <w:rStyle w:val="733"/>
                <w:lang w:val="ru-RU"/>
              </w:rPr>
              <w:t xml:space="preserve">Перечень необходимых запасных частей для выполнения ремонта</w:t>
            </w:r>
            <w:r>
              <w:rPr>
                <w:rStyle w:val="733"/>
                <w:lang w:val="ru-RU"/>
              </w:rPr>
            </w:r>
            <w:r>
              <w:tab/>
            </w:r>
            <w:r>
              <w:fldChar w:fldCharType="begin"/>
              <w:instrText xml:space="preserve">PAGEREF _Toc9 \h</w:instrText>
              <w:fldChar w:fldCharType="separate"/>
              <w:t xml:space="preserve">4</w:t>
              <w:fldChar w:fldCharType="end"/>
            </w:r>
          </w:hyperlink>
          <w:r>
            <w:rPr>
              <w:lang w:val="ru-RU"/>
            </w:rPr>
          </w:r>
        </w:p>
        <w:p>
          <w:pPr>
            <w:pStyle w:val="750"/>
            <w:pBdr/>
            <w:tabs>
              <w:tab w:val="right" w:leader="dot" w:pos="10053"/>
            </w:tabs>
            <w:spacing/>
            <w:ind/>
            <w:rPr/>
          </w:pPr>
          <w:hyperlink w:tooltip="#_Toc10" w:anchor="_Toc10" w:history="1">
            <w:r>
              <w:rPr>
                <w:rStyle w:val="733"/>
              </w:rPr>
            </w:r>
            <w:r>
              <w:rPr>
                <w:rStyle w:val="733"/>
              </w:rPr>
              <w:t xml:space="preserve">Таблица 2. </w:t>
            </w:r>
            <w:r>
              <w:rPr>
                <w:rStyle w:val="733"/>
                <w:lang w:val="ru-RU"/>
              </w:rPr>
              <w:t xml:space="preserve">Перечень необходимых запасных частей для выполнения ремонта</w:t>
            </w:r>
            <w:r>
              <w:rPr>
                <w:rStyle w:val="733"/>
                <w:lang w:val="ru-RU"/>
              </w:rPr>
            </w:r>
            <w:r>
              <w:tab/>
            </w:r>
            <w:r>
              <w:fldChar w:fldCharType="begin"/>
              <w:instrText xml:space="preserve">PAGEREF _Toc10 \h</w:instrText>
              <w:fldChar w:fldCharType="separate"/>
              <w:t xml:space="preserve">4</w:t>
              <w:fldChar w:fldCharType="end"/>
            </w:r>
          </w:hyperlink>
          <w:r>
            <w:rPr>
              <w:lang w:val="ru-RU"/>
            </w:rPr>
          </w:r>
        </w:p>
        <w:p>
          <w:pPr>
            <w:pStyle w:val="750"/>
            <w:pBdr/>
            <w:tabs>
              <w:tab w:val="clear" w:leader="none" w:pos="708"/>
              <w:tab w:val="left" w:leader="none" w:pos="850"/>
              <w:tab w:val="clear" w:leader="none" w:pos="1100"/>
              <w:tab w:val="clear" w:leader="none" w:pos="10053"/>
            </w:tabs>
            <w:spacing/>
            <w:ind/>
            <w:rPr/>
          </w:pPr>
          <w:hyperlink w:tooltip="#_Toc11" w:anchor="_Toc11" w:history="1">
            <w:r>
              <w:rPr>
                <w:rFonts w:ascii="Times New Roman" w:hAnsi="Times New Roman" w:eastAsia="Calibri" w:cs="Times New Roman"/>
              </w:rPr>
              <w:t xml:space="preserve">2.1.3.</w:t>
            </w:r>
            <w:r>
              <w:tab/>
            </w:r>
            <w:r>
              <w:rPr>
                <w:rStyle w:val="733"/>
              </w:rPr>
            </w:r>
            <w:r>
              <w:rPr>
                <w:rStyle w:val="733"/>
              </w:rPr>
              <w:t xml:space="preserve">Требования к срокам выполнения работ и оказания сопутствующих услуг</w:t>
            </w:r>
            <w:r>
              <w:rPr>
                <w:rStyle w:val="733"/>
              </w:rPr>
            </w:r>
            <w:r>
              <w:tab/>
            </w:r>
            <w:r>
              <w:fldChar w:fldCharType="begin"/>
              <w:instrText xml:space="preserve">PAGEREF _Toc11 \h</w:instrText>
              <w:fldChar w:fldCharType="separate"/>
              <w:t xml:space="preserve">5</w:t>
              <w:fldChar w:fldCharType="end"/>
            </w:r>
          </w:hyperlink>
          <w:r/>
        </w:p>
        <w:p>
          <w:pPr>
            <w:pStyle w:val="749"/>
            <w:pBdr/>
            <w:tabs>
              <w:tab w:val="right" w:leader="dot" w:pos="10053"/>
            </w:tabs>
            <w:spacing/>
            <w:ind/>
            <w:rPr/>
          </w:pPr>
          <w:hyperlink w:tooltip="#_Toc12" w:anchor="_Toc12" w:history="1">
            <w:r>
              <w:rPr>
                <w:rStyle w:val="733"/>
              </w:rPr>
            </w:r>
            <w:r>
              <w:rPr>
                <w:rStyle w:val="733"/>
              </w:rPr>
              <w:t xml:space="preserve">Таблица </w:t>
            </w:r>
            <w:r>
              <w:rPr>
                <w:rStyle w:val="733"/>
                <w:lang w:val="ru-RU"/>
              </w:rPr>
              <w:t xml:space="preserve">3.</w:t>
            </w:r>
            <w:r>
              <w:rPr>
                <w:rStyle w:val="733"/>
              </w:rPr>
              <w:t xml:space="preserve"> </w:t>
            </w:r>
            <w:r>
              <w:rPr>
                <w:rStyle w:val="733"/>
              </w:rPr>
              <w:t xml:space="preserve">Требования по срокам </w:t>
            </w:r>
            <w:r>
              <w:rPr>
                <w:rStyle w:val="733"/>
                <w:lang w:val="ru-RU"/>
              </w:rPr>
              <w:t xml:space="preserve">выполнения работ</w:t>
            </w:r>
            <w:r>
              <w:rPr>
                <w:rStyle w:val="733"/>
                <w:lang w:val="ru-RU"/>
              </w:rPr>
              <w:t xml:space="preserve"> </w:t>
            </w:r>
            <w:r>
              <w:rPr>
                <w:rStyle w:val="733"/>
                <w:lang w:val="ru-RU"/>
              </w:rPr>
            </w:r>
            <w:r>
              <w:tab/>
            </w:r>
            <w:r>
              <w:fldChar w:fldCharType="begin"/>
              <w:instrText xml:space="preserve">PAGEREF _Toc12 \h</w:instrText>
              <w:fldChar w:fldCharType="separate"/>
              <w:t xml:space="preserve">5</w:t>
              <w:fldChar w:fldCharType="end"/>
            </w:r>
          </w:hyperlink>
          <w:r>
            <w:rPr>
              <w:lang w:val="ru-RU"/>
            </w:rPr>
          </w:r>
        </w:p>
        <w:p>
          <w:pPr>
            <w:pStyle w:val="751"/>
            <w:pBdr/>
            <w:tabs>
              <w:tab w:val="left" w:leader="none" w:pos="1417"/>
              <w:tab w:val="right" w:leader="dot" w:pos="10053"/>
            </w:tabs>
            <w:spacing/>
            <w:ind/>
            <w:rPr/>
          </w:pPr>
          <w:hyperlink w:tooltip="#_Toc13" w:anchor="_Toc13" w:history="1">
            <w:r>
              <w:rPr>
                <w:rFonts w:ascii="Times New Roman" w:hAnsi="Times New Roman" w:eastAsia="Calibri" w:cs="Times New Roman"/>
              </w:rPr>
              <w:t xml:space="preserve">2.2.</w:t>
            </w:r>
            <w:r>
              <w:tab/>
            </w:r>
            <w:r>
              <w:rPr>
                <w:rStyle w:val="733"/>
              </w:rPr>
            </w:r>
            <w:r>
              <w:rPr>
                <w:rStyle w:val="733"/>
              </w:rPr>
              <w:t xml:space="preserve">Таблица </w:t>
            </w:r>
            <w:r>
              <w:rPr>
                <w:rStyle w:val="733"/>
                <w:lang w:val="ru-RU"/>
              </w:rPr>
              <w:t xml:space="preserve">4</w:t>
            </w:r>
            <w:r>
              <w:rPr>
                <w:rStyle w:val="733"/>
              </w:rPr>
              <w:t xml:space="preserve">. Требования к </w:t>
            </w:r>
            <w:r>
              <w:rPr>
                <w:rStyle w:val="733"/>
                <w:lang w:val="ru-RU"/>
              </w:rPr>
              <w:t xml:space="preserve">качеству услуг</w:t>
            </w:r>
            <w:r>
              <w:rPr>
                <w:rStyle w:val="733"/>
              </w:rPr>
              <w:t xml:space="preserve"> </w:t>
            </w:r>
            <w:r>
              <w:rPr>
                <w:rStyle w:val="733"/>
              </w:rPr>
            </w:r>
            <w:r>
              <w:tab/>
            </w:r>
            <w:r>
              <w:fldChar w:fldCharType="begin"/>
              <w:instrText xml:space="preserve">PAGEREF _Toc13 \h</w:instrText>
              <w:fldChar w:fldCharType="separate"/>
              <w:t xml:space="preserve">6</w:t>
              <w:fldChar w:fldCharType="end"/>
            </w:r>
          </w:hyperlink>
          <w:r/>
        </w:p>
        <w:p>
          <w:pPr>
            <w:pStyle w:val="749"/>
            <w:pBdr/>
            <w:tabs>
              <w:tab w:val="clear" w:leader="none" w:pos="708"/>
              <w:tab w:val="right" w:leader="dot" w:pos="10053"/>
            </w:tabs>
            <w:spacing/>
            <w:ind/>
            <w:rPr>
              <w:rFonts w:asciiTheme="minorHAnsi" w:hAnsiTheme="minorHAnsi" w:eastAsiaTheme="minorEastAsia" w:cstheme="minorBidi"/>
              <w:b w:val="0"/>
              <w:bCs w:val="0"/>
              <w:sz w:val="22"/>
              <w:szCs w:val="22"/>
            </w:rPr>
          </w:pPr>
          <w:r>
            <w:rPr>
              <w:rStyle w:val="739"/>
              <w:vanish w:val="0"/>
            </w:rPr>
          </w:r>
          <w:r>
            <w:rPr>
              <w:caps/>
            </w:rPr>
          </w:r>
          <w:r>
            <w:rPr>
              <w:rStyle w:val="739"/>
              <w:vanish w:val="0"/>
            </w:rPr>
            <w:fldChar w:fldCharType="end"/>
          </w:r>
          <w:r/>
          <w:r/>
        </w:p>
      </w:sdtContent>
    </w:sdt>
    <w:p>
      <w:pPr>
        <w:pStyle w:val="720"/>
        <w:numPr>
          <w:ilvl w:val="0"/>
          <w:numId w:val="0"/>
        </w:numPr>
        <w:pBdr/>
        <w:spacing/>
        <w:ind w:firstLine="0" w:left="0"/>
        <w:rPr/>
      </w:pPr>
      <w:r/>
      <w:r/>
    </w:p>
    <w:p>
      <w:pPr>
        <w:pStyle w:val="718"/>
        <w:keepNext w:val="true"/>
        <w:keepLines w:val="true"/>
        <w:pBdr/>
        <w:spacing/>
        <w:ind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 w:clear="all"/>
      </w:r>
      <w:r>
        <w:rPr>
          <w:rFonts w:eastAsia="Calibri"/>
          <w:b/>
          <w:i/>
          <w:sz w:val="24"/>
          <w:szCs w:val="24"/>
        </w:rPr>
      </w:r>
    </w:p>
    <w:p>
      <w:pPr>
        <w:pStyle w:val="719"/>
        <w:numPr>
          <w:ilvl w:val="0"/>
          <w:numId w:val="1"/>
        </w:numPr>
        <w:pBdr/>
        <w:spacing/>
        <w:ind w:hanging="505" w:left="3969"/>
        <w:rPr>
          <w:caps/>
        </w:rPr>
      </w:pPr>
      <w:r/>
      <w:bookmarkStart w:id="20" w:name="_Toc1"/>
      <w:r>
        <w:t xml:space="preserve">Общие сведения</w:t>
      </w:r>
      <w:r/>
      <w:bookmarkEnd w:id="20"/>
      <w:r/>
      <w:r>
        <w:rPr>
          <w:caps/>
        </w:rPr>
      </w:r>
    </w:p>
    <w:p>
      <w:pPr>
        <w:pStyle w:val="722"/>
        <w:numPr>
          <w:ilvl w:val="1"/>
          <w:numId w:val="1"/>
        </w:numPr>
        <w:pBdr/>
        <w:spacing/>
        <w:ind w:hanging="505" w:left="1225"/>
        <w:rPr/>
      </w:pPr>
      <w:r/>
      <w:bookmarkStart w:id="21" w:name="_Toc2"/>
      <w:r>
        <w:t xml:space="preserve">Обозначения и сокращения</w:t>
      </w:r>
      <w:r/>
      <w:bookmarkEnd w:id="21"/>
      <w:r/>
      <w:r/>
    </w:p>
    <w:p>
      <w:pPr>
        <w:pStyle w:val="718"/>
        <w:pBdr/>
        <w:spacing/>
        <w:ind/>
        <w:rPr>
          <w:rStyle w:val="735"/>
          <w:b w:val="0"/>
          <w:bCs/>
          <w:iCs/>
          <w:sz w:val="26"/>
          <w:szCs w:val="26"/>
        </w:rPr>
      </w:pPr>
      <w:r>
        <w:rPr>
          <w:b w:val="0"/>
          <w:bCs/>
          <w:iCs/>
          <w:sz w:val="26"/>
          <w:szCs w:val="26"/>
        </w:rPr>
      </w:r>
      <w:r>
        <w:rPr>
          <w:rStyle w:val="735"/>
          <w:b w:val="0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785"/>
        <w:gridCol w:w="7997"/>
      </w:tblGrid>
      <w:tr>
        <w:trPr>
          <w:cantSplit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ТТ</w:t>
            </w:r>
            <w:r>
              <w:rPr>
                <w:i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7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Технические требования</w:t>
            </w:r>
            <w:r>
              <w:rPr>
                <w:i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ДЭС</w:t>
            </w:r>
            <w:r>
              <w:rPr>
                <w:i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7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Дизельная электростанция</w:t>
            </w:r>
            <w:r>
              <w:rPr>
                <w:i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ДГ</w:t>
            </w:r>
            <w:r>
              <w:rPr>
                <w:i/>
                <w:sz w:val="24"/>
                <w:szCs w:val="24"/>
              </w:rPr>
              <w:t xml:space="preserve">У</w:t>
            </w:r>
            <w:r>
              <w:rPr>
                <w:i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7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Дизель-генераторный агрегат</w:t>
            </w:r>
            <w:r>
              <w:rPr>
                <w:i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ОТ</w:t>
            </w:r>
            <w:r>
              <w:rPr>
                <w:i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7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Охрана труда</w:t>
            </w:r>
            <w:r>
              <w:rPr>
                <w:i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ТБ</w:t>
            </w:r>
            <w:r>
              <w:rPr>
                <w:i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7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Техника безопасности</w:t>
            </w:r>
            <w:r>
              <w:rPr>
                <w:i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ППБ</w:t>
            </w:r>
            <w:r>
              <w:rPr>
                <w:i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7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Правила пожарной безопасности</w:t>
            </w:r>
            <w:r>
              <w:rPr>
                <w:i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ППР</w:t>
            </w:r>
            <w:r>
              <w:rPr>
                <w:i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7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Проект производства работ</w:t>
            </w:r>
            <w:r>
              <w:rPr>
                <w:i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НТД</w:t>
            </w:r>
            <w:r>
              <w:rPr>
                <w:i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7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Нормативно-техническая документация</w:t>
            </w:r>
            <w:r>
              <w:rPr>
                <w:i/>
                <w:sz w:val="24"/>
                <w:szCs w:val="24"/>
              </w:rPr>
            </w:r>
          </w:p>
        </w:tc>
      </w:tr>
    </w:tbl>
    <w:p>
      <w:pPr>
        <w:pStyle w:val="718"/>
        <w:keepNext w:val="true"/>
        <w:keepLines w:val="true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22"/>
        <w:numPr>
          <w:ilvl w:val="1"/>
          <w:numId w:val="1"/>
        </w:numPr>
        <w:pBdr/>
        <w:spacing/>
        <w:ind w:hanging="505" w:left="1225"/>
        <w:rPr>
          <w:i/>
          <w:shd w:val="clear" w:color="auto" w:fill="ffff99"/>
        </w:rPr>
      </w:pPr>
      <w:r/>
      <w:bookmarkStart w:id="22" w:name="_Toc3"/>
      <w:r>
        <w:t xml:space="preserve">Наименование объекта, место выполнения работ</w:t>
      </w:r>
      <w:r/>
      <w:bookmarkEnd w:id="22"/>
      <w:r/>
      <w:r>
        <w:rPr>
          <w:i/>
          <w:shd w:val="clear" w:color="auto" w:fill="ffff99"/>
        </w:rPr>
      </w:r>
    </w:p>
    <w:p>
      <w:pPr>
        <w:pStyle w:val="718"/>
        <w:pBdr/>
        <w:spacing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Двигатель дизель - генератора </w:t>
      </w:r>
      <w:r>
        <w:rPr>
          <w:sz w:val="24"/>
          <w:szCs w:val="24"/>
        </w:rPr>
        <w:t xml:space="preserve">ДГ-315 ( 6ЧН 25/34) ст. №</w:t>
      </w:r>
      <w:r>
        <w:rPr>
          <w:sz w:val="24"/>
          <w:szCs w:val="24"/>
        </w:rPr>
        <w:t xml:space="preserve">1, 1988</w:t>
      </w:r>
      <w:r>
        <w:rPr>
          <w:sz w:val="24"/>
          <w:szCs w:val="24"/>
        </w:rPr>
        <w:t xml:space="preserve"> года выпуска, эксплуатируется на дизельном топливе</w:t>
      </w:r>
      <w:r>
        <w:rPr>
          <w:sz w:val="24"/>
          <w:szCs w:val="24"/>
        </w:rPr>
        <w:t xml:space="preserve">, эксплуатируется на дизельном топливе.</w:t>
      </w:r>
      <w:r>
        <w:rPr>
          <w:sz w:val="24"/>
          <w:szCs w:val="24"/>
        </w:rPr>
      </w:r>
    </w:p>
    <w:p>
      <w:pPr>
        <w:pStyle w:val="718"/>
        <w:pBdr/>
        <w:spacing/>
        <w:ind w:firstLine="709"/>
        <w:rPr>
          <w:i/>
        </w:rPr>
      </w:pPr>
      <w:r>
        <w:rPr>
          <w:sz w:val="24"/>
          <w:szCs w:val="24"/>
        </w:rPr>
        <w:t xml:space="preserve">Выполнение комплекса работ по </w:t>
      </w:r>
      <w:r>
        <w:rPr>
          <w:sz w:val="24"/>
          <w:szCs w:val="24"/>
        </w:rPr>
        <w:t xml:space="preserve">капитальному ремонту будет выполняться на действующей дизельной электростанции в п.Белая гора Белогорского  РЭС.</w:t>
        <w:br/>
      </w:r>
      <w:r>
        <w:rPr>
          <w:i/>
        </w:rPr>
      </w:r>
    </w:p>
    <w:p>
      <w:pPr>
        <w:pStyle w:val="722"/>
        <w:numPr>
          <w:ilvl w:val="1"/>
          <w:numId w:val="1"/>
        </w:numPr>
        <w:pBdr/>
        <w:spacing/>
        <w:ind w:hanging="505" w:left="1225"/>
        <w:rPr/>
      </w:pPr>
      <w:r/>
      <w:bookmarkStart w:id="23" w:name="_Toc4"/>
      <w:r>
        <w:t xml:space="preserve">Цель </w:t>
      </w:r>
      <w:r>
        <w:t xml:space="preserve">использования закупаемой услуги</w:t>
      </w:r>
      <w:r>
        <w:t xml:space="preserve"> </w:t>
      </w:r>
      <w:r/>
      <w:bookmarkEnd w:id="23"/>
      <w:r/>
      <w:r/>
    </w:p>
    <w:p>
      <w:pPr>
        <w:pStyle w:val="718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Восстановление рабочих параметров дизельного двигателя в составе дизель-генераторной установки </w:t>
      </w:r>
      <w:r>
        <w:rPr>
          <w:sz w:val="24"/>
          <w:szCs w:val="24"/>
        </w:rPr>
        <w:t xml:space="preserve">ДГ-315 (6ЧН 25/34).</w:t>
      </w:r>
      <w:r>
        <w:rPr>
          <w:sz w:val="24"/>
          <w:szCs w:val="24"/>
        </w:rPr>
      </w:r>
    </w:p>
    <w:p>
      <w:pPr>
        <w:pStyle w:val="719"/>
        <w:numPr>
          <w:ilvl w:val="0"/>
          <w:numId w:val="1"/>
        </w:numPr>
        <w:pBdr/>
        <w:spacing/>
        <w:ind w:hanging="505" w:left="3261"/>
        <w:jc w:val="both"/>
        <w:rPr/>
      </w:pPr>
      <w:r/>
      <w:bookmarkStart w:id="24" w:name="_Toc5"/>
      <w:r>
        <w:t xml:space="preserve">Требования </w:t>
      </w:r>
      <w:r>
        <w:t xml:space="preserve">заказчика</w:t>
      </w:r>
      <w:r/>
      <w:bookmarkEnd w:id="24"/>
      <w:r/>
      <w:r/>
    </w:p>
    <w:p>
      <w:pPr>
        <w:pStyle w:val="722"/>
        <w:numPr>
          <w:ilvl w:val="1"/>
          <w:numId w:val="1"/>
        </w:numPr>
        <w:pBdr/>
        <w:spacing/>
        <w:ind w:hanging="505" w:left="1225"/>
        <w:rPr>
          <w:lang w:val="ru-RU"/>
        </w:rPr>
      </w:pPr>
      <w:r/>
      <w:bookmarkStart w:id="25" w:name="_Toc6"/>
      <w:r>
        <w:t xml:space="preserve">Требования к объемам и срокам </w:t>
      </w:r>
      <w:r>
        <w:rPr>
          <w:lang w:val="ru-RU"/>
        </w:rPr>
        <w:t xml:space="preserve">выполнения работ</w:t>
      </w:r>
      <w:r/>
      <w:bookmarkEnd w:id="25"/>
      <w:r/>
      <w:r>
        <w:rPr>
          <w:lang w:val="ru-RU"/>
        </w:rPr>
      </w:r>
    </w:p>
    <w:p>
      <w:pPr>
        <w:pStyle w:val="721"/>
        <w:numPr>
          <w:ilvl w:val="2"/>
          <w:numId w:val="1"/>
        </w:numPr>
        <w:pBdr/>
        <w:spacing/>
        <w:ind w:hanging="505" w:left="1225"/>
        <w:rPr>
          <w:lang w:val="ru-RU"/>
        </w:rPr>
      </w:pPr>
      <w:r/>
      <w:bookmarkStart w:id="26" w:name="_Toc7"/>
      <w:r>
        <w:t xml:space="preserve">Перечень и объем выполняемых работ</w:t>
      </w:r>
      <w:r/>
      <w:bookmarkEnd w:id="26"/>
      <w:r/>
      <w:r>
        <w:rPr>
          <w:lang w:val="ru-RU"/>
        </w:rPr>
      </w:r>
    </w:p>
    <w:p>
      <w:pPr>
        <w:pStyle w:val="718"/>
        <w:pBdr/>
        <w:spacing/>
        <w:ind/>
        <w:rPr/>
      </w:pPr>
      <w:r/>
      <w:r/>
    </w:p>
    <w:p>
      <w:pPr>
        <w:pStyle w:val="719"/>
        <w:numPr>
          <w:ilvl w:val="0"/>
          <w:numId w:val="0"/>
        </w:numPr>
        <w:pBdr/>
        <w:spacing/>
        <w:ind w:firstLine="0" w:left="0"/>
        <w:rPr>
          <w:sz w:val="24"/>
          <w:lang w:val="ru-RU"/>
        </w:rPr>
      </w:pPr>
      <w:r/>
      <w:bookmarkStart w:id="27" w:name="_Toc8"/>
      <w:r>
        <w:rPr>
          <w:sz w:val="24"/>
        </w:rPr>
        <w:t xml:space="preserve">Таблица 1. Перечень </w:t>
      </w:r>
      <w:r>
        <w:rPr>
          <w:sz w:val="24"/>
        </w:rPr>
        <w:t xml:space="preserve">и объем выполняемых работ</w:t>
      </w:r>
      <w:r/>
      <w:bookmarkEnd w:id="27"/>
      <w:r/>
      <w:r>
        <w:rPr>
          <w:sz w:val="24"/>
          <w:lang w:val="ru-RU"/>
        </w:rPr>
      </w:r>
    </w:p>
    <w:p>
      <w:pPr>
        <w:pStyle w:val="718"/>
        <w:numPr>
          <w:ilvl w:val="0"/>
          <w:numId w:val="0"/>
        </w:numPr>
        <w:pBdr/>
        <w:spacing/>
        <w:ind w:firstLine="0" w:left="0"/>
        <w:rPr>
          <w:sz w:val="24"/>
          <w:lang w:val="ru-RU"/>
        </w:rPr>
      </w:pPr>
      <w:r>
        <w:rPr>
          <w:sz w:val="24"/>
          <w:lang w:val="ru-RU"/>
        </w:rPr>
      </w:r>
      <w:r>
        <w:rPr>
          <w:sz w:val="24"/>
          <w:lang w:val="ru-RU"/>
        </w:rPr>
      </w:r>
    </w:p>
    <w:tbl>
      <w:tblPr>
        <w:tblW w:w="10290" w:type="dxa"/>
        <w:tblInd w:w="-231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1088"/>
        <w:gridCol w:w="6291"/>
        <w:gridCol w:w="1455"/>
        <w:gridCol w:w="1455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8" w:type="dxa"/>
            <w:vAlign w:val="center"/>
            <w:textDirection w:val="lrTb"/>
            <w:noWrap w:val="false"/>
          </w:tcPr>
          <w:p>
            <w:pPr>
              <w:pStyle w:val="718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</w:p>
          <w:p>
            <w:pPr>
              <w:pStyle w:val="718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п/п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1" w:type="dxa"/>
            <w:vAlign w:val="center"/>
            <w:textDirection w:val="lrTb"/>
            <w:noWrap w:val="false"/>
          </w:tcPr>
          <w:p>
            <w:pPr>
              <w:pStyle w:val="718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продукции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vAlign w:val="center"/>
            <w:textDirection w:val="lrTb"/>
            <w:noWrap w:val="false"/>
          </w:tcPr>
          <w:p>
            <w:pPr>
              <w:pStyle w:val="718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Единица измерения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vAlign w:val="center"/>
            <w:textDirection w:val="lrTb"/>
            <w:noWrap w:val="false"/>
          </w:tcPr>
          <w:p>
            <w:pPr>
              <w:pStyle w:val="718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8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1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spacing/>
              <w: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spacing/>
              <w: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spacing/>
              <w: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4</w:t>
            </w: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8" w:type="dxa"/>
            <w:textDirection w:val="lrTb"/>
            <w:noWrap w:val="false"/>
          </w:tcPr>
          <w:p>
            <w:pPr>
              <w:pStyle w:val="752"/>
              <w:widowControl w:val="false"/>
              <w:numPr>
                <w:ilvl w:val="0"/>
                <w:numId w:val="3"/>
              </w:num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1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left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Разборочно-сборочные работы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(Разборка дизеля в сборе со съемкой блока цилиндров)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1 дизель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8" w:type="dxa"/>
            <w:textDirection w:val="lrTb"/>
            <w:noWrap w:val="false"/>
          </w:tcPr>
          <w:p>
            <w:pPr>
              <w:pStyle w:val="752"/>
              <w:widowControl w:val="false"/>
              <w:numPr>
                <w:ilvl w:val="0"/>
                <w:numId w:val="3"/>
              </w:num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1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left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Демонтаж и монтаж ГБЦ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шт.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6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8" w:type="dxa"/>
            <w:textDirection w:val="lrTb"/>
            <w:noWrap w:val="false"/>
          </w:tcPr>
          <w:p>
            <w:pPr>
              <w:pStyle w:val="752"/>
              <w:widowControl w:val="false"/>
              <w:numPr>
                <w:ilvl w:val="0"/>
                <w:numId w:val="3"/>
              </w:num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1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left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Отсоединение трубопроводов от дизеля, дизеля от приводного механизма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1 дизель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8" w:type="dxa"/>
            <w:textDirection w:val="lrTb"/>
            <w:noWrap w:val="false"/>
          </w:tcPr>
          <w:p>
            <w:pPr>
              <w:pStyle w:val="752"/>
              <w:widowControl w:val="false"/>
              <w:numPr>
                <w:ilvl w:val="0"/>
                <w:numId w:val="3"/>
              </w:num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1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left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Разборка на узлы и детали (чистка , сборка )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1 дизель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8" w:type="dxa"/>
            <w:textDirection w:val="lrTb"/>
            <w:noWrap w:val="false"/>
          </w:tcPr>
          <w:p>
            <w:pPr>
              <w:pStyle w:val="752"/>
              <w:widowControl w:val="false"/>
              <w:numPr>
                <w:ilvl w:val="0"/>
                <w:numId w:val="3"/>
              </w:num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1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left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Проверка центровки и крепления дизеля к фундаменту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1 дизель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8" w:type="dxa"/>
            <w:textDirection w:val="lrTb"/>
            <w:noWrap w:val="false"/>
          </w:tcPr>
          <w:p>
            <w:pPr>
              <w:pStyle w:val="752"/>
              <w:widowControl w:val="false"/>
              <w:numPr>
                <w:ilvl w:val="0"/>
                <w:numId w:val="3"/>
              </w:num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1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left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Регулировка клапанов ГРМ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шт.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12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8" w:type="dxa"/>
            <w:textDirection w:val="lrTb"/>
            <w:noWrap w:val="false"/>
          </w:tcPr>
          <w:p>
            <w:pPr>
              <w:pStyle w:val="752"/>
              <w:widowControl w:val="false"/>
              <w:numPr>
                <w:ilvl w:val="0"/>
                <w:numId w:val="3"/>
              </w:num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1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left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ПНР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1 дизель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8" w:type="dxa"/>
            <w:textDirection w:val="lrTb"/>
            <w:noWrap w:val="false"/>
          </w:tcPr>
          <w:p>
            <w:pPr>
              <w:pStyle w:val="752"/>
              <w:widowControl w:val="false"/>
              <w:numPr>
                <w:ilvl w:val="0"/>
                <w:numId w:val="0"/>
              </w:numPr>
              <w:pBdr/>
              <w:spacing/>
              <w:ind w:firstLine="0" w:left="0"/>
              <w:jc w:val="left"/>
              <w:rPr/>
            </w:pPr>
            <w:r>
              <w:t xml:space="preserve">     8.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1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left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Ремонт коленчатого вала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   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1 шт.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8" w:type="dxa"/>
            <w:textDirection w:val="lrTb"/>
            <w:noWrap w:val="false"/>
          </w:tcPr>
          <w:p>
            <w:pPr>
              <w:pStyle w:val="752"/>
              <w:widowControl w:val="false"/>
              <w:pBdr/>
              <w:bidi w:val="false"/>
              <w:spacing w:after="0" w:before="0" w:line="240" w:lineRule="auto"/>
              <w:ind w:right="0" w:firstLine="0" w:left="-113"/>
              <w:contextualSpacing w:val="true"/>
              <w:jc w:val="center"/>
              <w:rPr/>
            </w:pPr>
            <w:r>
              <w:t xml:space="preserve">9.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1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left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Разборка, промывка, дефектация поршня с шатуном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1 комплект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6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8" w:type="dxa"/>
            <w:textDirection w:val="lrTb"/>
            <w:noWrap w:val="false"/>
          </w:tcPr>
          <w:p>
            <w:pPr>
              <w:pStyle w:val="752"/>
              <w:widowControl w:val="false"/>
              <w:numPr>
                <w:ilvl w:val="0"/>
                <w:numId w:val="0"/>
              </w:numPr>
              <w:pBdr/>
              <w:bidi w:val="false"/>
              <w:spacing w:after="0" w:before="0" w:line="240" w:lineRule="auto"/>
              <w:ind w:right="0" w:firstLine="0" w:left="-113"/>
              <w:contextualSpacing w:val="true"/>
              <w:jc w:val="center"/>
              <w:rPr/>
            </w:pPr>
            <w:r>
              <w:t xml:space="preserve">10.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1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left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Расконсервация поршня, подбор по весу, обмер, проверка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1 комплект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6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8" w:type="dxa"/>
            <w:textDirection w:val="lrTb"/>
            <w:noWrap w:val="false"/>
          </w:tcPr>
          <w:p>
            <w:pPr>
              <w:pStyle w:val="752"/>
              <w:widowControl w:val="false"/>
              <w:numPr>
                <w:ilvl w:val="0"/>
                <w:numId w:val="0"/>
              </w:numPr>
              <w:pBdr/>
              <w:bidi w:val="false"/>
              <w:spacing w:after="0" w:before="0" w:line="240" w:lineRule="auto"/>
              <w:ind w:right="0" w:firstLine="0" w:left="-113"/>
              <w:contextualSpacing w:val="true"/>
              <w:jc w:val="center"/>
              <w:rPr/>
            </w:pPr>
            <w:r>
              <w:t xml:space="preserve">11.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1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left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Ремонт втулки верхней головки шатуна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1 комплект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6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8" w:type="dxa"/>
            <w:textDirection w:val="lrTb"/>
            <w:noWrap w:val="false"/>
          </w:tcPr>
          <w:p>
            <w:pPr>
              <w:pStyle w:val="752"/>
              <w:widowControl w:val="false"/>
              <w:numPr>
                <w:ilvl w:val="0"/>
                <w:numId w:val="0"/>
              </w:numPr>
              <w:pBdr/>
              <w:bidi w:val="false"/>
              <w:spacing w:after="0" w:before="0" w:line="240" w:lineRule="auto"/>
              <w:ind w:right="0" w:firstLine="0" w:left="-113"/>
              <w:contextualSpacing w:val="true"/>
              <w:jc w:val="center"/>
              <w:rPr/>
            </w:pPr>
            <w:r>
              <w:t xml:space="preserve">12.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1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left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Сборка поршня с шатуном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1 комплект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6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8" w:type="dxa"/>
            <w:textDirection w:val="lrTb"/>
            <w:noWrap w:val="false"/>
          </w:tcPr>
          <w:p>
            <w:pPr>
              <w:pStyle w:val="752"/>
              <w:widowControl w:val="false"/>
              <w:numPr>
                <w:ilvl w:val="0"/>
                <w:numId w:val="0"/>
              </w:numPr>
              <w:pBdr/>
              <w:bidi w:val="false"/>
              <w:spacing w:after="0" w:before="0" w:line="240" w:lineRule="auto"/>
              <w:ind w:right="0" w:firstLine="0" w:left="-113"/>
              <w:contextualSpacing w:val="true"/>
              <w:jc w:val="center"/>
              <w:rPr/>
            </w:pPr>
            <w:r>
              <w:t xml:space="preserve">13.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1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left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Ремонт топливоподкачивающего насоса с приводом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1 комплект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8" w:type="dxa"/>
            <w:textDirection w:val="lrTb"/>
            <w:noWrap w:val="false"/>
          </w:tcPr>
          <w:p>
            <w:pPr>
              <w:pStyle w:val="752"/>
              <w:widowControl w:val="false"/>
              <w:numPr>
                <w:ilvl w:val="0"/>
                <w:numId w:val="0"/>
              </w:numPr>
              <w:pBdr/>
              <w:bidi w:val="false"/>
              <w:spacing w:after="0" w:before="0" w:line="240" w:lineRule="auto"/>
              <w:ind w:right="0" w:firstLine="0" w:left="-113"/>
              <w:contextualSpacing w:val="true"/>
              <w:jc w:val="center"/>
              <w:rPr/>
            </w:pPr>
            <w:r>
              <w:t xml:space="preserve">14.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1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left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Ремонт топливного насоса с приводом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1 комплект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8" w:type="dxa"/>
            <w:textDirection w:val="lrTb"/>
            <w:noWrap w:val="false"/>
          </w:tcPr>
          <w:p>
            <w:pPr>
              <w:pStyle w:val="752"/>
              <w:widowControl w:val="false"/>
              <w:numPr>
                <w:ilvl w:val="0"/>
                <w:numId w:val="0"/>
              </w:numPr>
              <w:pBdr/>
              <w:bidi w:val="false"/>
              <w:spacing w:after="0" w:before="0" w:line="240" w:lineRule="auto"/>
              <w:ind w:right="0" w:firstLine="0" w:left="-113"/>
              <w:contextualSpacing w:val="true"/>
              <w:jc w:val="center"/>
              <w:rPr/>
            </w:pPr>
            <w:r>
              <w:t xml:space="preserve">15.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1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left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Ремонт форсунки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шт.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6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8" w:type="dxa"/>
            <w:textDirection w:val="lrTb"/>
            <w:noWrap w:val="false"/>
          </w:tcPr>
          <w:p>
            <w:pPr>
              <w:pStyle w:val="752"/>
              <w:widowControl w:val="false"/>
              <w:numPr>
                <w:ilvl w:val="0"/>
                <w:numId w:val="0"/>
              </w:numPr>
              <w:pBdr/>
              <w:bidi w:val="false"/>
              <w:spacing w:after="0" w:before="0" w:line="240" w:lineRule="auto"/>
              <w:ind w:right="0" w:firstLine="0" w:left="-113"/>
              <w:contextualSpacing w:val="true"/>
              <w:jc w:val="center"/>
              <w:rPr/>
            </w:pPr>
            <w:r>
              <w:t xml:space="preserve">16.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1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left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Ремонт управления топливными насосами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1 комплект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8" w:type="dxa"/>
            <w:textDirection w:val="lrTb"/>
            <w:noWrap w:val="false"/>
          </w:tcPr>
          <w:p>
            <w:pPr>
              <w:pStyle w:val="752"/>
              <w:widowControl w:val="false"/>
              <w:numPr>
                <w:ilvl w:val="0"/>
                <w:numId w:val="0"/>
              </w:numPr>
              <w:pBdr/>
              <w:bidi w:val="false"/>
              <w:spacing w:after="0" w:before="0" w:line="240" w:lineRule="auto"/>
              <w:ind w:right="0" w:firstLine="0" w:left="-57"/>
              <w:contextualSpacing w:val="true"/>
              <w:jc w:val="center"/>
              <w:rPr/>
            </w:pPr>
            <w:r>
              <w:t xml:space="preserve">17.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1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left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Ремонт топливного фильтра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1 комплект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8" w:type="dxa"/>
            <w:textDirection w:val="lrTb"/>
            <w:noWrap w:val="false"/>
          </w:tcPr>
          <w:p>
            <w:pPr>
              <w:pStyle w:val="752"/>
              <w:widowControl w:val="false"/>
              <w:numPr>
                <w:ilvl w:val="0"/>
                <w:numId w:val="0"/>
              </w:numPr>
              <w:pBdr/>
              <w:bidi w:val="false"/>
              <w:spacing w:after="0" w:before="0" w:line="240" w:lineRule="auto"/>
              <w:ind w:right="0" w:firstLine="0" w:left="-57"/>
              <w:contextualSpacing w:val="true"/>
              <w:jc w:val="center"/>
              <w:rPr/>
            </w:pPr>
            <w:r>
              <w:t xml:space="preserve">18.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1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left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Ремонт редукционного клапана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1 комплект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8" w:type="dxa"/>
            <w:textDirection w:val="lrTb"/>
            <w:noWrap w:val="false"/>
          </w:tcPr>
          <w:p>
            <w:pPr>
              <w:pStyle w:val="752"/>
              <w:widowControl w:val="false"/>
              <w:numPr>
                <w:ilvl w:val="0"/>
                <w:numId w:val="0"/>
              </w:numPr>
              <w:pBdr/>
              <w:bidi w:val="false"/>
              <w:spacing w:after="0" w:before="0" w:line="240" w:lineRule="auto"/>
              <w:ind w:right="0" w:firstLine="0" w:left="-57"/>
              <w:contextualSpacing w:val="true"/>
              <w:jc w:val="center"/>
              <w:rPr/>
            </w:pPr>
            <w:r>
              <w:t xml:space="preserve">19.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1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left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Ремонт топливного трубопровода и арматуры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1 комплект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8" w:type="dxa"/>
            <w:vMerge w:val="restart"/>
            <w:textDirection w:val="lrTb"/>
            <w:noWrap w:val="false"/>
          </w:tcPr>
          <w:p>
            <w:pPr>
              <w:pStyle w:val="752"/>
              <w:widowControl w:val="false"/>
              <w:numPr>
                <w:ilvl w:val="0"/>
                <w:numId w:val="0"/>
              </w:numPr>
              <w:pBdr/>
              <w:bidi w:val="false"/>
              <w:spacing w:after="0" w:before="0" w:line="240" w:lineRule="auto"/>
              <w:ind w:right="0" w:firstLine="0" w:left="-57"/>
              <w:contextualSpacing w:val="true"/>
              <w:jc w:val="center"/>
              <w:rPr/>
            </w:pPr>
            <w:r>
              <w:t xml:space="preserve">20.</w:t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1" w:type="dxa"/>
            <w:vMerge w:val="restart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left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Ремонт регулятора частоты вращения с приводом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vMerge w:val="restart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1 комплект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vMerge w:val="restart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8" w:type="dxa"/>
            <w:vMerge w:val="restart"/>
            <w:textDirection w:val="lrTb"/>
            <w:noWrap w:val="false"/>
          </w:tcPr>
          <w:p>
            <w:pPr>
              <w:pStyle w:val="752"/>
              <w:widowControl w:val="false"/>
              <w:numPr>
                <w:ilvl w:val="0"/>
                <w:numId w:val="0"/>
              </w:numPr>
              <w:pBdr/>
              <w:bidi w:val="false"/>
              <w:spacing w:after="0" w:before="0" w:line="240" w:lineRule="auto"/>
              <w:ind w:right="0" w:firstLine="0" w:left="-57"/>
              <w:contextualSpacing w:val="true"/>
              <w:jc w:val="center"/>
              <w:rPr/>
            </w:pPr>
            <w:r>
              <w:t xml:space="preserve">21.</w:t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1" w:type="dxa"/>
            <w:vMerge w:val="restart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left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Ремонт привода тахометра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vMerge w:val="restart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1 комплект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vMerge w:val="restart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8" w:type="dxa"/>
            <w:vMerge w:val="restart"/>
            <w:textDirection w:val="lrTb"/>
            <w:noWrap w:val="false"/>
          </w:tcPr>
          <w:p>
            <w:pPr>
              <w:pStyle w:val="752"/>
              <w:widowControl w:val="false"/>
              <w:numPr>
                <w:ilvl w:val="0"/>
                <w:numId w:val="0"/>
              </w:numPr>
              <w:pBdr/>
              <w:bidi w:val="false"/>
              <w:spacing w:after="0" w:before="0" w:line="240" w:lineRule="auto"/>
              <w:ind w:right="0" w:firstLine="0" w:left="-57"/>
              <w:contextualSpacing w:val="true"/>
              <w:jc w:val="center"/>
              <w:rPr/>
            </w:pPr>
            <w:r/>
            <w:r/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vMerge w:val="restart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5" w:type="dxa"/>
            <w:vMerge w:val="restart"/>
            <w:textDirection w:val="lrTb"/>
            <w:noWrap w:val="false"/>
          </w:tcPr>
          <w:p>
            <w:pPr>
              <w:pStyle w:val="760"/>
              <w:widowControl w:val="false"/>
              <w:pBdr/>
              <w:spacing/>
              <w:ind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</w:tc>
      </w:tr>
    </w:tbl>
    <w:p>
      <w:pPr>
        <w:pStyle w:val="721"/>
        <w:numPr>
          <w:ilvl w:val="2"/>
          <w:numId w:val="1"/>
        </w:numPr>
        <w:pBdr/>
        <w:spacing/>
        <w:ind w:hanging="505" w:left="1225"/>
        <w:rPr>
          <w:lang w:val="ru-RU"/>
        </w:rPr>
      </w:pPr>
      <w:r/>
      <w:bookmarkStart w:id="28" w:name="_Toc9"/>
      <w:r>
        <w:rPr>
          <w:lang w:val="ru-RU"/>
        </w:rPr>
        <w:t xml:space="preserve">Перечень необходимых запасных частей для выполнения ремонта</w:t>
      </w:r>
      <w:r/>
      <w:bookmarkEnd w:id="28"/>
      <w:r/>
      <w:r>
        <w:rPr>
          <w:lang w:val="ru-RU"/>
        </w:rPr>
      </w:r>
    </w:p>
    <w:p>
      <w:pPr>
        <w:pStyle w:val="721"/>
        <w:numPr>
          <w:ilvl w:val="0"/>
          <w:numId w:val="0"/>
        </w:numPr>
        <w:pBdr/>
        <w:spacing/>
        <w:ind w:firstLine="0" w:left="0"/>
        <w:rPr>
          <w:lang w:val="ru-RU"/>
        </w:rPr>
      </w:pPr>
      <w:r/>
      <w:bookmarkStart w:id="29" w:name="_Toc10"/>
      <w:r>
        <w:t xml:space="preserve">Таблица 2. </w:t>
      </w:r>
      <w:r>
        <w:rPr>
          <w:lang w:val="ru-RU"/>
        </w:rPr>
        <w:t xml:space="preserve">Перечень необходимых запасных частей для выполнения ремонта</w:t>
      </w:r>
      <w:r/>
      <w:bookmarkEnd w:id="29"/>
      <w:r/>
      <w:r>
        <w:rPr>
          <w:lang w:val="ru-RU"/>
        </w:rPr>
      </w:r>
    </w:p>
    <w:p>
      <w:pPr>
        <w:pStyle w:val="718"/>
        <w:pBdr/>
        <w:spacing/>
        <w:ind/>
        <w:rPr/>
      </w:pPr>
      <w:r/>
      <w:r/>
    </w:p>
    <w:tbl>
      <w:tblPr>
        <w:tblW w:w="10325" w:type="dxa"/>
        <w:tblInd w:w="-276" w:type="dxa"/>
        <w:tblBorders/>
        <w:tblLayout w:type="fixed"/>
        <w:tblCellMar>
          <w:left w:w="108" w:type="dxa"/>
          <w:top w:w="55" w:type="dxa"/>
          <w:right w:w="108" w:type="dxa"/>
          <w:bottom w:w="55" w:type="dxa"/>
        </w:tblCellMar>
        <w:tblLook w:val="04A0" w:firstRow="1" w:lastRow="0" w:firstColumn="1" w:lastColumn="0" w:noHBand="0" w:noVBand="1"/>
      </w:tblPr>
      <w:tblGrid>
        <w:gridCol w:w="664"/>
        <w:gridCol w:w="5861"/>
        <w:gridCol w:w="2510"/>
        <w:gridCol w:w="1290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64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 w:bidi="ar-SA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 w:bidi="ar-SA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861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 w:bidi="ar-SA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10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Артикул/каталожный номер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 w:bidi="ar-SA"/>
              </w:rPr>
              <w:t xml:space="preserve">Количество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Вкладыш коренной верхний генератора дизельного 53-1102-Б-02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53-1102-Б-02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8,000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Вкладыш коренной утолщенный 53-1101-Б-01 для двигателя 6ЧН25/34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53-1101-Б-01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Вкладыш распределительного вала 81-1344 для двигателя 6ЧН25/34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81-1344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7,000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Втулка направляющая впускного клапана 53-140034 для двигателя 6ЧН25/34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53-140034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6,000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Втулка направляющая выпускного клапана 53-1421 для двигателя 6ЧН25/34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53-1421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6,000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Втулка цилиндра 63-130002-2 для двигателя 6ЧН25/34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63-130002-2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6,000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Замок клапана 70-140035 для двигателя 6ЧН25/34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70-140035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12,000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Клапан впускной 53-140005 для двигателя 6ЧН25/34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53-140005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6,000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Клапан выпускной 53-1403 для двигателя 6ЧН25/34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53-1403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6,000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Колодка буферная 40-010301-1 для двигателя 6ЧН25/34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40-010301-1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36,000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vMerge w:val="restart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Кольцо компрессионное 53-210007-А для двигателя 6ЧН25/34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53-210007-А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24,000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vMerge w:val="restart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Кольцо сальника 85-110021 для двигателя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85-110021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vMerge w:val="restart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Крышка цилиндра 22-1400 для двигателя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22-1400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6,000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vMerge w:val="restart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Насос водяной 70-7400 для двигателя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70-7400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vMerge w:val="restart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Насос масляный 32-6000 для двигателя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32-6000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vMerge w:val="restart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Насос топливный 962Г.0116.23.000 для двигателя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962Г.0116.23.000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6,000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vMerge w:val="restart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Насос топливоподкачивающий 53-5600-2 для двигателя 6ЧН25/34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53-5600-2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vMerge w:val="restart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Полукольцо 32-110002 для двигателя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32-110002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vMerge w:val="restart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Привод регулятора 72-4800-2 для двигателя 6ЧН25/34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72-4800-2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vMerge w:val="restart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Прокладка 314х300х1.5 для двигателя 6ЧН25/34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314х300х1.5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12,000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vMerge w:val="restart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Пружина внутренняя 53-140010 для двигателя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53-140010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6,000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vMerge w:val="restart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Пружина наружная 53-140009 для генератора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53-140009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6,000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vMerge w:val="restart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Распределитель воздуха 40-7000-2 для двигателя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40-7000-2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vMerge w:val="restart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Регулятор скорости 1-ОРН-30 для двигателя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1-ОРН-30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vMerge w:val="restart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Ремкомплект турбокомпрессора ТК23Н26 для двигателя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Ремкомплект турбокомпрессора ТК23Н26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vMerge w:val="restart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Сухарь клапана 70-140012 для двигателя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70-140012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24,000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vMerge w:val="restart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Тарелка пружины 70-140036 для двигателя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70-140036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12,000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vMerge w:val="restart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Трубка масляная 53-9302 для двигателя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53-9302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6,000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vMerge w:val="restart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Трубка масляная 53-9319-1 для двигателя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53-9319-1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6,000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vMerge w:val="restart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Форсунка топливная 24591-Б-03 для двигателя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24591-Б-03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6,000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vMerge w:val="restart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Охладитель водяной 42-7800-1 для двигателя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42-7800-1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vMerge w:val="restart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Охладитель масляный 42-7500-1 для двигателя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42-7500-1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vMerge w:val="restart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Шнур уплотнительный лючка картера 68-130702 для двигателя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68-130702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12,000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vMerge w:val="restart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Шплинт 4.0х40мм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4х40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24,000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vMerge w:val="restart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Шнур резиновый маслобензостойкий 4М 6.3х2884мм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4М 6.3х2884мм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vMerge w:val="restart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Элемент фильтрующий ЭТФ-4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ЭТФ-4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vMerge w:val="restart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Вкладыш коренной нижний рамового подшипника 53-1101-Б для двигателя 6ЧН25/34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53-1101-Б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7,000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vMerge w:val="restart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Комплект колец маслосъемных 32/53-210008 для двигателя 6ЧН25/34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32/53-210008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12,000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vMerge w:val="restart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Кольцо уплотнительное 70-130802 для двигателя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70-130802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24,000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vMerge w:val="restart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Кольцо уплотнительное раковины 70-140016 для двигателя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70-140016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12,000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vMerge w:val="restart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Кольцо уплотнительное раковины 40-141503 для двигателя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40-141503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12,000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vMerge w:val="restart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Кольцо уплотнительное втулки цилиндра 70-130035А для двигателя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70-130035А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18,000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vMerge w:val="restart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Кольцо уплотнительное щита картера 70-130706 для двигателя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70-130706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12,000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vMerge w:val="restart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Прокладка 305х290х1.5 для двигателя 6ЧН25/34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305х290х1.5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12,000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vMerge w:val="restart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Прокладка коллектора выхлопного 40-1412 для двигателя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40-1412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12,000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vMerge w:val="restart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Распылитель 24607-А-01 для двигателя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24607-А-01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18,000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vMerge w:val="restart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Комплект вкладышей шатуна 53-2201/32-2201 для двигателя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53-2201/32-2201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6,000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664" w:type="dxa"/>
            <w:vAlign w:val="bottom"/>
            <w:vMerge w:val="restart"/>
            <w:textDirection w:val="lrTb"/>
            <w:noWrap w:val="false"/>
          </w:tcPr>
          <w:p>
            <w:pPr>
              <w:pStyle w:val="718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861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Турбокомпрессор ТК23Н26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2510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ТК23Н26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1,000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</w:tbl>
    <w:p>
      <w:pPr>
        <w:pStyle w:val="718"/>
        <w:pageBreakBefore w:val="false"/>
        <w:pBdr/>
        <w:spacing/>
        <w:ind/>
        <w:rPr/>
      </w:pPr>
      <w:r/>
      <w:r/>
    </w:p>
    <w:p>
      <w:pPr>
        <w:pStyle w:val="721"/>
        <w:numPr>
          <w:ilvl w:val="2"/>
          <w:numId w:val="1"/>
        </w:numPr>
        <w:pBdr/>
        <w:spacing/>
        <w:ind w:hanging="505" w:left="1225"/>
        <w:rPr/>
      </w:pPr>
      <w:r/>
      <w:bookmarkStart w:id="30" w:name="_Toc11"/>
      <w:r>
        <w:t xml:space="preserve">Требования к срокам выполнения работ и оказания сопутствующих услуг</w:t>
      </w:r>
      <w:r/>
      <w:bookmarkEnd w:id="30"/>
      <w:r/>
      <w:r/>
    </w:p>
    <w:p>
      <w:pPr>
        <w:pStyle w:val="719"/>
        <w:numPr>
          <w:ilvl w:val="0"/>
          <w:numId w:val="0"/>
        </w:numPr>
        <w:pBdr/>
        <w:spacing/>
        <w:ind w:firstLine="0" w:left="0"/>
        <w:rPr>
          <w:sz w:val="24"/>
          <w:lang w:val="ru-RU"/>
        </w:rPr>
      </w:pPr>
      <w:r/>
      <w:bookmarkStart w:id="31" w:name="_Toc12"/>
      <w:r>
        <w:rPr>
          <w:sz w:val="24"/>
        </w:rPr>
        <w:t xml:space="preserve">Таблица </w:t>
      </w:r>
      <w:r>
        <w:rPr>
          <w:sz w:val="24"/>
          <w:lang w:val="ru-RU"/>
        </w:rPr>
        <w:t xml:space="preserve">3.</w:t>
      </w:r>
      <w:r>
        <w:rPr>
          <w:sz w:val="24"/>
        </w:rPr>
        <w:t xml:space="preserve"> </w:t>
      </w:r>
      <w:bookmarkStart w:id="19" w:name="_Hlk50465284"/>
      <w:r>
        <w:rPr>
          <w:sz w:val="24"/>
        </w:rPr>
        <w:t xml:space="preserve">Требования по срокам </w:t>
      </w:r>
      <w:r/>
      <w:bookmarkEnd w:id="19"/>
      <w:r>
        <w:rPr>
          <w:sz w:val="24"/>
          <w:lang w:val="ru-RU"/>
        </w:rPr>
        <w:t xml:space="preserve">выполнения работ</w:t>
      </w:r>
      <w:r>
        <w:rPr>
          <w:sz w:val="24"/>
          <w:lang w:val="ru-RU"/>
        </w:rPr>
        <w:t xml:space="preserve"> </w:t>
      </w:r>
      <w:r/>
      <w:bookmarkEnd w:id="31"/>
      <w:r/>
      <w:r>
        <w:rPr>
          <w:sz w:val="24"/>
          <w:lang w:val="ru-RU"/>
        </w:rPr>
      </w:r>
    </w:p>
    <w:tbl>
      <w:tblPr>
        <w:tblW w:w="10335" w:type="dxa"/>
        <w:tblInd w:w="-276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253"/>
        <w:gridCol w:w="3502"/>
        <w:gridCol w:w="2595"/>
        <w:gridCol w:w="2984"/>
      </w:tblGrid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3" w:type="dxa"/>
            <w:vAlign w:val="center"/>
            <w:textDirection w:val="lrTb"/>
            <w:noWrap w:val="false"/>
          </w:tcPr>
          <w:p>
            <w:pPr>
              <w:pStyle w:val="718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п/п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02" w:type="dxa"/>
            <w:vAlign w:val="center"/>
            <w:textDirection w:val="lrTb"/>
            <w:noWrap w:val="false"/>
          </w:tcPr>
          <w:p>
            <w:pPr>
              <w:pStyle w:val="718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работ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95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началу срока выполнения работ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4" w:type="dxa"/>
            <w:vAlign w:val="center"/>
            <w:textDirection w:val="lrTb"/>
            <w:noWrap w:val="false"/>
          </w:tcPr>
          <w:p>
            <w:pPr>
              <w:pStyle w:val="718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окончанию срока выполнения работ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3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02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95" w:type="dxa"/>
            <w:textDirection w:val="lrTb"/>
            <w:noWrap w:val="false"/>
          </w:tcPr>
          <w:p>
            <w:pPr>
              <w:pStyle w:val="754"/>
              <w:keepNext w:val="false"/>
              <w:widowControl w:val="false"/>
              <w:pBdr/>
              <w:spacing w:after="40" w:before="40"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4" w:type="dxa"/>
            <w:textDirection w:val="lrTb"/>
            <w:noWrap w:val="false"/>
          </w:tcPr>
          <w:p>
            <w:pPr>
              <w:pStyle w:val="754"/>
              <w:keepNext w:val="false"/>
              <w:widowControl w:val="false"/>
              <w:pBdr/>
              <w:spacing w:after="40" w:before="40"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82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3" w:type="dxa"/>
            <w:textDirection w:val="lrTb"/>
            <w:noWrap w:val="false"/>
          </w:tcPr>
          <w:p>
            <w:pPr>
              <w:pStyle w:val="752"/>
              <w:widowControl w:val="false"/>
              <w:numPr>
                <w:ilvl w:val="0"/>
                <w:numId w:val="4"/>
              </w:num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02" w:type="dxa"/>
            <w:vAlign w:val="center"/>
            <w:textDirection w:val="lrTb"/>
            <w:noWrap w:val="false"/>
          </w:tcPr>
          <w:p>
            <w:pPr>
              <w:pStyle w:val="760"/>
              <w:pBdr/>
              <w:spacing/>
              <w:ind/>
              <w:jc w:val="left"/>
              <w:rPr>
                <w:color w:val="000000"/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  <w:t xml:space="preserve">ОКПД2 33.12.11.000 </w:t>
            </w:r>
            <w:r>
              <w:rPr>
                <w:color w:val="000000"/>
                <w:sz w:val="22"/>
                <w:szCs w:val="22"/>
              </w:rPr>
              <w:t xml:space="preserve">Оказание услуги по капитальному ремонту ДГ-315 </w:t>
            </w:r>
            <w:r>
              <w:rPr>
                <w:color w:val="000000"/>
                <w:sz w:val="22"/>
                <w:szCs w:val="22"/>
              </w:rPr>
              <w:t xml:space="preserve"> ДЭС п. Белая гора Белогорского РЭС </w:t>
            </w:r>
            <w:r>
              <w:rPr>
                <w:color w:val="000000"/>
                <w:sz w:val="22"/>
                <w:szCs w:val="22"/>
              </w:rPr>
              <w:t xml:space="preserve">филиала </w:t>
            </w:r>
            <w:r>
              <w:rPr>
                <w:color w:val="000000"/>
                <w:sz w:val="22"/>
                <w:szCs w:val="22"/>
              </w:rPr>
              <w:t xml:space="preserve">АО «Сахаэнерго» </w:t>
            </w:r>
            <w:r>
              <w:rPr>
                <w:color w:val="000000"/>
                <w:sz w:val="22"/>
                <w:szCs w:val="22"/>
                <w14:ligatures w14:val="none"/>
              </w:rPr>
            </w:r>
            <w:r>
              <w:rPr>
                <w:color w:val="000000"/>
                <w:sz w:val="22"/>
                <w:szCs w:val="22"/>
                <w14:ligatures w14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color w:val="000000"/>
                <w:sz w:val="22"/>
                <w:szCs w:val="22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95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даты заключения договора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4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/>
            <w:r/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 xml:space="preserve">30</w:t>
            </w:r>
            <w:r>
              <w:rPr>
                <w:sz w:val="24"/>
                <w:szCs w:val="24"/>
              </w:rPr>
              <w:t xml:space="preserve"> календарных дней</w:t>
            </w:r>
            <w:r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момента подписания договора</w:t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/>
        <w:ind/>
        <w:rPr/>
        <w:sectPr>
          <w:headerReference w:type="default" r:id="rId9"/>
          <w:headerReference w:type="even" r:id="rId10"/>
          <w:headerReference w:type="first" r:id="rId11"/>
          <w:footnotePr/>
          <w:endnotePr/>
          <w:type w:val="nextPage"/>
          <w:pgSz w:h="16838" w:orient="portrait" w:w="11906"/>
          <w:pgMar w:top="1134" w:right="709" w:bottom="992" w:left="1134" w:header="680" w:footer="0" w:gutter="0"/>
          <w:cols w:num="1" w:sep="0" w:space="1701" w:equalWidth="1"/>
          <w:titlePg/>
        </w:sectPr>
      </w:pPr>
      <w:r/>
      <w:r/>
    </w:p>
    <w:p>
      <w:pPr>
        <w:pStyle w:val="722"/>
        <w:numPr>
          <w:ilvl w:val="1"/>
          <w:numId w:val="1"/>
        </w:numPr>
        <w:pBdr/>
        <w:spacing/>
        <w:ind w:hanging="505" w:left="1225"/>
        <w:rPr/>
      </w:pPr>
      <w:r/>
      <w:bookmarkStart w:id="32" w:name="_Toc13"/>
      <w:r>
        <w:t xml:space="preserve">Таблица </w:t>
      </w:r>
      <w:r>
        <w:rPr>
          <w:lang w:val="ru-RU"/>
        </w:rPr>
        <w:t xml:space="preserve">4</w:t>
      </w:r>
      <w:r>
        <w:t xml:space="preserve">. Требования к </w:t>
      </w:r>
      <w:r>
        <w:rPr>
          <w:lang w:val="ru-RU"/>
        </w:rPr>
        <w:t xml:space="preserve">качеству услуг</w:t>
      </w:r>
      <w:r>
        <w:t xml:space="preserve"> </w:t>
      </w:r>
      <w:r/>
      <w:bookmarkEnd w:id="32"/>
      <w:r/>
      <w:r/>
    </w:p>
    <w:p>
      <w:pPr>
        <w:pStyle w:val="718"/>
        <w:pBdr/>
        <w:spacing/>
        <w:ind/>
        <w:rPr>
          <w:rStyle w:val="735"/>
          <w:b w:val="0"/>
        </w:rPr>
      </w:pPr>
      <w:r>
        <w:rPr>
          <w:b w:val="0"/>
        </w:rPr>
      </w:r>
      <w:r>
        <w:rPr>
          <w:rStyle w:val="735"/>
          <w:b w:val="0"/>
        </w:rPr>
      </w:r>
    </w:p>
    <w:p>
      <w:pPr>
        <w:pStyle w:val="760"/>
        <w:pBdr/>
        <w:spacing/>
        <w:ind/>
        <w:jc w:val="left"/>
        <w:rPr>
          <w:color w:val="000000"/>
          <w:sz w:val="22"/>
          <w:szCs w:val="22"/>
          <w14:ligatures w14:val="none"/>
        </w:rPr>
      </w:pPr>
      <w:r>
        <w:rPr>
          <w:b/>
          <w:bCs/>
          <w:sz w:val="24"/>
          <w:szCs w:val="24"/>
        </w:rPr>
        <w:t xml:space="preserve">Наименование услуг/этапа:  «</w:t>
      </w:r>
      <w:r>
        <w:rPr>
          <w:i/>
          <w:iCs/>
          <w:shd w:val="clear" w:color="auto" w:fill="ffff99"/>
        </w:rPr>
      </w:r>
      <w:r>
        <w:rPr>
          <w:sz w:val="22"/>
          <w:szCs w:val="22"/>
        </w:rPr>
      </w:r>
      <w:r>
        <w:rPr>
          <w:color w:val="000000"/>
          <w:sz w:val="22"/>
          <w:szCs w:val="22"/>
        </w:rPr>
        <w:t xml:space="preserve">ОКПД2 33.12.11.000 </w:t>
      </w:r>
      <w:r>
        <w:rPr>
          <w:color w:val="000000"/>
          <w:sz w:val="22"/>
          <w:szCs w:val="22"/>
        </w:rPr>
        <w:t xml:space="preserve">Оказание услуги по капитальному ремонту ДГ-315 </w:t>
      </w:r>
      <w:r>
        <w:rPr>
          <w:color w:val="000000"/>
          <w:sz w:val="22"/>
          <w:szCs w:val="22"/>
        </w:rPr>
        <w:t xml:space="preserve"> ДЭС п. Белая гора Белогорского РЭС </w:t>
      </w:r>
      <w:r>
        <w:rPr>
          <w:color w:val="000000"/>
          <w:sz w:val="22"/>
          <w:szCs w:val="22"/>
        </w:rPr>
        <w:t xml:space="preserve">филиала </w:t>
      </w:r>
      <w:r>
        <w:rPr>
          <w:color w:val="000000"/>
          <w:sz w:val="22"/>
          <w:szCs w:val="22"/>
        </w:rPr>
        <w:t xml:space="preserve">АО «Сахаэнерго» </w:t>
      </w:r>
      <w:r>
        <w:rPr>
          <w:color w:val="000000"/>
          <w:sz w:val="22"/>
          <w:szCs w:val="22"/>
          <w14:ligatures w14:val="none"/>
        </w:rPr>
      </w:r>
      <w:r>
        <w:rPr>
          <w:color w:val="000000"/>
          <w:sz w:val="22"/>
          <w:szCs w:val="22"/>
          <w14:ligatures w14:val="none"/>
        </w:rPr>
      </w:r>
      <w:r>
        <w:rPr>
          <w:i/>
          <w:iCs/>
          <w:shd w:val="clear" w:color="auto" w:fill="ffff99"/>
        </w:rPr>
      </w:r>
      <w:r/>
      <w:r>
        <w:rPr>
          <w:color w:val="000000"/>
          <w:sz w:val="22"/>
          <w:szCs w:val="22"/>
          <w14:ligatures w14:val="none"/>
        </w:rPr>
      </w:r>
    </w:p>
    <w:tbl>
      <w:tblPr>
        <w:tblStyle w:val="765"/>
        <w:tblW w:w="14764" w:type="dxa"/>
        <w:tblInd w:w="-5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50"/>
        <w:gridCol w:w="2269"/>
        <w:gridCol w:w="254"/>
        <w:gridCol w:w="4677"/>
        <w:gridCol w:w="2126"/>
        <w:gridCol w:w="2410"/>
        <w:gridCol w:w="2177"/>
      </w:tblGrid>
      <w:tr>
        <w:trPr/>
        <w:tc>
          <w:tcPr>
            <w:tcBorders/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pStyle w:val="718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п/п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269" w:type="dxa"/>
            <w:vAlign w:val="center"/>
            <w:vMerge w:val="restart"/>
            <w:textDirection w:val="lrTb"/>
            <w:noWrap w:val="false"/>
          </w:tcPr>
          <w:p>
            <w:pPr>
              <w:pStyle w:val="718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Наименование параметра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4931" w:type="dxa"/>
            <w:vAlign w:val="center"/>
            <w:vMerge w:val="restart"/>
            <w:textDirection w:val="lrTb"/>
            <w:noWrap w:val="false"/>
          </w:tcPr>
          <w:p>
            <w:pPr>
              <w:pStyle w:val="718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Требование заказчика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4536" w:type="dxa"/>
            <w:vAlign w:val="center"/>
            <w:textDirection w:val="lrTb"/>
            <w:noWrap w:val="false"/>
          </w:tcPr>
          <w:p>
            <w:pPr>
              <w:pStyle w:val="718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Способ подтверждения участником соответствия требованиям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177" w:type="dxa"/>
            <w:vAlign w:val="center"/>
            <w:vMerge w:val="restart"/>
            <w:textDirection w:val="lrTb"/>
            <w:noWrap w:val="false"/>
          </w:tcPr>
          <w:p>
            <w:pPr>
              <w:pStyle w:val="718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Предложение участника по характеристикам и параметрам</w:t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718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269" w:type="dxa"/>
            <w:vAlign w:val="center"/>
            <w:vMerge w:val="continue"/>
            <w:textDirection w:val="lrTb"/>
            <w:noWrap w:val="false"/>
          </w:tcPr>
          <w:p>
            <w:pPr>
              <w:pStyle w:val="718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4931" w:type="dxa"/>
            <w:vAlign w:val="center"/>
            <w:vMerge w:val="continue"/>
            <w:textDirection w:val="lrTb"/>
            <w:noWrap w:val="false"/>
          </w:tcPr>
          <w:p>
            <w:pPr>
              <w:pStyle w:val="718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126" w:type="dxa"/>
            <w:vAlign w:val="center"/>
            <w:textDirection w:val="lrTb"/>
            <w:noWrap w:val="false"/>
          </w:tcPr>
          <w:p>
            <w:pPr>
              <w:pStyle w:val="718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Согласие с требованием/ указание характеристик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Style w:val="718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Предоставление подтверждающего документа или иной способ подтверждения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177" w:type="dxa"/>
            <w:vAlign w:val="center"/>
            <w:vMerge w:val="continue"/>
            <w:textDirection w:val="lrTb"/>
            <w:noWrap w:val="false"/>
          </w:tcPr>
          <w:p>
            <w:pPr>
              <w:pStyle w:val="718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718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/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1</w:t>
            </w:r>
            <w:r/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269" w:type="dxa"/>
            <w:vAlign w:val="center"/>
            <w:textDirection w:val="lrTb"/>
            <w:noWrap w:val="false"/>
          </w:tcPr>
          <w:p>
            <w:pPr>
              <w:pStyle w:val="718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2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4931" w:type="dxa"/>
            <w:vAlign w:val="center"/>
            <w:textDirection w:val="lrTb"/>
            <w:noWrap w:val="false"/>
          </w:tcPr>
          <w:p>
            <w:pPr>
              <w:pStyle w:val="718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3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126" w:type="dxa"/>
            <w:vAlign w:val="center"/>
            <w:textDirection w:val="lrTb"/>
            <w:noWrap w:val="false"/>
          </w:tcPr>
          <w:p>
            <w:pPr>
              <w:pStyle w:val="718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4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Style w:val="718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5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177" w:type="dxa"/>
            <w:vAlign w:val="center"/>
            <w:textDirection w:val="lrTb"/>
            <w:noWrap w:val="false"/>
          </w:tcPr>
          <w:p>
            <w:pPr>
              <w:pStyle w:val="718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6</w:t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752"/>
              <w:widowControl w:val="false"/>
              <w:numPr>
                <w:ilvl w:val="0"/>
                <w:numId w:val="2"/>
              </w:numPr>
              <w:pBdr/>
              <w:spacing w:after="60" w:before="60"/>
              <w:ind/>
              <w:contextualSpacing w:val="true"/>
              <w:jc w:val="left"/>
              <w:rPr>
                <w:lang w:val="ru-RU" w:bidi="ar-SA"/>
              </w:rPr>
            </w:pP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gridSpan w:val="3"/>
            <w:tcBorders/>
            <w:tcW w:w="7200" w:type="dxa"/>
            <w:vAlign w:val="center"/>
            <w:textDirection w:val="lrTb"/>
            <w:noWrap w:val="false"/>
          </w:tcPr>
          <w:p>
            <w:pPr>
              <w:pStyle w:val="718"/>
              <w:widowControl w:val="false"/>
              <w:pBdr/>
              <w:spacing w:after="0" w:before="0"/>
              <w:ind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 w:bidi="ar-SA"/>
              </w:rPr>
              <w:t xml:space="preserve">Требования к оказанию услуг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718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718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177" w:type="dxa"/>
            <w:textDirection w:val="lrTb"/>
            <w:noWrap w:val="false"/>
          </w:tcPr>
          <w:p>
            <w:pPr>
              <w:pStyle w:val="718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752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b/>
                <w:bCs/>
              </w:rPr>
            </w:pPr>
            <w:r>
              <w:rPr>
                <w:b/>
                <w:bCs/>
                <w:lang w:val="ru-RU" w:bidi="ar-SA"/>
              </w:rPr>
              <w:t xml:space="preserve">1.1.</w:t>
            </w:r>
            <w:r>
              <w:rPr>
                <w:b/>
                <w:bCs/>
              </w:rPr>
            </w:r>
          </w:p>
        </w:tc>
        <w:tc>
          <w:tcPr>
            <w:gridSpan w:val="2"/>
            <w:tcBorders/>
            <w:tcW w:w="2523" w:type="dxa"/>
            <w:vAlign w:val="center"/>
            <w:textDirection w:val="lrTb"/>
            <w:noWrap w:val="false"/>
          </w:tcPr>
          <w:p>
            <w:pPr>
              <w:pStyle w:val="71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Общие требования к оказанию услуг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/>
            <w:tcW w:w="4677" w:type="dxa"/>
            <w:vAlign w:val="center"/>
            <w:textDirection w:val="lrTb"/>
            <w:noWrap w:val="false"/>
          </w:tcPr>
          <w:p>
            <w:pPr>
              <w:pStyle w:val="718"/>
              <w:widowControl w:val="false"/>
              <w:pBdr/>
              <w:spacing w:after="60" w:before="60"/>
              <w:ind/>
              <w:jc w:val="left"/>
              <w:rPr>
                <w:b/>
                <w:sz w:val="24"/>
                <w:szCs w:val="24"/>
              </w:rPr>
            </w:pPr>
            <w:r>
              <w:rPr>
                <w:sz w:val="22"/>
                <w:szCs w:val="22"/>
                <w:lang w:val="ru-RU" w:bidi="ar-SA"/>
              </w:rPr>
              <w:t xml:space="preserve">Проведение </w:t>
            </w:r>
            <w:r>
              <w:rPr>
                <w:sz w:val="22"/>
                <w:szCs w:val="22"/>
                <w:lang w:val="ru-RU" w:bidi="ar-SA"/>
              </w:rPr>
              <w:t xml:space="preserve">капитального ремонта будет выполняться на действующей дизельной электростанции п. Белая гора  Белогорского РЭС.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718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718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177" w:type="dxa"/>
            <w:textDirection w:val="lrTb"/>
            <w:noWrap w:val="false"/>
          </w:tcPr>
          <w:p>
            <w:pPr>
              <w:pStyle w:val="718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752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b/>
              </w:rPr>
            </w:pPr>
            <w:r>
              <w:rPr>
                <w:b/>
                <w:lang w:val="ru-RU" w:bidi="ar-SA"/>
              </w:rPr>
              <w:t xml:space="preserve">1.2.</w:t>
            </w:r>
            <w:r>
              <w:rPr>
                <w:b/>
              </w:rPr>
            </w:r>
          </w:p>
        </w:tc>
        <w:tc>
          <w:tcPr>
            <w:gridSpan w:val="2"/>
            <w:shd w:val="clear" w:color="auto" w:fill="auto"/>
            <w:tcBorders/>
            <w:tcW w:w="2523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Требования к оплате работ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4677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both"/>
              <w:rPr>
                <w:b/>
                <w:sz w:val="24"/>
                <w:szCs w:val="24"/>
              </w:rPr>
            </w:pPr>
            <w:r>
              <w:rPr>
                <w:sz w:val="22"/>
                <w:szCs w:val="22"/>
                <w:lang w:val="ru-RU" w:bidi="ar-SA"/>
              </w:rPr>
              <w:t xml:space="preserve">Оплата выполненных работ по условиям договора.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2126" w:type="dxa"/>
            <w:textDirection w:val="lrTb"/>
            <w:noWrap w:val="false"/>
          </w:tcPr>
          <w:p>
            <w:pPr>
              <w:pStyle w:val="718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2410" w:type="dxa"/>
            <w:textDirection w:val="lrTb"/>
            <w:noWrap w:val="false"/>
          </w:tcPr>
          <w:p>
            <w:pPr>
              <w:pStyle w:val="718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2177" w:type="dxa"/>
            <w:textDirection w:val="lrTb"/>
            <w:noWrap w:val="false"/>
          </w:tcPr>
          <w:p>
            <w:pPr>
              <w:pStyle w:val="718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752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b/>
              </w:rPr>
            </w:pPr>
            <w:r>
              <w:rPr>
                <w:b/>
                <w:lang w:val="ru-RU" w:bidi="ar-SA"/>
              </w:rPr>
              <w:t xml:space="preserve">1.3</w:t>
            </w:r>
            <w:r>
              <w:rPr>
                <w:b/>
              </w:rPr>
            </w:r>
          </w:p>
        </w:tc>
        <w:tc>
          <w:tcPr>
            <w:gridSpan w:val="2"/>
            <w:shd w:val="clear" w:color="auto" w:fill="auto"/>
            <w:tcBorders/>
            <w:tcW w:w="2523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Требования к двигателю после ремонта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4677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После </w:t>
            </w:r>
            <w:r>
              <w:rPr>
                <w:sz w:val="22"/>
                <w:szCs w:val="22"/>
                <w:lang w:val="ru-RU" w:bidi="ar-SA"/>
              </w:rPr>
              <w:t xml:space="preserve">завершения работ</w:t>
            </w:r>
            <w:r>
              <w:rPr>
                <w:sz w:val="22"/>
                <w:szCs w:val="22"/>
                <w:lang w:val="ru-RU" w:bidi="ar-SA"/>
              </w:rPr>
              <w:t xml:space="preserve"> двигатель подлежит к приемно-сдаточным испытаниям согласно программе (Приложение </w:t>
            </w:r>
            <w:r>
              <w:rPr>
                <w:sz w:val="22"/>
                <w:szCs w:val="22"/>
                <w:lang w:val="ru-RU" w:bidi="ar-SA"/>
              </w:rPr>
              <w:t xml:space="preserve">2</w:t>
            </w:r>
            <w:r>
              <w:rPr>
                <w:sz w:val="22"/>
                <w:szCs w:val="22"/>
                <w:lang w:val="ru-RU" w:bidi="ar-SA"/>
              </w:rPr>
              <w:t xml:space="preserve">).</w:t>
            </w:r>
            <w:r>
              <w:rPr>
                <w:sz w:val="22"/>
                <w:szCs w:val="22"/>
              </w:rPr>
            </w:r>
          </w:p>
          <w:p>
            <w:pPr>
              <w:pStyle w:val="71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 </w:t>
            </w:r>
            <w:r>
              <w:rPr>
                <w:sz w:val="22"/>
                <w:szCs w:val="22"/>
                <w:lang w:val="ru-RU" w:bidi="ar-SA"/>
              </w:rPr>
              <w:t xml:space="preserve">Двигатель должен соответствовать параметрам приёмо-сдаточных испытаний дизель-генераторных агрегатов (ДГ</w:t>
            </w:r>
            <w:r>
              <w:rPr>
                <w:sz w:val="22"/>
                <w:szCs w:val="22"/>
                <w:lang w:val="ru-RU" w:bidi="ar-SA"/>
              </w:rPr>
              <w:t xml:space="preserve">У</w:t>
            </w:r>
            <w:r>
              <w:rPr>
                <w:sz w:val="22"/>
                <w:szCs w:val="22"/>
                <w:lang w:val="ru-RU" w:bidi="ar-SA"/>
              </w:rPr>
              <w:t xml:space="preserve">) после проведения капитального и среднего/текущего ремонтов.(п. 4.4. Приложения </w:t>
            </w:r>
            <w:r>
              <w:rPr>
                <w:sz w:val="22"/>
                <w:szCs w:val="22"/>
                <w:lang w:val="ru-RU" w:bidi="ar-SA"/>
              </w:rPr>
              <w:t xml:space="preserve">2</w:t>
            </w:r>
            <w:r>
              <w:rPr>
                <w:sz w:val="22"/>
                <w:szCs w:val="22"/>
                <w:lang w:val="ru-RU" w:bidi="ar-SA"/>
              </w:rPr>
              <w:t xml:space="preserve">).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  <w:textDirection w:val="lrTb"/>
            <w:noWrap w:val="false"/>
          </w:tcPr>
          <w:p>
            <w:pPr>
              <w:pStyle w:val="718"/>
              <w:keepNext w:val="true"/>
              <w:widowControl w:val="false"/>
              <w:pBdr/>
              <w:spacing w:after="60" w:before="60"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2410" w:type="dxa"/>
            <w:textDirection w:val="lrTb"/>
            <w:noWrap w:val="false"/>
          </w:tcPr>
          <w:p>
            <w:pPr>
              <w:pStyle w:val="718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2177" w:type="dxa"/>
            <w:textDirection w:val="lrTb"/>
            <w:noWrap w:val="false"/>
          </w:tcPr>
          <w:p>
            <w:pPr>
              <w:pStyle w:val="718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752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b/>
              </w:rPr>
            </w:pPr>
            <w:r>
              <w:rPr>
                <w:b/>
                <w:lang w:val="ru-RU" w:bidi="ar-SA"/>
              </w:rPr>
              <w:t xml:space="preserve">1.4</w:t>
            </w:r>
            <w:r>
              <w:rPr>
                <w:b/>
              </w:rPr>
            </w:r>
          </w:p>
        </w:tc>
        <w:tc>
          <w:tcPr>
            <w:gridSpan w:val="2"/>
            <w:shd w:val="clear" w:color="auto" w:fill="auto"/>
            <w:tcBorders/>
            <w:tcW w:w="2523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Требования к запасным частям и специальному инструменту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4677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both"/>
              <w:rPr>
                <w:sz w:val="22"/>
                <w:szCs w:val="22"/>
                <w:lang w:val="ru-RU" w:bidi="ar-SA"/>
              </w:rPr>
            </w:pPr>
            <w:r>
              <w:rPr>
                <w:sz w:val="22"/>
                <w:szCs w:val="22"/>
                <w:lang w:val="ru-RU" w:bidi="ar-SA"/>
              </w:rPr>
              <w:t xml:space="preserve"> Запасные части (Таблица 2) для выполнения ремонта  предоставляет Заказчик.</w:t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 Специальный инструмент для выполнение ремонта предоставляет Исполнитель (Подрядчик).</w:t>
            </w:r>
            <w:r>
              <w:rPr>
                <w:sz w:val="22"/>
                <w:szCs w:val="22"/>
              </w:rPr>
            </w:r>
            <w:r/>
            <w:r>
              <w:rPr>
                <w:sz w:val="22"/>
                <w:szCs w:val="22"/>
                <w:lang w:val="ru-RU" w:bidi="ar-SA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  <w:textDirection w:val="lrTb"/>
            <w:noWrap w:val="false"/>
          </w:tcPr>
          <w:p>
            <w:pPr>
              <w:pStyle w:val="718"/>
              <w:keepNext w:val="true"/>
              <w:widowControl w:val="false"/>
              <w:pBdr/>
              <w:spacing w:after="60" w:before="60"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2410" w:type="dxa"/>
            <w:textDirection w:val="lrTb"/>
            <w:noWrap w:val="false"/>
          </w:tcPr>
          <w:p>
            <w:pPr>
              <w:pStyle w:val="718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2177" w:type="dxa"/>
            <w:textDirection w:val="lrTb"/>
            <w:noWrap w:val="false"/>
          </w:tcPr>
          <w:p>
            <w:pPr>
              <w:pStyle w:val="718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752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b/>
              </w:rPr>
            </w:pPr>
            <w:r>
              <w:rPr>
                <w:b/>
                <w:lang w:val="ru-RU" w:bidi="ar-SA"/>
              </w:rPr>
              <w:t xml:space="preserve">1.5</w:t>
            </w:r>
            <w:r>
              <w:rPr>
                <w:b/>
              </w:rPr>
            </w:r>
          </w:p>
        </w:tc>
        <w:tc>
          <w:tcPr>
            <w:gridSpan w:val="2"/>
            <w:shd w:val="clear" w:color="auto" w:fill="auto"/>
            <w:tcBorders/>
            <w:tcW w:w="2523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Требования к гарантии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4677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Гарантия в течение </w:t>
            </w:r>
            <w:r>
              <w:rPr>
                <w:sz w:val="22"/>
                <w:szCs w:val="22"/>
                <w:lang w:val="ru-RU" w:bidi="ar-SA"/>
              </w:rPr>
              <w:t xml:space="preserve">12-ти месяцев или </w:t>
            </w:r>
            <w:r>
              <w:rPr>
                <w:sz w:val="22"/>
                <w:szCs w:val="22"/>
                <w:lang w:val="ru-RU" w:bidi="ar-SA"/>
              </w:rPr>
              <w:t xml:space="preserve">5000 моточасов с момента подписания акта приемки сдачи выполненных работ.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  <w:textDirection w:val="lrTb"/>
            <w:noWrap w:val="false"/>
          </w:tcPr>
          <w:p>
            <w:pPr>
              <w:pStyle w:val="718"/>
              <w:keepNext w:val="true"/>
              <w:widowControl w:val="false"/>
              <w:pBdr/>
              <w:spacing w:after="60" w:before="60"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2410" w:type="dxa"/>
            <w:textDirection w:val="lrTb"/>
            <w:noWrap w:val="false"/>
          </w:tcPr>
          <w:p>
            <w:pPr>
              <w:pStyle w:val="718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2177" w:type="dxa"/>
            <w:textDirection w:val="lrTb"/>
            <w:noWrap w:val="false"/>
          </w:tcPr>
          <w:p>
            <w:pPr>
              <w:pStyle w:val="718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752"/>
              <w:widowControl w:val="false"/>
              <w:numPr>
                <w:ilvl w:val="0"/>
                <w:numId w:val="2"/>
              </w:numPr>
              <w:pBdr/>
              <w:spacing w:after="60" w:before="60"/>
              <w:ind/>
              <w:contextualSpacing w:val="true"/>
              <w:jc w:val="left"/>
              <w:rPr>
                <w:lang w:val="ru-RU" w:bidi="ar-SA"/>
              </w:rPr>
            </w:pP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gridSpan w:val="3"/>
            <w:tcBorders/>
            <w:tcW w:w="7200" w:type="dxa"/>
            <w:vAlign w:val="center"/>
            <w:textDirection w:val="lrTb"/>
            <w:noWrap w:val="false"/>
          </w:tcPr>
          <w:p>
            <w:pPr>
              <w:pStyle w:val="71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both"/>
              <w:rPr>
                <w:b/>
              </w:rPr>
            </w:pPr>
            <w:r>
              <w:rPr>
                <w:b/>
                <w:sz w:val="24"/>
                <w:szCs w:val="24"/>
                <w:lang w:val="ru-RU" w:bidi="ar-SA"/>
              </w:rPr>
              <w:t xml:space="preserve">Требования к исполнителю (победителю закупки)</w:t>
            </w:r>
            <w:r>
              <w:rPr>
                <w:b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718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718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177" w:type="dxa"/>
            <w:textDirection w:val="lrTb"/>
            <w:noWrap w:val="false"/>
          </w:tcPr>
          <w:p>
            <w:pPr>
              <w:pStyle w:val="718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752"/>
              <w:widowControl w:val="false"/>
              <w:pBdr/>
              <w:spacing w:after="60" w:before="60"/>
              <w:ind w:firstLine="0" w:left="5"/>
              <w:contextualSpacing w:val="true"/>
              <w:jc w:val="left"/>
              <w:rPr>
                <w:b/>
              </w:rPr>
            </w:pPr>
            <w:r>
              <w:rPr>
                <w:b/>
                <w:lang w:val="ru-RU" w:bidi="ar-SA"/>
              </w:rPr>
              <w:t xml:space="preserve">2</w:t>
            </w:r>
            <w:r>
              <w:rPr>
                <w:b/>
                <w:lang w:val="ru-RU" w:bidi="ar-SA"/>
              </w:rPr>
              <w:t xml:space="preserve">.1.</w:t>
            </w:r>
            <w:r>
              <w:rPr>
                <w:b/>
              </w:rPr>
            </w:r>
          </w:p>
        </w:tc>
        <w:tc>
          <w:tcPr>
            <w:gridSpan w:val="2"/>
            <w:tcBorders/>
            <w:tcW w:w="2523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spacing w:after="0" w:before="0"/>
              <w:ind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Требование к персоналу подрядной организации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/>
            <w:tcW w:w="4677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spacing w:after="0" w:before="0"/>
              <w:ind w:firstLine="0" w:left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Квалификационный и количественный состав бригады должен соответствовать объему и сложности выполняемых работ.</w:t>
            </w:r>
            <w:r>
              <w:rPr>
                <w:sz w:val="22"/>
                <w:szCs w:val="22"/>
              </w:rPr>
            </w:r>
          </w:p>
          <w:p>
            <w:pPr>
              <w:pStyle w:val="718"/>
              <w:widowControl w:val="false"/>
              <w:pBdr/>
              <w:spacing w:after="0" w:before="0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Перед началом выполнения работ необходимо документальное подтверждение квалификации командируемого персонала.</w:t>
            </w:r>
            <w:r>
              <w:rPr>
                <w:sz w:val="22"/>
                <w:szCs w:val="22"/>
              </w:rPr>
            </w:r>
          </w:p>
          <w:p>
            <w:pPr>
              <w:pStyle w:val="718"/>
              <w:widowControl w:val="false"/>
              <w:pBdr/>
              <w:spacing w:after="0" w:before="0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Персонал должен соблюдать и соответствовать «Регламенту допуска подрядных и сторонних организаций, индивидуальных предпринимателей, командированного персонала для выполнения работ на объектах АО «Сахаэнерго» (</w:t>
            </w:r>
            <w:r>
              <w:rPr>
                <w:rFonts w:eastAsia="Arial Unicode MS"/>
                <w:sz w:val="24"/>
                <w:szCs w:val="24"/>
                <w:lang w:val="ru-RU" w:bidi="ar-SA"/>
              </w:rPr>
              <w:t xml:space="preserve">ИСМ РГ-00-017.03-23</w:t>
            </w:r>
            <w:r>
              <w:rPr>
                <w:sz w:val="22"/>
                <w:szCs w:val="22"/>
                <w:lang w:val="ru-RU" w:bidi="ar-SA"/>
              </w:rPr>
              <w:t xml:space="preserve">) (Приложение </w:t>
            </w:r>
            <w:r>
              <w:rPr>
                <w:sz w:val="22"/>
                <w:szCs w:val="22"/>
                <w:lang w:val="ru-RU" w:bidi="ar-SA"/>
              </w:rPr>
              <w:t xml:space="preserve">1</w:t>
            </w:r>
            <w:r>
              <w:rPr>
                <w:sz w:val="22"/>
                <w:szCs w:val="22"/>
                <w:lang w:val="ru-RU" w:bidi="ar-SA"/>
              </w:rPr>
              <w:t xml:space="preserve">) (далее-Регламент).</w:t>
            </w:r>
            <w:r>
              <w:rPr>
                <w:sz w:val="22"/>
                <w:szCs w:val="22"/>
              </w:rPr>
            </w:r>
          </w:p>
          <w:p>
            <w:pPr>
              <w:pStyle w:val="718"/>
              <w:widowControl w:val="false"/>
              <w:pBdr/>
              <w:spacing w:after="0" w:before="0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Подрядная организация должна направить в адрес АО «Сахаэнерго» сопроводительное письмо согласно пункта 5 Регламента за 14 дней до начала выполнения ремонтных работ.</w:t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spacing w:after="0" w:before="0"/>
              <w:ind/>
              <w:jc w:val="left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753"/>
              <w:keepNext w:val="false"/>
              <w:widowControl w:val="false"/>
              <w:numPr>
                <w:ilvl w:val="0"/>
                <w:numId w:val="0"/>
              </w:numPr>
              <w:pBdr/>
              <w:spacing w:after="0" w:before="0" w:line="240" w:lineRule="auto"/>
              <w:ind w:firstLine="0" w:left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r>
              <w:rPr>
                <w:rFonts w:ascii="Calibri" w:hAnsi="Calibri" w:eastAsia="Times New Roman"/>
                <w:b w:val="0"/>
                <w:sz w:val="20"/>
                <w:szCs w:val="20"/>
                <w:lang w:val="ru-RU" w:eastAsia="ru-RU" w:bidi="ar-SA"/>
              </w:rPr>
            </w:r>
            <w:r>
              <w:rPr>
                <w:rFonts w:eastAsia="Times New Roman"/>
                <w:b w:val="0"/>
                <w:lang w:val="ru-RU" w:eastAsia="ru-RU"/>
              </w:rPr>
            </w:r>
          </w:p>
        </w:tc>
        <w:tc>
          <w:tcPr>
            <w:tcBorders/>
            <w:tcW w:w="2177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718"/>
              <w:widowControl w:val="false"/>
              <w:pBdr/>
              <w:spacing w:after="60" w:before="60"/>
              <w:ind w:firstLine="0" w:left="5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ru-RU" w:bidi="ar-SA"/>
              </w:rPr>
              <w:t xml:space="preserve">2</w:t>
            </w:r>
            <w:r>
              <w:rPr>
                <w:rFonts w:eastAsia="Calibri"/>
                <w:b/>
                <w:sz w:val="24"/>
                <w:szCs w:val="24"/>
                <w:lang w:val="ru-RU" w:bidi="ar-SA"/>
              </w:rPr>
              <w:t xml:space="preserve">.2.</w:t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2523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spacing w:after="0" w:before="0"/>
              <w:ind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Требования к обеспечению техники безопасности при проведении работ</w:t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4677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spacing w:after="0" w:before="0"/>
              <w:ind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При выполнении ремонтных р</w:t>
            </w:r>
            <w:r>
              <w:rPr>
                <w:sz w:val="22"/>
                <w:szCs w:val="22"/>
                <w:lang w:val="ru-RU" w:bidi="ar-SA"/>
              </w:rPr>
              <w:t xml:space="preserve">абот персонал подрядной организации обязан соблюдать требования правил ТБ, ППБ и охраны окружающей среды, правила организации технического обслуживания и ремонта оборудования, зданий и сооружений электростанций и сетей СО 34.04.181-2003г. и требований НТД.</w:t>
            </w:r>
            <w:r>
              <w:rPr>
                <w:sz w:val="22"/>
                <w:szCs w:val="22"/>
              </w:rPr>
            </w:r>
          </w:p>
          <w:p>
            <w:pPr>
              <w:pStyle w:val="718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</w:rPr>
            </w:pPr>
            <w:r>
              <w:rPr>
                <w:sz w:val="22"/>
                <w:szCs w:val="22"/>
                <w:lang w:val="ru-RU" w:bidi="ar-SA"/>
              </w:rPr>
              <w:t xml:space="preserve">Подрядчик обеспечивает персонал спецодеждой и средствами индивидуальной защиты, согласно требований ТБ и установленных норм и правил.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spacing w:after="0" w:before="0"/>
              <w:ind/>
              <w:jc w:val="left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177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718"/>
              <w:widowControl w:val="false"/>
              <w:pBdr/>
              <w:spacing w:after="60" w:before="60"/>
              <w:ind w:firstLine="0" w:left="5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ru-RU" w:bidi="ar-SA"/>
              </w:rPr>
              <w:t xml:space="preserve">2</w:t>
            </w:r>
            <w:r>
              <w:rPr>
                <w:rFonts w:eastAsia="Calibri"/>
                <w:b/>
                <w:sz w:val="24"/>
                <w:szCs w:val="24"/>
                <w:lang w:val="ru-RU" w:bidi="ar-SA"/>
              </w:rPr>
              <w:t xml:space="preserve">.3.</w:t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2523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spacing w:after="0" w:before="0"/>
              <w:ind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 w:bidi="ar-SA"/>
              </w:rPr>
              <w:t xml:space="preserve">Требования к выполнению работ.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/>
            <w:tcW w:w="4677" w:type="dxa"/>
            <w:textDirection w:val="lrTb"/>
            <w:noWrap w:val="false"/>
          </w:tcPr>
          <w:p>
            <w:pPr>
              <w:pStyle w:val="718"/>
              <w:widowControl w:val="false"/>
              <w:pBdr/>
              <w:spacing w:after="0" w:before="0"/>
              <w:ind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Выдерживание графика производства работ и обеспечение выполнения полного комплекса пуско-наладочных работ.</w:t>
            </w:r>
            <w:r>
              <w:rPr>
                <w:sz w:val="22"/>
                <w:szCs w:val="22"/>
              </w:rPr>
            </w:r>
          </w:p>
          <w:p>
            <w:pPr>
              <w:pStyle w:val="718"/>
              <w:widowControl w:val="false"/>
              <w:pBdr/>
              <w:spacing w:after="0" w:before="0"/>
              <w:ind/>
              <w:jc w:val="lef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Выполнение работ производить в соответствии с требованиями на капитальный ремонт завода – изготовителя, программы приемо-сдаточных испытаний по ГОСТ 10448-2014.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718"/>
              <w:keepNext w:val="true"/>
              <w:widowControl w:val="false"/>
              <w:pBdr/>
              <w:spacing w:after="60" w:before="60"/>
              <w:ind/>
              <w:jc w:val="left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718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177" w:type="dxa"/>
            <w:textDirection w:val="lrTb"/>
            <w:noWrap w:val="false"/>
          </w:tcPr>
          <w:p>
            <w:pPr>
              <w:pStyle w:val="718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18"/>
              <w:widowControl w:val="false"/>
              <w:pBdr/>
              <w:spacing w:after="60" w:before="60"/>
              <w:ind w:firstLine="0" w:left="5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2.4</w:t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</w:tcBorders>
            <w:tcW w:w="2523" w:type="dxa"/>
            <w:textDirection w:val="lrTb"/>
            <w:noWrap w:val="false"/>
          </w:tcPr>
          <w:p>
            <w:pPr>
              <w:pStyle w:val="718"/>
              <w:widowControl w:val="true"/>
              <w:pBdr/>
              <w:spacing w:after="0" w:before="0"/>
              <w:ind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Требования к наличию и предоставлению документов подтверждающие квалификацию ремонтного персонала 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718"/>
              <w:widowControl w:val="true"/>
              <w:pBdr/>
              <w:spacing w:after="0" w:before="0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Участникам в составе заявки необходимо предоставить  документы подтверждающие квалификацию персонала на ремонт и диагностику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718"/>
              <w:widowControl w:val="true"/>
              <w:pBdr/>
              <w:spacing w:after="0" w:before="0"/>
              <w:ind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718"/>
              <w:widowControl w:val="true"/>
              <w:pBdr/>
              <w:spacing w:after="0" w:before="0"/>
              <w:ind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</w:tcBorders>
            <w:tcW w:w="2410" w:type="dxa"/>
            <w:textDirection w:val="lrTb"/>
            <w:noWrap w:val="false"/>
          </w:tcPr>
          <w:p>
            <w:pPr>
              <w:pStyle w:val="718"/>
              <w:widowControl w:val="true"/>
              <w:pBdr/>
              <w:spacing w:after="0" w:before="0"/>
              <w:ind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bidi="ar-SA"/>
              </w:rPr>
              <w:t xml:space="preserve">Предоставить сертификаты по эксплуатации и настройки систем, методов устранения неполадок и ремонта двигателей Caterpillar, а также на плановое техническое обслуживание и ремонт выданные  официальным учебным центром Caterpillar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</w:tcBorders>
            <w:tcW w:w="2177" w:type="dxa"/>
            <w:textDirection w:val="lrTb"/>
            <w:noWrap w:val="false"/>
          </w:tcPr>
          <w:p>
            <w:pPr>
              <w:pStyle w:val="718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718"/>
        <w:pBdr/>
        <w:spacing/>
        <w:ind/>
        <w:rPr/>
      </w:pPr>
      <w:r/>
      <w:r/>
    </w:p>
    <w:p>
      <w:pPr>
        <w:pStyle w:val="718"/>
        <w:pBdr/>
        <w:spacing w:after="0" w:before="0"/>
        <w:ind/>
        <w:contextualSpacing w:val="true"/>
        <w:rPr>
          <w:rFonts w:eastAsia="Calibri"/>
          <w:b/>
          <w:sz w:val="24"/>
          <w:szCs w:val="24"/>
        </w:rPr>
      </w:pPr>
      <w:r/>
      <w:r>
        <w:rPr>
          <w:rFonts w:eastAsia="Calibri"/>
          <w:b/>
          <w:sz w:val="24"/>
          <w:szCs w:val="24"/>
        </w:rPr>
      </w:r>
    </w:p>
    <w:p>
      <w:pPr>
        <w:pStyle w:val="718"/>
        <w:pBdr/>
        <w:spacing/>
        <w:ind/>
        <w:rPr/>
      </w:pPr>
      <w:r/>
      <w:r/>
    </w:p>
    <w:p>
      <w:pPr>
        <w:pStyle w:val="718"/>
        <w:pBdr/>
        <w:spacing w:after="120" w:before="0"/>
        <w:ind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Приложение №1: Регламент</w:t>
      </w:r>
      <w:r>
        <w:rPr>
          <w:rFonts w:eastAsia="Arial Unicode MS"/>
          <w:bCs/>
          <w:sz w:val="24"/>
          <w:szCs w:val="24"/>
        </w:rPr>
        <w:t xml:space="preserve"> допуска подрядных организаций и командированного персонала на объекты АО «Сахаэнерго» ИСМ РГ-00-017.03-23.</w:t>
      </w:r>
      <w:r>
        <w:rPr>
          <w:bCs/>
          <w:sz w:val="24"/>
          <w:szCs w:val="24"/>
        </w:rPr>
      </w:r>
    </w:p>
    <w:p>
      <w:pPr>
        <w:pStyle w:val="718"/>
        <w:pBdr/>
        <w:spacing w:after="120" w:before="0"/>
        <w:ind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 xml:space="preserve">Приложение №</w:t>
      </w:r>
      <w:r>
        <w:rPr>
          <w:rFonts w:eastAsia="Arial Unicode MS"/>
          <w:sz w:val="24"/>
          <w:szCs w:val="24"/>
        </w:rPr>
        <w:t xml:space="preserve">2</w:t>
      </w:r>
      <w:r>
        <w:rPr>
          <w:rFonts w:eastAsia="Arial Unicode MS"/>
          <w:sz w:val="24"/>
          <w:szCs w:val="24"/>
        </w:rPr>
        <w:t xml:space="preserve">: Программа приёмо-сдаточных испытаний дизель-генераторых агрегатов.</w:t>
      </w:r>
      <w:r>
        <w:rPr>
          <w:rFonts w:eastAsia="Arial Unicode MS"/>
          <w:sz w:val="24"/>
          <w:szCs w:val="24"/>
        </w:rPr>
      </w:r>
    </w:p>
    <w:p>
      <w:pPr>
        <w:pStyle w:val="718"/>
        <w:pBdr/>
        <w:spacing w:after="120" w:before="0"/>
        <w:ind/>
        <w:rPr>
          <w:sz w:val="24"/>
          <w:szCs w:val="24"/>
        </w:rPr>
      </w:pPr>
      <w:r/>
      <w:r>
        <w:rPr>
          <w:sz w:val="24"/>
          <w:szCs w:val="24"/>
        </w:rPr>
      </w:r>
    </w:p>
    <w:sectPr>
      <w:headerReference w:type="default" r:id="rId12"/>
      <w:headerReference w:type="first" r:id="rId13"/>
      <w:footnotePr/>
      <w:endnotePr/>
      <w:type w:val="nextPage"/>
      <w:pgSz w:h="11906" w:orient="landscape" w:w="16838"/>
      <w:pgMar w:top="1134" w:right="1134" w:bottom="709" w:left="992" w:header="680" w:footer="0" w:gutter="0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 (Заголовки)">
    <w:panose1 w:val="020F0502020204030204"/>
  </w:font>
  <w:font w:name="Lohit Devanagari">
    <w:panose1 w:val="020B0600000000000000"/>
  </w:font>
  <w:font w:name="Liberation Sans">
    <w:panose1 w:val="020B0604020202020204"/>
  </w:font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8"/>
      <w:pBdr/>
      <w:spacing/>
      <w:ind/>
      <w:jc w:val="center"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8"/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748"/>
                            <w:pBdr/>
                            <w:spacing/>
                            <w:ind/>
                            <w:rPr>
                              <w:rStyle w:val="732"/>
                            </w:rPr>
                          </w:pPr>
                          <w:r>
                            <w:rPr>
                              <w:rStyle w:val="732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732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732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732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732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732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2;o:allowoverlap:true;o:allowincell:false;mso-position-horizontal-relative:margin;mso-position-horizontal:center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748"/>
                      <w:pBdr/>
                      <w:spacing/>
                      <w:ind/>
                      <w:rPr>
                        <w:rStyle w:val="732"/>
                      </w:rPr>
                    </w:pPr>
                    <w:r>
                      <w:rPr>
                        <w:rStyle w:val="732"/>
                        <w:color w:val="000000"/>
                      </w:rPr>
                      <w:fldChar w:fldCharType="begin"/>
                    </w:r>
                    <w:r>
                      <w:rPr>
                        <w:rStyle w:val="732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732"/>
                        <w:color w:val="000000"/>
                      </w:rPr>
                      <w:fldChar w:fldCharType="separate"/>
                    </w:r>
                    <w:r>
                      <w:rPr>
                        <w:rStyle w:val="732"/>
                        <w:color w:val="000000"/>
                      </w:rPr>
                      <w:t xml:space="preserve">0</w:t>
                    </w:r>
                    <w:r>
                      <w:rPr>
                        <w:rStyle w:val="732"/>
                        <w:color w:val="000000"/>
                      </w:rPr>
                      <w:fldChar w:fldCharType="end"/>
                    </w:r>
                    <w:r>
                      <w:rPr>
                        <w:rStyle w:val="732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8"/>
      <w:pBdr/>
      <w:spacing/>
      <w:ind/>
      <w:jc w:val="center"/>
      <w:rPr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8"/>
      <w:pBdr/>
      <w:spacing/>
      <w:ind/>
      <w:jc w:val="center"/>
      <w:rPr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8"/>
      <w:pBdr/>
      <w:spacing/>
      <w:ind/>
      <w:jc w:val="center"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5038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8"/>
        <w:szCs w:val="28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432"/>
      </w:pPr>
      <w:rPr>
        <w:b/>
        <w:bCs/>
        <w:i w:val="0"/>
        <w:iCs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pStyle w:val="721"/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>
        <w:b/>
        <w:bCs w:val="0"/>
        <w:sz w:val="24"/>
        <w:szCs w:val="24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1000"/>
      </w:pPr>
      <w:rPr>
        <w:b w:val="0"/>
        <w:bCs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>
        <w:sz w:val="24"/>
        <w:szCs w:val="24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pStyle w:val="755"/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357"/>
        </w:tabs>
        <w:spacing/>
        <w:ind w:firstLine="0" w:left="0"/>
      </w:pPr>
      <w:pStyle w:val="756"/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520"/>
        </w:tabs>
        <w:spacing/>
        <w:ind w:firstLine="0" w:left="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397"/>
        </w:tabs>
        <w:spacing/>
        <w:ind w:hanging="397" w:left="754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794"/>
        </w:tabs>
        <w:spacing/>
        <w:ind w:hanging="397" w:left="1151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191"/>
        </w:tabs>
        <w:spacing/>
        <w:ind w:hanging="397" w:left="154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588"/>
        </w:tabs>
        <w:spacing/>
        <w:ind w:hanging="397" w:left="1945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1985"/>
        </w:tabs>
        <w:spacing/>
        <w:ind w:hanging="397" w:left="2342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381"/>
        </w:tabs>
        <w:spacing/>
        <w:ind w:hanging="397" w:left="273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778"/>
        </w:tabs>
        <w:spacing/>
        <w:ind w:hanging="397" w:left="3135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175"/>
        </w:tabs>
        <w:spacing/>
        <w:ind w:hanging="397" w:left="3532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572"/>
        </w:tabs>
        <w:spacing/>
        <w:ind w:hanging="397" w:left="3929"/>
      </w:pPr>
      <w:rPr/>
      <w:start w:val="1"/>
      <w:suff w:val="tab"/>
    </w:lvl>
  </w:abstractNum>
  <w:abstractNum w:abstractNumId="6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 Light"/>
    <w:basedOn w:val="76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76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76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2">
    <w:name w:val="Heading 5"/>
    <w:basedOn w:val="718"/>
    <w:next w:val="71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718"/>
    <w:next w:val="718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718"/>
    <w:next w:val="71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718"/>
    <w:next w:val="718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718"/>
    <w:next w:val="718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723"/>
    <w:link w:val="71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723"/>
    <w:link w:val="72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723"/>
    <w:link w:val="72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723"/>
    <w:link w:val="72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723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723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723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723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723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718"/>
    <w:next w:val="718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723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718"/>
    <w:next w:val="718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723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718"/>
    <w:next w:val="718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723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72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718"/>
    <w:next w:val="718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723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72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718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72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Strong"/>
    <w:basedOn w:val="723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72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72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6">
    <w:name w:val="Header Char"/>
    <w:basedOn w:val="723"/>
    <w:link w:val="748"/>
    <w:uiPriority w:val="99"/>
    <w:pPr>
      <w:pBdr/>
      <w:spacing/>
      <w:ind/>
    </w:pPr>
  </w:style>
  <w:style w:type="character" w:styleId="178">
    <w:name w:val="Footer Char"/>
    <w:basedOn w:val="723"/>
    <w:link w:val="758"/>
    <w:uiPriority w:val="99"/>
    <w:pPr>
      <w:pBdr/>
      <w:spacing/>
      <w:ind/>
    </w:pPr>
  </w:style>
  <w:style w:type="character" w:styleId="181">
    <w:name w:val="Footnote Text Char"/>
    <w:basedOn w:val="723"/>
    <w:link w:val="746"/>
    <w:uiPriority w:val="99"/>
    <w:semiHidden/>
    <w:pPr>
      <w:pBdr/>
      <w:spacing/>
      <w:ind/>
    </w:pPr>
    <w:rPr>
      <w:sz w:val="20"/>
      <w:szCs w:val="20"/>
    </w:rPr>
  </w:style>
  <w:style w:type="paragraph" w:styleId="183">
    <w:name w:val="endnote text"/>
    <w:basedOn w:val="718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723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723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FollowedHyperlink"/>
    <w:basedOn w:val="72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718"/>
    <w:next w:val="718"/>
    <w:uiPriority w:val="99"/>
    <w:unhideWhenUsed/>
    <w:pPr>
      <w:pBdr/>
      <w:spacing w:after="0" w:afterAutospacing="0"/>
      <w:ind/>
    </w:pPr>
  </w:style>
  <w:style w:type="paragraph" w:styleId="718" w:default="1">
    <w:name w:val="Normal"/>
    <w:qFormat/>
    <w:pPr>
      <w:widowControl w:val="true"/>
      <w:pBdr/>
      <w:bidi w:val="false"/>
      <w:spacing w:after="0" w:before="0" w:line="240" w:lineRule="auto"/>
      <w:ind/>
      <w:jc w:val="left"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719">
    <w:name w:val="Heading 1"/>
    <w:basedOn w:val="721"/>
    <w:next w:val="718"/>
    <w:link w:val="724"/>
    <w:qFormat/>
    <w:pPr>
      <w:pBdr/>
      <w:spacing/>
      <w:ind/>
      <w:outlineLvl w:val="0"/>
    </w:pPr>
    <w:rPr>
      <w:sz w:val="28"/>
      <w:szCs w:val="28"/>
    </w:rPr>
  </w:style>
  <w:style w:type="paragraph" w:styleId="720">
    <w:name w:val="Heading 2"/>
    <w:basedOn w:val="722"/>
    <w:next w:val="718"/>
    <w:link w:val="725"/>
    <w:qFormat/>
    <w:pPr>
      <w:pBdr/>
      <w:spacing/>
      <w:ind/>
      <w:outlineLvl w:val="1"/>
    </w:pPr>
  </w:style>
  <w:style w:type="paragraph" w:styleId="721">
    <w:name w:val="Heading 3"/>
    <w:basedOn w:val="718"/>
    <w:next w:val="718"/>
    <w:link w:val="726"/>
    <w:qFormat/>
    <w:pPr>
      <w:keepNext w:val="true"/>
      <w:numPr>
        <w:ilvl w:val="2"/>
        <w:numId w:val="1"/>
      </w:numPr>
      <w:pBdr/>
      <w:spacing w:after="60" w:before="240"/>
      <w:ind w:hanging="505" w:left="1225"/>
      <w:outlineLvl w:val="2"/>
    </w:pPr>
    <w:rPr>
      <w:rFonts w:eastAsia="Calibri"/>
      <w:b/>
      <w:sz w:val="24"/>
      <w:szCs w:val="24"/>
    </w:rPr>
  </w:style>
  <w:style w:type="paragraph" w:styleId="722">
    <w:name w:val="Heading 4"/>
    <w:basedOn w:val="721"/>
    <w:next w:val="718"/>
    <w:link w:val="727"/>
    <w:qFormat/>
    <w:pPr>
      <w:pBdr/>
      <w:spacing/>
      <w:ind/>
      <w:outlineLvl w:val="3"/>
    </w:pPr>
    <w:rPr>
      <w:bCs/>
    </w:rPr>
  </w:style>
  <w:style w:type="character" w:styleId="723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724" w:customStyle="1">
    <w:name w:val="Заголовок 1 Знак"/>
    <w:basedOn w:val="723"/>
    <w:qFormat/>
    <w:pPr>
      <w:pBdr/>
      <w:spacing/>
      <w:ind/>
    </w:pPr>
    <w:rPr>
      <w:rFonts w:ascii="Times New Roman" w:hAnsi="Times New Roman" w:eastAsia="Calibri" w:cs="Times New Roman"/>
      <w:b/>
      <w:sz w:val="28"/>
      <w:szCs w:val="28"/>
    </w:rPr>
  </w:style>
  <w:style w:type="character" w:styleId="725" w:customStyle="1">
    <w:name w:val="Заголовок 2 Знак"/>
    <w:basedOn w:val="723"/>
    <w:qFormat/>
    <w:pPr>
      <w:pBdr/>
      <w:spacing/>
      <w:ind/>
    </w:pPr>
    <w:rPr>
      <w:rFonts w:ascii="Times New Roman" w:hAnsi="Times New Roman" w:eastAsia="Calibri" w:cs="Times New Roman"/>
      <w:b/>
      <w:bCs/>
      <w:sz w:val="24"/>
      <w:szCs w:val="24"/>
    </w:rPr>
  </w:style>
  <w:style w:type="character" w:styleId="726" w:customStyle="1">
    <w:name w:val="Заголовок 3 Знак"/>
    <w:basedOn w:val="723"/>
    <w:qFormat/>
    <w:pPr>
      <w:pBdr/>
      <w:spacing/>
      <w:ind/>
    </w:pPr>
    <w:rPr>
      <w:rFonts w:ascii="Times New Roman" w:hAnsi="Times New Roman" w:eastAsia="Calibri" w:cs="Times New Roman"/>
      <w:b/>
      <w:sz w:val="24"/>
      <w:szCs w:val="24"/>
    </w:rPr>
  </w:style>
  <w:style w:type="character" w:styleId="727" w:customStyle="1">
    <w:name w:val="Заголовок 4 Знак"/>
    <w:basedOn w:val="723"/>
    <w:qFormat/>
    <w:pPr>
      <w:pBdr/>
      <w:spacing/>
      <w:ind/>
    </w:pPr>
    <w:rPr>
      <w:rFonts w:ascii="Times New Roman" w:hAnsi="Times New Roman" w:eastAsia="Calibri" w:cs="Times New Roman"/>
      <w:b/>
      <w:bCs/>
      <w:sz w:val="24"/>
      <w:szCs w:val="24"/>
    </w:rPr>
  </w:style>
  <w:style w:type="character" w:styleId="728" w:customStyle="1">
    <w:name w:val="Текст сноски Знак"/>
    <w:basedOn w:val="723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729">
    <w:name w:val="Символ сноски"/>
    <w:qFormat/>
    <w:pPr>
      <w:pBdr/>
      <w:spacing/>
      <w:ind/>
    </w:pPr>
    <w:rPr>
      <w:vertAlign w:val="superscript"/>
    </w:rPr>
  </w:style>
  <w:style w:type="character" w:styleId="730">
    <w:name w:val="footnote reference"/>
    <w:pPr>
      <w:pBdr/>
      <w:spacing/>
      <w:ind/>
    </w:pPr>
    <w:rPr>
      <w:vertAlign w:val="superscript"/>
    </w:rPr>
  </w:style>
  <w:style w:type="character" w:styleId="731" w:customStyle="1">
    <w:name w:val="Верхний колонтитул Знак"/>
    <w:basedOn w:val="723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32">
    <w:name w:val="page number"/>
    <w:basedOn w:val="723"/>
    <w:qFormat/>
    <w:pPr>
      <w:pBdr/>
      <w:spacing/>
      <w:ind/>
    </w:pPr>
  </w:style>
  <w:style w:type="character" w:styleId="733">
    <w:name w:val="Hyperlink"/>
    <w:uiPriority w:val="99"/>
    <w:pPr>
      <w:pBdr/>
      <w:spacing/>
      <w:ind/>
    </w:pPr>
    <w:rPr>
      <w:color w:val="0000ff"/>
      <w:u w:val="single"/>
    </w:rPr>
  </w:style>
  <w:style w:type="character" w:styleId="734" w:customStyle="1">
    <w:name w:val="Абзац списка Знак"/>
    <w:link w:val="752"/>
    <w:uiPriority w:val="34"/>
    <w:qFormat/>
    <w:pPr>
      <w:pBdr/>
      <w:spacing/>
      <w:ind/>
    </w:pPr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735" w:customStyle="1">
    <w:name w:val="комментарий"/>
    <w:qFormat/>
    <w:pPr>
      <w:pBdr/>
      <w:spacing/>
      <w:ind/>
    </w:pPr>
    <w:rPr>
      <w:b/>
      <w:i/>
      <w:shd w:val="clear" w:color="auto" w:fill="ffff99"/>
    </w:rPr>
  </w:style>
  <w:style w:type="character" w:styleId="736" w:customStyle="1">
    <w:name w:val="Текст выноски Знак"/>
    <w:basedOn w:val="723"/>
    <w:link w:val="757"/>
    <w:uiPriority w:val="99"/>
    <w:semiHidden/>
    <w:qFormat/>
    <w:pPr>
      <w:pBdr/>
      <w:spacing/>
      <w:ind/>
    </w:pPr>
    <w:rPr>
      <w:rFonts w:ascii="Tahoma" w:hAnsi="Tahoma" w:eastAsia="Times New Roman" w:cs="Tahoma"/>
      <w:sz w:val="16"/>
      <w:szCs w:val="16"/>
      <w:lang w:eastAsia="ru-RU"/>
    </w:rPr>
  </w:style>
  <w:style w:type="character" w:styleId="737">
    <w:name w:val="Emphasis"/>
    <w:basedOn w:val="723"/>
    <w:uiPriority w:val="20"/>
    <w:qFormat/>
    <w:pPr>
      <w:pBdr/>
      <w:spacing/>
      <w:ind/>
    </w:pPr>
    <w:rPr>
      <w:i/>
      <w:iCs/>
    </w:rPr>
  </w:style>
  <w:style w:type="character" w:styleId="738" w:customStyle="1">
    <w:name w:val="Нижний колонтитул Знак"/>
    <w:basedOn w:val="723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739">
    <w:name w:val="Ссылка указателя"/>
    <w:qFormat/>
    <w:pPr>
      <w:pBdr/>
      <w:spacing/>
      <w:ind/>
    </w:pPr>
  </w:style>
  <w:style w:type="character" w:styleId="740">
    <w:name w:val="Символ нумерации"/>
    <w:qFormat/>
    <w:pPr>
      <w:pBdr/>
      <w:spacing/>
      <w:ind/>
    </w:pPr>
  </w:style>
  <w:style w:type="paragraph" w:styleId="741">
    <w:name w:val="Заголовок"/>
    <w:basedOn w:val="718"/>
    <w:next w:val="742"/>
    <w:qFormat/>
    <w:pPr>
      <w:keepNext w:val="true"/>
      <w:pBdr/>
      <w:spacing w:after="120" w:before="240"/>
      <w:ind/>
    </w:pPr>
    <w:rPr>
      <w:rFonts w:ascii="Liberation Sans" w:hAnsi="Liberation Sans" w:eastAsia="Tahoma" w:cs="Lohit Devanagari"/>
      <w:sz w:val="28"/>
      <w:szCs w:val="28"/>
    </w:rPr>
  </w:style>
  <w:style w:type="paragraph" w:styleId="742">
    <w:name w:val="Body Text"/>
    <w:basedOn w:val="718"/>
    <w:pPr>
      <w:pBdr/>
      <w:spacing w:after="140" w:before="0" w:line="276" w:lineRule="auto"/>
      <w:ind/>
    </w:pPr>
  </w:style>
  <w:style w:type="paragraph" w:styleId="743">
    <w:name w:val="List"/>
    <w:basedOn w:val="742"/>
    <w:pPr>
      <w:pBdr/>
      <w:spacing/>
      <w:ind/>
    </w:pPr>
    <w:rPr>
      <w:rFonts w:cs="Lohit Devanagari"/>
    </w:rPr>
  </w:style>
  <w:style w:type="paragraph" w:styleId="744">
    <w:name w:val="Caption"/>
    <w:basedOn w:val="718"/>
    <w:qFormat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745">
    <w:name w:val="Указатель"/>
    <w:basedOn w:val="718"/>
    <w:qFormat/>
    <w:pPr>
      <w:suppressLineNumbers w:val="true"/>
      <w:pBdr/>
      <w:spacing/>
      <w:ind/>
    </w:pPr>
    <w:rPr>
      <w:rFonts w:cs="Lohit Devanagari"/>
    </w:rPr>
  </w:style>
  <w:style w:type="paragraph" w:styleId="746">
    <w:name w:val="footnote text"/>
    <w:basedOn w:val="718"/>
    <w:link w:val="728"/>
    <w:uiPriority w:val="99"/>
    <w:pPr>
      <w:pBdr/>
      <w:spacing/>
      <w:ind/>
    </w:pPr>
    <w:rPr>
      <w:sz w:val="20"/>
      <w:szCs w:val="20"/>
    </w:rPr>
  </w:style>
  <w:style w:type="paragraph" w:styleId="747">
    <w:name w:val="Колонтитул"/>
    <w:basedOn w:val="718"/>
    <w:qFormat/>
    <w:pPr>
      <w:pBdr/>
      <w:spacing/>
      <w:ind/>
    </w:pPr>
  </w:style>
  <w:style w:type="paragraph" w:styleId="748">
    <w:name w:val="Header"/>
    <w:basedOn w:val="718"/>
    <w:link w:val="731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  <w:rPr>
      <w:sz w:val="24"/>
      <w:szCs w:val="24"/>
    </w:rPr>
  </w:style>
  <w:style w:type="paragraph" w:styleId="749">
    <w:name w:val="TOC 1"/>
    <w:basedOn w:val="718"/>
    <w:next w:val="718"/>
    <w:uiPriority w:val="39"/>
    <w:pPr>
      <w:pBdr/>
      <w:spacing w:after="0" w:before="120"/>
      <w:ind/>
    </w:pPr>
    <w:rPr>
      <w:rFonts w:cs="Calibri Light (Заголовки)"/>
      <w:b/>
      <w:bCs/>
      <w:sz w:val="24"/>
      <w:szCs w:val="24"/>
    </w:rPr>
  </w:style>
  <w:style w:type="paragraph" w:styleId="750">
    <w:name w:val="TOC 3"/>
    <w:basedOn w:val="718"/>
    <w:next w:val="718"/>
    <w:uiPriority w:val="39"/>
    <w:pPr>
      <w:pBdr/>
      <w:tabs>
        <w:tab w:val="clear" w:leader="none" w:pos="708"/>
        <w:tab w:val="left" w:leader="none" w:pos="1100"/>
        <w:tab w:val="right" w:leader="dot" w:pos="10053"/>
      </w:tabs>
      <w:spacing/>
      <w:ind w:hanging="567" w:left="567"/>
    </w:pPr>
    <w:rPr>
      <w:rFonts w:cs="Calibri" w:cstheme="minorHAnsi"/>
      <w:sz w:val="20"/>
      <w:szCs w:val="20"/>
    </w:rPr>
  </w:style>
  <w:style w:type="paragraph" w:styleId="751">
    <w:name w:val="TOC 4"/>
    <w:basedOn w:val="718"/>
    <w:next w:val="718"/>
    <w:uiPriority w:val="39"/>
    <w:pPr>
      <w:pBdr/>
      <w:spacing/>
      <w:ind w:firstLine="0" w:left="560"/>
    </w:pPr>
    <w:rPr>
      <w:rFonts w:cs="Calibri" w:cstheme="minorHAnsi"/>
      <w:sz w:val="20"/>
      <w:szCs w:val="20"/>
    </w:rPr>
  </w:style>
  <w:style w:type="paragraph" w:styleId="752">
    <w:name w:val="List Paragraph"/>
    <w:basedOn w:val="718"/>
    <w:link w:val="734"/>
    <w:uiPriority w:val="34"/>
    <w:qFormat/>
    <w:pPr>
      <w:pBdr/>
      <w:spacing w:after="0" w:before="0"/>
      <w:ind w:firstLine="0" w:left="720"/>
      <w:contextualSpacing w:val="true"/>
    </w:pPr>
    <w:rPr>
      <w:rFonts w:eastAsia="Calibri"/>
      <w:sz w:val="24"/>
      <w:szCs w:val="24"/>
    </w:rPr>
  </w:style>
  <w:style w:type="paragraph" w:styleId="753" w:customStyle="1">
    <w:name w:val="Таблица"/>
    <w:basedOn w:val="718"/>
    <w:qFormat/>
    <w:pPr>
      <w:keepNext w:val="true"/>
      <w:pBdr/>
      <w:spacing w:after="60" w:before="60"/>
      <w:ind/>
      <w:jc w:val="center"/>
    </w:pPr>
    <w:rPr>
      <w:rFonts w:eastAsia="Calibri"/>
      <w:b/>
      <w:sz w:val="24"/>
      <w:szCs w:val="24"/>
    </w:rPr>
  </w:style>
  <w:style w:type="paragraph" w:styleId="754" w:customStyle="1">
    <w:name w:val="Таблица шапка"/>
    <w:basedOn w:val="718"/>
    <w:qFormat/>
    <w:pPr>
      <w:keepNext w:val="true"/>
      <w:pBdr/>
      <w:spacing w:after="40" w:before="40"/>
      <w:ind w:right="57" w:firstLine="0" w:left="57"/>
    </w:pPr>
    <w:rPr>
      <w:sz w:val="22"/>
      <w:szCs w:val="26"/>
    </w:rPr>
  </w:style>
  <w:style w:type="paragraph" w:styleId="755" w:customStyle="1">
    <w:name w:val="Раздел положения"/>
    <w:basedOn w:val="718"/>
    <w:qFormat/>
    <w:pPr>
      <w:numPr>
        <w:ilvl w:val="0"/>
        <w:numId w:val="5"/>
      </w:numPr>
      <w:pBdr/>
      <w:spacing w:after="80" w:before="80"/>
      <w:ind/>
      <w:jc w:val="center"/>
    </w:pPr>
    <w:rPr>
      <w:b/>
      <w:sz w:val="32"/>
      <w:szCs w:val="32"/>
    </w:rPr>
  </w:style>
  <w:style w:type="paragraph" w:styleId="756" w:customStyle="1">
    <w:name w:val="Подраздел раздела положения"/>
    <w:basedOn w:val="718"/>
    <w:qFormat/>
    <w:pPr>
      <w:numPr>
        <w:ilvl w:val="1"/>
        <w:numId w:val="5"/>
      </w:numPr>
      <w:pBdr/>
      <w:spacing w:after="80" w:before="80"/>
      <w:ind/>
      <w:jc w:val="both"/>
    </w:pPr>
  </w:style>
  <w:style w:type="paragraph" w:styleId="757">
    <w:name w:val="Balloon Text"/>
    <w:basedOn w:val="718"/>
    <w:link w:val="736"/>
    <w:uiPriority w:val="99"/>
    <w:semiHidden/>
    <w:unhideWhenUsed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758">
    <w:name w:val="Footer"/>
    <w:basedOn w:val="718"/>
    <w:link w:val="738"/>
    <w:uiPriority w:val="99"/>
    <w:unhideWhenUsed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</w:style>
  <w:style w:type="paragraph" w:styleId="759">
    <w:name w:val="Содержимое врезки"/>
    <w:basedOn w:val="718"/>
    <w:qFormat/>
    <w:pPr>
      <w:pBdr/>
      <w:spacing/>
      <w:ind/>
    </w:pPr>
  </w:style>
  <w:style w:type="paragraph" w:styleId="760">
    <w:name w:val="Содержимое таблицы"/>
    <w:basedOn w:val="718"/>
    <w:qFormat/>
    <w:pPr>
      <w:widowControl w:val="false"/>
      <w:suppressLineNumbers w:val="true"/>
      <w:pBdr/>
      <w:spacing/>
      <w:ind/>
    </w:pPr>
  </w:style>
  <w:style w:type="paragraph" w:styleId="761">
    <w:name w:val="Заголовок таблицы"/>
    <w:basedOn w:val="760"/>
    <w:qFormat/>
    <w:pPr>
      <w:suppressLineNumbers w:val="true"/>
      <w:pBdr/>
      <w:spacing/>
      <w:ind/>
      <w:jc w:val="center"/>
    </w:pPr>
    <w:rPr>
      <w:b/>
      <w:bCs/>
    </w:rPr>
  </w:style>
  <w:style w:type="numbering" w:styleId="762" w:default="1">
    <w:name w:val="No List"/>
    <w:uiPriority w:val="99"/>
    <w:semiHidden/>
    <w:unhideWhenUsed/>
    <w:qFormat/>
    <w:pPr>
      <w:pBdr/>
      <w:spacing/>
      <w:ind/>
    </w:pPr>
  </w:style>
  <w:style w:type="numbering" w:styleId="763">
    <w:name w:val="Нумерованный 123"/>
    <w:qFormat/>
    <w:pPr>
      <w:pBdr/>
      <w:spacing/>
      <w:ind/>
    </w:pPr>
  </w:style>
  <w:style w:type="table" w:styleId="764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Table Grid"/>
    <w:basedOn w:val="764"/>
    <w:uiPriority w:val="39"/>
    <w:pPr>
      <w:pBdr/>
      <w:spacing w:after="0" w:line="240" w:lineRule="auto"/>
      <w:ind/>
    </w:pPr>
    <w:rPr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Таллаева Акулина Николаевна</dc:creator>
  <dc:description/>
  <dc:language>ru-RU</dc:language>
  <cp:revision>30</cp:revision>
  <dcterms:created xsi:type="dcterms:W3CDTF">2023-08-01T05:36:00Z</dcterms:created>
  <dcterms:modified xsi:type="dcterms:W3CDTF">2026-09-11T01:05:36Z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