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media/image4.wmf" ContentType="image/x-wmf"/>
  <Override PartName="/word/media/image3.wmf" ContentType="image/x-wmf"/>
  <Override PartName="/word/media/image6.wmf" ContentType="image/x-wmf"/>
  <Override PartName="/word/media/image1.wmf" ContentType="image/x-wmf"/>
  <Override PartName="/word/media/image5.wmf" ContentType="image/x-wmf"/>
  <Override PartName="/word/media/image2.wmf" ContentType="image/x-wmf"/>
  <Override PartName="/word/footer2.xml" ContentType="application/vnd.openxmlformats-officedocument.wordprocessingml.footer+xml"/>
  <Override PartName="/word/embeddings/oleObject4.xlsx" ContentType="application/vnd.openxmlformats-officedocument.spreadsheetml.sheet"/>
  <Override PartName="/word/embeddings/oleObject3.bin" ContentType="application/vnd.openxmlformats-officedocument.oleObject"/>
  <Override PartName="/word/embeddings/oleObject6.bin" ContentType="application/vnd.openxmlformats-officedocument.oleObject"/>
  <Override PartName="/word/embeddings/oleObject1.xlsx" ContentType="application/vnd.openxmlformats-officedocument.spreadsheetml.sheet"/>
  <Override PartName="/word/embeddings/oleObject5.xlsx" ContentType="application/vnd.openxmlformats-officedocument.spreadsheetml.sheet"/>
  <Override PartName="/word/embeddings/oleObject2.bin" ContentType="application/vnd.openxmlformats-officedocument.oleObject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4.xml" ContentType="application/vnd.openxmlformats-officedocument.wordprocessingml.header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5400" w:after="0"/>
        <w:jc w:val="center"/>
        <w:rPr>
          <w:rFonts w:ascii="Times New Roman" w:hAnsi="Times New Roman" w:eastAsia="Calibri" w:cs="Times New Roman"/>
          <w:b/>
          <w:cap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caps/>
          <w:sz w:val="24"/>
          <w:szCs w:val="24"/>
          <w:lang w:eastAsia="ru-RU"/>
        </w:rPr>
        <w:t>Технические требования на поставку МТР</w:t>
      </w:r>
    </w:p>
    <w:p>
      <w:pPr>
        <w:pStyle w:val="Normal"/>
        <w:widowControl w:val="false"/>
        <w:spacing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Hlk198101234"/>
      <w:r>
        <w:rPr>
          <w:rFonts w:cs="Times New Roman" w:ascii="Times New Roman" w:hAnsi="Times New Roman"/>
          <w:caps/>
          <w:sz w:val="24"/>
          <w:szCs w:val="24"/>
        </w:rPr>
        <w:t>ОКПД2 28.99.39.190 поставка оборудования АРМ для создания автоматизированной системы управления технологическим процессом Якутской ГРЭС Новая</w:t>
      </w:r>
      <w:bookmarkEnd w:id="0"/>
      <w:r>
        <w:rPr>
          <w:rFonts w:cs="Times New Roman" w:ascii="Times New Roman" w:hAnsi="Times New Roman"/>
          <w:caps/>
          <w:sz w:val="24"/>
          <w:szCs w:val="24"/>
        </w:rPr>
        <w:t xml:space="preserve"> в г. ЯкутскЕ Республики Саха (Якутия)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b/>
          <w:caps/>
          <w:sz w:val="24"/>
          <w:szCs w:val="24"/>
          <w:lang w:eastAsia="ru-RU"/>
        </w:rPr>
        <w:t>Лот № 00</w:t>
      </w:r>
      <w:r>
        <w:rPr>
          <w:rFonts w:eastAsia="Calibri" w:cs="Times New Roman" w:ascii="Times New Roman" w:hAnsi="Times New Roman"/>
          <w:b/>
          <w:caps/>
          <w:sz w:val="24"/>
          <w:szCs w:val="24"/>
          <w:lang w:val="en-US" w:eastAsia="ru-RU"/>
        </w:rPr>
        <w:t>4</w:t>
      </w:r>
      <w:r>
        <w:rPr>
          <w:rFonts w:eastAsia="Calibri" w:cs="Times New Roman" w:ascii="Times New Roman" w:hAnsi="Times New Roman"/>
          <w:b/>
          <w:caps/>
          <w:sz w:val="24"/>
          <w:szCs w:val="24"/>
          <w:lang w:eastAsia="ru-RU"/>
        </w:rPr>
        <w:t>6-КС ДОХ-2026-РГЦР</w:t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440" w:leader="none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8"/>
              <w:vanish w:val="false"/>
              <w:rFonts w:eastAsia="Calibri" w:cs="Times New Roman"/>
              <w:lang w:val="x-none" w:eastAsia="x-none"/>
            </w:rPr>
            <w:instrText xml:space="preserve"> TOC \z \o "1-4" \u \h</w:instrText>
          </w:r>
          <w:r>
            <w:rPr>
              <w:webHidden/>
              <w:rStyle w:val="Style18"/>
              <w:vanish w:val="false"/>
              <w:rFonts w:eastAsia="Calibri" w:cs="Times New Roman"/>
              <w:lang w:val="x-none" w:eastAsia="x-none"/>
            </w:rPr>
            <w:fldChar w:fldCharType="separate"/>
          </w:r>
          <w:hyperlink w:anchor="_Toc198879893">
            <w:r>
              <w:rPr>
                <w:webHidden/>
                <w:rStyle w:val="Style18"/>
                <w:rFonts w:eastAsia="Calibri" w:cs="Times New Roman"/>
                <w:vanish w:val="false"/>
                <w:lang w:val="x-none" w:eastAsia="x-none"/>
              </w:rPr>
              <w:t>1.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rFonts w:eastAsia="Calibri" w:cs="Times New Roman"/>
                <w:lang w:val="x-none" w:eastAsia="x-none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_Toc198879893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iCs w:val="false"/>
              <w:lang w:eastAsia="ru-RU"/>
            </w:rPr>
          </w:pPr>
          <w:hyperlink w:anchor="_Toc198879894">
            <w:r>
              <w:rPr>
                <w:webHidden/>
                <w:rStyle w:val="Style18"/>
                <w:vanish w:val="false"/>
              </w:rPr>
              <w:t>1.1.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iCs w:val="false"/>
                <w:lang w:eastAsia="ru-RU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_Toc198879894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iCs w:val="false"/>
              <w:lang w:eastAsia="ru-RU"/>
            </w:rPr>
          </w:pPr>
          <w:hyperlink w:anchor="_Toc198879895">
            <w:r>
              <w:rPr>
                <w:webHidden/>
                <w:rStyle w:val="Style18"/>
                <w:vanish w:val="false"/>
              </w:rPr>
              <w:t>1.2.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iCs w:val="false"/>
                <w:lang w:eastAsia="ru-RU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_Toc198879895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iCs w:val="false"/>
              <w:lang w:eastAsia="ru-RU"/>
            </w:rPr>
          </w:pPr>
          <w:hyperlink w:anchor="_Toc198879896">
            <w:r>
              <w:rPr>
                <w:webHidden/>
                <w:rStyle w:val="Style18"/>
                <w:vanish w:val="false"/>
              </w:rPr>
              <w:t>1.3.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iCs w:val="false"/>
                <w:lang w:eastAsia="ru-RU"/>
              </w:rPr>
              <w:tab/>
            </w:r>
            <w:r>
              <w:rPr>
                <w:rStyle w:val="Style18"/>
              </w:rPr>
              <w:t>Цель использования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_Toc198879896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iCs w:val="false"/>
                <w:lang w:eastAsia="ru-RU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iCs w:val="false"/>
              <w:lang w:eastAsia="ru-RU"/>
            </w:rPr>
          </w:pPr>
          <w:hyperlink w:anchor="_Toc198879897">
            <w:r>
              <w:rPr>
                <w:webHidden/>
                <w:rStyle w:val="Style18"/>
                <w:vanish w:val="false"/>
              </w:rPr>
              <w:t>1.4.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iCs w:val="false"/>
                <w:lang w:eastAsia="ru-RU"/>
              </w:rPr>
              <w:tab/>
            </w:r>
            <w:r>
              <w:rPr>
                <w:rStyle w:val="Style18"/>
              </w:rPr>
              <w:t>Существующее положение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_Toc198879897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iCs w:val="false"/>
                <w:lang w:eastAsia="ru-RU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iCs w:val="false"/>
              <w:lang w:eastAsia="ru-RU"/>
            </w:rPr>
          </w:pPr>
          <w:hyperlink w:anchor="_Toc198879898">
            <w:r>
              <w:rPr>
                <w:webHidden/>
                <w:rStyle w:val="Style18"/>
                <w:vanish w:val="false"/>
              </w:rPr>
              <w:t>1.5.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iCs w:val="false"/>
                <w:lang w:eastAsia="ru-RU"/>
              </w:rPr>
              <w:tab/>
            </w:r>
            <w:r>
              <w:rPr>
                <w:rStyle w:val="Style18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_Toc198879898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  <w:lang w:val="en-US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440" w:leader="none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879899">
            <w:r>
              <w:rPr>
                <w:webHidden/>
                <w:rStyle w:val="Style18"/>
                <w:rFonts w:eastAsia="Calibri" w:cs="Times New Roman"/>
                <w:vanish w:val="false"/>
                <w:lang w:val="x-none" w:eastAsia="x-none"/>
              </w:rPr>
              <w:t>2.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rFonts w:eastAsia="Calibri" w:cs="Times New Roman"/>
                <w:lang w:val="x-none" w:eastAsia="x-none"/>
              </w:rPr>
              <w:t>Требования к продукции</w:t>
            </w:r>
            <w:r>
              <w:rPr>
                <w:rStyle w:val="Style1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_Toc198879899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  <w:lang w:val="en-US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iCs w:val="false"/>
              <w:lang w:eastAsia="ru-RU"/>
            </w:rPr>
          </w:pPr>
          <w:hyperlink w:anchor="_Toc198879900">
            <w:r>
              <w:rPr>
                <w:webHidden/>
                <w:rStyle w:val="Style18"/>
                <w:rFonts w:eastAsia="Calibri"/>
                <w:bCs/>
                <w:vanish w:val="false"/>
                <w:lang w:val="x-none" w:eastAsia="x-none"/>
              </w:rPr>
              <w:t>2.1.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iCs w:val="false"/>
                <w:lang w:eastAsia="ru-RU"/>
              </w:rPr>
              <w:tab/>
            </w:r>
            <w:r>
              <w:rPr>
                <w:rStyle w:val="Style18"/>
                <w:rFonts w:eastAsia="Calibri"/>
                <w:b/>
                <w:bCs/>
                <w:lang w:val="x-none" w:eastAsia="x-none"/>
              </w:rPr>
              <w:t xml:space="preserve">Требования </w:t>
            </w:r>
            <w:r>
              <w:rPr>
                <w:rStyle w:val="Style18"/>
                <w:rFonts w:eastAsia="Calibri"/>
                <w:b/>
                <w:bCs/>
                <w:lang w:eastAsia="x-none"/>
              </w:rPr>
              <w:t>по</w:t>
            </w:r>
            <w:r>
              <w:rPr>
                <w:rStyle w:val="Style18"/>
                <w:rFonts w:eastAsia="Calibri"/>
                <w:b/>
                <w:bCs/>
                <w:lang w:val="x-none" w:eastAsia="x-none"/>
              </w:rPr>
              <w:t xml:space="preserve"> объемам</w:t>
            </w:r>
            <w:r>
              <w:rPr>
                <w:rStyle w:val="Style1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_Toc198879900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  <w:lang w:val="en-US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880" w:leader="none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879901">
            <w:r>
              <w:rPr>
                <w:webHidden/>
                <w:rStyle w:val="Style18"/>
                <w:vanish w:val="false"/>
                <w:lang w:val="x-none" w:eastAsia="x-none"/>
              </w:rPr>
              <w:t>2.1.1.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lang w:val="x-none" w:eastAsia="x-none"/>
              </w:rPr>
              <w:t>Требования к видам и объемам поставок МТР, работ, услуг</w:t>
            </w:r>
            <w:r>
              <w:rPr>
                <w:rStyle w:val="Style1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_Toc198879901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  <w:lang w:val="en-US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879902">
            <w:r>
              <w:rPr>
                <w:webHidden/>
                <w:rStyle w:val="Style18"/>
                <w:rFonts w:eastAsia="Calibri" w:cs="Times New Roman"/>
                <w:vanish w:val="false"/>
                <w:lang w:val="x-none" w:eastAsia="x-none"/>
              </w:rPr>
              <w:t xml:space="preserve">Таблица </w:t>
            </w:r>
            <w:r>
              <w:rPr>
                <w:rStyle w:val="Style18"/>
                <w:rFonts w:eastAsia="Calibri" w:cs="Times New Roman"/>
                <w:vanish w:val="false"/>
                <w:lang w:val="en-US" w:eastAsia="x-none"/>
              </w:rPr>
              <w:t>2</w:t>
            </w:r>
            <w:r>
              <w:rPr>
                <w:rStyle w:val="Style18"/>
                <w:rFonts w:eastAsia="Calibri" w:cs="Times New Roman"/>
                <w:vanish w:val="false"/>
                <w:lang w:val="x-none" w:eastAsia="x-none"/>
              </w:rPr>
              <w:t xml:space="preserve"> </w:t>
            </w:r>
            <w:r>
              <w:rPr>
                <w:rStyle w:val="Style18"/>
                <w:rFonts w:cs="Times New Roman"/>
                <w:lang w:val="x-none" w:eastAsia="x-none"/>
              </w:rPr>
              <w:t>Перечень и объем закупаемой продукции</w:t>
            </w:r>
            <w:r>
              <w:rPr>
                <w:rStyle w:val="Style1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_Toc198879902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  <w:lang w:val="en-US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880" w:leader="none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879904">
            <w:r>
              <w:rPr>
                <w:webHidden/>
                <w:rStyle w:val="Style18"/>
                <w:vanish w:val="false"/>
                <w:lang w:val="x-none" w:eastAsia="x-none"/>
              </w:rPr>
              <w:t>2.1.2.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lang w:val="x-none" w:eastAsia="x-none"/>
              </w:rPr>
              <w:t>Требования к срокам поставки</w:t>
            </w:r>
            <w:r>
              <w:rPr>
                <w:rStyle w:val="Style1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_Toc198879904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  <w:lang w:val="en-US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879905">
            <w:r>
              <w:rPr>
                <w:webHidden/>
                <w:rStyle w:val="Style18"/>
                <w:rFonts w:eastAsia="Calibri" w:cs="Times New Roman"/>
                <w:vanish w:val="false"/>
                <w:lang w:val="x-none" w:eastAsia="x-none"/>
              </w:rPr>
              <w:t xml:space="preserve">Таблица </w:t>
            </w:r>
            <w:r>
              <w:rPr>
                <w:rStyle w:val="Style18"/>
                <w:rFonts w:eastAsia="Calibri" w:cs="Times New Roman"/>
                <w:vanish w:val="false"/>
                <w:lang w:val="en-US" w:eastAsia="x-none"/>
              </w:rPr>
              <w:t>3</w:t>
            </w:r>
            <w:r>
              <w:rPr>
                <w:rStyle w:val="Style18"/>
                <w:rFonts w:eastAsia="Calibri" w:cs="Times New Roman"/>
                <w:vanish w:val="false"/>
                <w:lang w:val="x-none" w:eastAsia="x-none"/>
              </w:rPr>
              <w:t xml:space="preserve"> Требования к срокам поставки продукции</w:t>
            </w:r>
            <w:r>
              <w:rPr>
                <w:rStyle w:val="Style1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_Toc198879905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  <w:lang w:val="en-US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879908">
            <w:r>
              <w:rPr>
                <w:webHidden/>
                <w:rStyle w:val="Style18"/>
                <w:rFonts w:eastAsia="Calibri" w:cs="Times New Roman"/>
                <w:vanish w:val="false"/>
                <w:lang w:val="x-none" w:eastAsia="x-none"/>
              </w:rPr>
              <w:t>Таблица 2.</w:t>
            </w:r>
            <w:r>
              <w:rPr>
                <w:rStyle w:val="Style18"/>
                <w:rFonts w:eastAsia="Calibri" w:cs="Times New Roman"/>
                <w:vanish w:val="false"/>
                <w:lang w:val="en-US" w:eastAsia="x-none"/>
              </w:rPr>
              <w:t>2</w:t>
            </w:r>
            <w:r>
              <w:rPr>
                <w:rStyle w:val="Style18"/>
                <w:rFonts w:eastAsia="Calibri" w:cs="Times New Roman"/>
                <w:vanish w:val="false"/>
                <w:lang w:val="x-none" w:eastAsia="x-none"/>
              </w:rPr>
              <w:t>. Требования</w:t>
            </w:r>
            <w:r>
              <w:rPr>
                <w:rStyle w:val="Style18"/>
                <w:rFonts w:eastAsia="Calibri" w:cs="Times New Roman"/>
                <w:vanish w:val="false"/>
                <w:lang w:val="en-US" w:eastAsia="x-none"/>
              </w:rPr>
              <w:t xml:space="preserve"> к качеству продукции</w:t>
            </w:r>
            <w:r>
              <w:rPr>
                <w:rStyle w:val="Style18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_Toc198879908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8"/>
                <w:vanish w:val="false"/>
                <w:lang w:val="en-US"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440" w:leader="none"/>
              <w:tab w:val="right" w:pos="10194" w:leader="dot"/>
            </w:tabs>
            <w:rPr>
              <w:lang w:val="en-US"/>
            </w:rPr>
          </w:pPr>
          <w:r>
            <w:rPr/>
            <w:t xml:space="preserve">Таблица 4 </w:t>
          </w:r>
          <w:r>
            <w:rPr>
              <w:rFonts w:eastAsia="Calibri" w:cs="Times New Roman"/>
              <w:lang w:val="x-none" w:eastAsia="x-none"/>
            </w:rPr>
            <w:t>Требования к поставляемому оборудованию</w:t>
          </w:r>
          <w:r>
            <w:rPr/>
            <w:tab/>
          </w:r>
          <w:r>
            <w:rPr>
              <w:vanish w:val="false"/>
              <w:lang w:val="en-US"/>
            </w:rPr>
            <w:t>7</w:t>
          </w:r>
        </w:p>
        <w:p>
          <w:pPr>
            <w:pStyle w:val="TOC1"/>
            <w:tabs>
              <w:tab w:val="clear" w:pos="709"/>
              <w:tab w:val="left" w:pos="440" w:leader="none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879911">
            <w:r>
              <w:rPr>
                <w:webHidden/>
                <w:rStyle w:val="Style18"/>
                <w:rFonts w:eastAsia="Calibri" w:cs="Times New Roman"/>
                <w:vanish w:val="false"/>
                <w:lang w:val="x-none" w:eastAsia="x-none"/>
              </w:rPr>
              <w:t>3.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rFonts w:eastAsia="Calibri" w:cs="Times New Roman"/>
                <w:lang w:val="x-none" w:eastAsia="x-none"/>
              </w:rPr>
              <w:t>Требования к документации по ценообразованию на этапе закупки</w:t>
            </w:r>
            <w:r>
              <w:rPr>
                <w:rStyle w:val="Style18"/>
              </w:rPr>
              <w:tab/>
            </w:r>
            <w:r>
              <w:rPr>
                <w:rStyle w:val="Style18"/>
                <w:lang w:val="en-US"/>
              </w:rPr>
              <w:t>1</w:t>
            </w:r>
          </w:hyperlink>
          <w:r>
            <w:rPr>
              <w:lang w:val="en-US"/>
            </w:rPr>
            <w:t>4</w:t>
          </w:r>
        </w:p>
        <w:p>
          <w:pPr>
            <w:pStyle w:val="TOC1"/>
            <w:tabs>
              <w:tab w:val="clear" w:pos="709"/>
              <w:tab w:val="left" w:pos="440" w:leader="none"/>
              <w:tab w:val="right" w:pos="10194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879913">
            <w:r>
              <w:rPr>
                <w:webHidden/>
                <w:rStyle w:val="Style18"/>
                <w:rFonts w:eastAsia="Calibri" w:cs="Times New Roman"/>
                <w:vanish w:val="false"/>
                <w:lang w:val="en-US" w:eastAsia="x-none"/>
              </w:rPr>
              <w:t>4</w:t>
            </w:r>
            <w:r>
              <w:rPr>
                <w:rStyle w:val="Style18"/>
                <w:rFonts w:eastAsia="Calibri" w:cs="Times New Roman"/>
                <w:vanish w:val="false"/>
                <w:lang w:val="x-none" w:eastAsia="x-none"/>
              </w:rPr>
              <w:t>.</w:t>
            </w:r>
            <w:r>
              <w:rPr>
                <w:rStyle w:val="Style18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8"/>
                <w:rFonts w:eastAsia="Calibri" w:cs="Times New Roman"/>
                <w:lang w:val="x-none" w:eastAsia="x-none"/>
              </w:rPr>
              <w:t>Приложения</w:t>
            </w:r>
            <w:r>
              <w:rPr>
                <w:rStyle w:val="Style18"/>
              </w:rPr>
              <w:tab/>
            </w:r>
            <w:r>
              <w:rPr>
                <w:rStyle w:val="Style18"/>
                <w:lang w:val="en-US"/>
              </w:rPr>
              <w:t>1</w:t>
            </w:r>
          </w:hyperlink>
          <w:r>
            <w:rPr>
              <w:vanish w:val="false"/>
              <w:lang w:val="en-US"/>
            </w:rPr>
            <w:t>4</w:t>
          </w:r>
          <w:r>
            <w:rPr>
              <w:vanish w:val="false"/>
              <w:lang w:val="en-US"/>
            </w:rPr>
            <w:fldChar w:fldCharType="end"/>
          </w:r>
        </w:p>
      </w:sdtContent>
    </w:sdt>
    <w:p>
      <w:pPr>
        <w:pStyle w:val="TOC1"/>
        <w:tabs>
          <w:tab w:val="clear" w:pos="709"/>
          <w:tab w:val="left" w:pos="440" w:leader="none"/>
          <w:tab w:val="right" w:pos="10194" w:leader="dot"/>
        </w:tabs>
        <w:rPr>
          <w:rFonts w:eastAsia="" w:cs="Times New Roman" w:eastAsiaTheme="minorEastAsia"/>
          <w:b w:val="false"/>
          <w:bCs w:val="false"/>
          <w:sz w:val="22"/>
          <w:szCs w:val="22"/>
        </w:rPr>
      </w:pPr>
      <w:r>
        <w:rPr>
          <w:rFonts w:eastAsia="" w:cs="Times New Roman" w:eastAsiaTheme="minorEastAsia"/>
          <w:b w:val="false"/>
          <w:bCs w:val="false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  <w:r>
        <w:br w:type="page"/>
      </w:r>
    </w:p>
    <w:p>
      <w:pPr>
        <w:pStyle w:val="Normal"/>
        <w:keepNext w:val="true"/>
        <w:numPr>
          <w:ilvl w:val="0"/>
          <w:numId w:val="3"/>
        </w:numPr>
        <w:tabs>
          <w:tab w:val="clear" w:pos="709"/>
          <w:tab w:val="left" w:pos="0" w:leader="none"/>
        </w:tabs>
        <w:spacing w:lineRule="auto" w:line="240" w:before="120" w:after="60"/>
        <w:ind w:left="0" w:hanging="0"/>
        <w:jc w:val="center"/>
        <w:outlineLvl w:val="0"/>
        <w:rPr>
          <w:rFonts w:ascii="Times New Roman" w:hAnsi="Times New Roman" w:eastAsia="Calibri" w:cs="Times New Roman"/>
          <w:b/>
          <w:caps/>
          <w:sz w:val="28"/>
          <w:szCs w:val="28"/>
          <w:lang w:val="x-none" w:eastAsia="x-none"/>
        </w:rPr>
      </w:pPr>
      <w:bookmarkStart w:id="1" w:name="_Toc198879893"/>
      <w:r>
        <w:rPr>
          <w:rFonts w:eastAsia="Calibri" w:cs="Times New Roman" w:ascii="Times New Roman" w:hAnsi="Times New Roman"/>
          <w:b/>
          <w:sz w:val="28"/>
          <w:szCs w:val="28"/>
          <w:lang w:val="x-none" w:eastAsia="x-none"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spacing w:before="240" w:after="60"/>
        <w:ind w:left="709" w:hanging="709"/>
        <w:rPr/>
      </w:pPr>
      <w:bookmarkStart w:id="2" w:name="_Toc46743505"/>
      <w:bookmarkStart w:id="3" w:name="_Toc130201860"/>
      <w:bookmarkStart w:id="4" w:name="_Toc198879894"/>
      <w:r>
        <w:rPr/>
        <w:t>Обозначения и сокращения</w:t>
      </w:r>
      <w:bookmarkEnd w:id="2"/>
      <w:bookmarkEnd w:id="3"/>
      <w:bookmarkEnd w:id="4"/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813"/>
        <w:gridCol w:w="8107"/>
      </w:tblGrid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АСУТП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Автоматизированная система управления технологическим процессом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ЗИП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Запасные части, инструменты и принадлежности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КТС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Комплекс технических средств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ЛВС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Локальная вычислительная сеть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ЛСАУ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Локальная система автоматического управления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МТР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Материально-технические ресурсы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НТД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Нормативно-техническая документация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ПУЭ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Правила устройства электроустановок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РЗА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Релейная защита и автоматика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СИ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Средство измерений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ТТ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ПСИ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Приемо-сдаточные испытания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ПТК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Программно-технический комплекс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ПНР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Пусконаладочные работы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Программное обеспечение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  <w:t>РЭ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Руководство по эксплуатации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АРМ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val="en-US" w:eastAsia="ru-RU"/>
              </w:rPr>
              <w:t>Автоматизированное рабочее место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Юридическое или физическое лицо, подавшее заявку на участие в закупке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Физическое или юридическое лицо, обладающее полным спектром вещных прав на продукцию, выпускающее ее под своей торговой маркой самостоятельно (либо с привлечением услуг маркировщиков, упаковщиков, проектировщиков и изготовителей) и несущее полную ответственность за соблюдение требований безопасности, установленных в конкретной отрасли. Информация о нем в обязательном порядке указывается на продукции и доводится до Потребителя.</w:t>
            </w:r>
          </w:p>
        </w:tc>
      </w:tr>
      <w:tr>
        <w:trPr>
          <w:cantSplit w:val="true"/>
        </w:trPr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Победитель закупочной процедуры, получивший право заключения договора</w:t>
            </w:r>
          </w:p>
        </w:tc>
      </w:tr>
    </w:tbl>
    <w:p>
      <w:pPr>
        <w:pStyle w:val="Heading4"/>
        <w:numPr>
          <w:ilvl w:val="1"/>
          <w:numId w:val="3"/>
        </w:numPr>
        <w:spacing w:before="240" w:after="60"/>
        <w:ind w:left="709" w:hanging="709"/>
        <w:rPr/>
      </w:pPr>
      <w:bookmarkStart w:id="5" w:name="_Toc130201861"/>
      <w:bookmarkStart w:id="6" w:name="_Toc198879895"/>
      <w:r>
        <w:rPr/>
        <w:t>Наименование закупаемой продукции</w:t>
      </w:r>
      <w:bookmarkEnd w:id="5"/>
      <w:bookmarkEnd w:id="6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ОКПД2 28.99.39.190 Поставка оборудования АРМ для создания автоматизированной системы управления технологическим процессом Якутской ГРЭС Новая в г. Якутск, Республики Саха (Якутия) (лот №0046-КС ДОХ-2026-РГЦР).</w:t>
      </w:r>
    </w:p>
    <w:p>
      <w:pPr>
        <w:pStyle w:val="Heading4"/>
        <w:numPr>
          <w:ilvl w:val="1"/>
          <w:numId w:val="3"/>
        </w:numPr>
        <w:spacing w:before="240" w:after="60"/>
        <w:ind w:left="709" w:hanging="709"/>
        <w:rPr/>
      </w:pPr>
      <w:bookmarkStart w:id="7" w:name="_Toc130201862"/>
      <w:bookmarkStart w:id="8" w:name="_Toc198879896"/>
      <w:bookmarkStart w:id="9" w:name="_Toc46743507"/>
      <w:bookmarkEnd w:id="9"/>
      <w:r>
        <w:rPr/>
        <w:t>Цель использования закупаемой продукции</w:t>
      </w:r>
      <w:bookmarkEnd w:id="7"/>
      <w:bookmarkEnd w:id="8"/>
      <w:r>
        <w:rPr/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Целью использования закупаемой продукции является создание АСУТП Якутской ГРЭС Новая в г. Якутске.</w:t>
      </w:r>
    </w:p>
    <w:p>
      <w:pPr>
        <w:pStyle w:val="Heading4"/>
        <w:numPr>
          <w:ilvl w:val="1"/>
          <w:numId w:val="3"/>
        </w:numPr>
        <w:spacing w:before="240" w:after="60"/>
        <w:ind w:left="709" w:hanging="709"/>
        <w:rPr/>
      </w:pPr>
      <w:bookmarkStart w:id="10" w:name="_Toc130201863"/>
      <w:bookmarkStart w:id="11" w:name="_Toc46743508"/>
      <w:bookmarkStart w:id="12" w:name="_Toc198879897"/>
      <w:r>
        <w:rPr/>
        <w:t>Существующее положение</w:t>
      </w:r>
      <w:bookmarkEnd w:id="10"/>
      <w:bookmarkEnd w:id="11"/>
      <w:bookmarkEnd w:id="12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Наименование объекта: Якутская ГРЭС Новая.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Местоположение объекта: Российская Федерация, Республика Саха (Якутия), г. Якутск, Вилюйский тракт, 7 км, 2а.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120" w:after="60"/>
        <w:jc w:val="right"/>
        <w:outlineLvl w:val="0"/>
        <w:rPr>
          <w:rFonts w:eastAsia="Calibri"/>
          <w:b/>
          <w:lang w:val="x-none" w:eastAsia="x-none"/>
        </w:rPr>
      </w:pPr>
      <w:bookmarkStart w:id="13" w:name="_Toc54970179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>Таблица 1. Перечень объектов заказчика</w:t>
      </w:r>
      <w:bookmarkEnd w:id="13"/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93"/>
        <w:gridCol w:w="4269"/>
        <w:gridCol w:w="2482"/>
        <w:gridCol w:w="2476"/>
      </w:tblGrid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Расположение объекта </w:t>
              <w:br/>
              <w:t>(место поставки МТР, производства работ, оказания услуг)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Наименование основного средства</w:t>
              <w:br/>
              <w:t>(в отношении которого выполняются работы, оказываются услуги)</w:t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4</w:t>
            </w:r>
          </w:p>
        </w:tc>
      </w:tr>
      <w:tr>
        <w:trPr>
          <w:trHeight w:val="881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contextualSpacing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ОКПД2 28.99.39.190 Поставка оборудования АРМ для создания автоматизированной системы управления технологическим процессом Якутской ГРЭС Новая в г. Якутск, Республики Саха (Якутия)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 xml:space="preserve">677001, Российская Федерация, Республика Саха (Якутия), г. Якутск, Вилюйский тракт, 7 км, 2а.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val="en-US" w:eastAsia="ru-RU"/>
              </w:rPr>
              <w:t>Якутская ГРЭС Новая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ТГ-5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ТГ-6</w:t>
            </w:r>
          </w:p>
        </w:tc>
      </w:tr>
    </w:tbl>
    <w:p>
      <w:pPr>
        <w:pStyle w:val="Heading4"/>
        <w:numPr>
          <w:ilvl w:val="1"/>
          <w:numId w:val="3"/>
        </w:numPr>
        <w:spacing w:before="240" w:after="60"/>
        <w:ind w:left="709" w:hanging="709"/>
        <w:jc w:val="both"/>
        <w:rPr/>
      </w:pPr>
      <w:bookmarkStart w:id="14" w:name="_Toc219818652"/>
      <w:bookmarkStart w:id="15" w:name="_Toc130201865"/>
      <w:bookmarkStart w:id="16" w:name="_Toc197432484"/>
      <w:bookmarkEnd w:id="16"/>
      <w:r>
        <w:rPr/>
        <w:t xml:space="preserve">Информация в отношении исполнения договора, </w:t>
      </w:r>
      <w:bookmarkStart w:id="17" w:name="_Hlk46492347"/>
      <w:r>
        <w:rPr/>
        <w:t xml:space="preserve">которая должна быть учтена при подготовке заявки </w:t>
      </w:r>
      <w:bookmarkEnd w:id="17"/>
      <w:r>
        <w:rPr/>
        <w:t>(в том числе перечень ресурсов, услуг и документов, предоставляемых заказчиком на этапе исполнения договора)</w:t>
      </w:r>
      <w:bookmarkEnd w:id="14"/>
      <w:bookmarkEnd w:id="15"/>
      <w:r>
        <w:rPr/>
        <w:t xml:space="preserve"> </w:t>
      </w:r>
    </w:p>
    <w:p>
      <w:pPr>
        <w:pStyle w:val="ListParagraph"/>
        <w:numPr>
          <w:ilvl w:val="2"/>
          <w:numId w:val="10"/>
        </w:numPr>
        <w:spacing w:before="60" w:after="60"/>
        <w:contextualSpacing w:val="false"/>
        <w:jc w:val="both"/>
        <w:rPr/>
      </w:pPr>
      <w:r>
        <w:rPr/>
        <w:t>В ходе исполнения договора Заказчик предоставляет для выполнения работ в месте размещения объектов автоматизации на безвозмездной основе Поставщику следующие виды ресурсов:</w:t>
      </w:r>
    </w:p>
    <w:p>
      <w:pPr>
        <w:pStyle w:val="ListParagraph"/>
        <w:numPr>
          <w:ilvl w:val="2"/>
          <w:numId w:val="11"/>
        </w:numPr>
        <w:spacing w:before="60" w:after="60"/>
        <w:ind w:left="1418" w:hanging="709"/>
        <w:contextualSpacing w:val="false"/>
        <w:jc w:val="both"/>
        <w:rPr/>
      </w:pPr>
      <w:r>
        <w:rPr/>
        <w:t>Складские помещения и площадки для погрузки / разгрузки / складирования / хранения материально-технических ресурсов, оборудования Поставщика;</w:t>
      </w:r>
    </w:p>
    <w:p>
      <w:pPr>
        <w:pStyle w:val="ListParagraph"/>
        <w:numPr>
          <w:ilvl w:val="2"/>
          <w:numId w:val="11"/>
        </w:numPr>
        <w:spacing w:before="60" w:after="60"/>
        <w:ind w:left="1418" w:hanging="709"/>
        <w:contextualSpacing w:val="false"/>
        <w:jc w:val="both"/>
        <w:rPr/>
      </w:pPr>
      <w:r>
        <w:rPr/>
        <w:t>Грузоподъёмные механизмы, необходимые для разгрузки оборудования.</w:t>
      </w:r>
    </w:p>
    <w:p>
      <w:pPr>
        <w:pStyle w:val="Normal"/>
        <w:keepNext w:val="true"/>
        <w:numPr>
          <w:ilvl w:val="0"/>
          <w:numId w:val="3"/>
        </w:numPr>
        <w:tabs>
          <w:tab w:val="clear" w:pos="709"/>
          <w:tab w:val="left" w:pos="0" w:leader="none"/>
        </w:tabs>
        <w:spacing w:lineRule="auto" w:line="240" w:before="120" w:after="60"/>
        <w:ind w:left="0" w:hanging="0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val="x-none" w:eastAsia="x-none"/>
        </w:rPr>
      </w:pPr>
      <w:bookmarkStart w:id="18" w:name="_Toc51339693"/>
      <w:bookmarkStart w:id="19" w:name="_Toc130201867"/>
      <w:bookmarkStart w:id="20" w:name="_Toc198879899"/>
      <w:r>
        <w:rPr>
          <w:rFonts w:eastAsia="Calibri" w:cs="Times New Roman" w:ascii="Times New Roman" w:hAnsi="Times New Roman"/>
          <w:b/>
          <w:sz w:val="28"/>
          <w:szCs w:val="28"/>
          <w:lang w:val="x-none" w:eastAsia="x-none"/>
        </w:rPr>
        <w:t>Требования к продукции</w:t>
      </w:r>
      <w:bookmarkEnd w:id="18"/>
      <w:bookmarkEnd w:id="19"/>
      <w:bookmarkEnd w:id="20"/>
    </w:p>
    <w:p>
      <w:pPr>
        <w:pStyle w:val="Normal"/>
        <w:keepNext w:val="true"/>
        <w:numPr>
          <w:ilvl w:val="1"/>
          <w:numId w:val="3"/>
        </w:numPr>
        <w:tabs>
          <w:tab w:val="clear" w:pos="709"/>
          <w:tab w:val="left" w:pos="1134" w:leader="none"/>
        </w:tabs>
        <w:spacing w:lineRule="auto" w:line="240" w:before="120" w:after="60"/>
        <w:ind w:left="709" w:hanging="709"/>
        <w:outlineLvl w:val="3"/>
        <w:rPr>
          <w:rFonts w:ascii="Times New Roman" w:hAnsi="Times New Roman" w:eastAsia="Calibri" w:cs="Times New Roman"/>
          <w:b/>
          <w:bCs/>
          <w:sz w:val="24"/>
          <w:szCs w:val="24"/>
          <w:lang w:val="x-none" w:eastAsia="x-none"/>
        </w:rPr>
      </w:pPr>
      <w:bookmarkStart w:id="21" w:name="_Toc130201868"/>
      <w:bookmarkStart w:id="22" w:name="_Toc198879900"/>
      <w:r>
        <w:rPr>
          <w:rFonts w:eastAsia="Calibri"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Требования 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x-none"/>
        </w:rPr>
        <w:t>по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 объемам</w:t>
      </w:r>
      <w:bookmarkEnd w:id="21"/>
      <w:bookmarkEnd w:id="22"/>
    </w:p>
    <w:p>
      <w:pPr>
        <w:pStyle w:val="ListParagraph"/>
        <w:keepNext w:val="true"/>
        <w:numPr>
          <w:ilvl w:val="2"/>
          <w:numId w:val="3"/>
        </w:numPr>
        <w:tabs>
          <w:tab w:val="clear" w:pos="709"/>
          <w:tab w:val="left" w:pos="1276" w:leader="none"/>
        </w:tabs>
        <w:spacing w:before="120" w:after="60"/>
        <w:ind w:left="709" w:hanging="709"/>
        <w:contextualSpacing w:val="false"/>
        <w:outlineLvl w:val="0"/>
        <w:rPr>
          <w:b/>
          <w:lang w:val="x-none" w:eastAsia="x-none"/>
        </w:rPr>
      </w:pPr>
      <w:bookmarkStart w:id="23" w:name="_Toc166871910"/>
      <w:bookmarkStart w:id="24" w:name="_Toc164155634"/>
      <w:bookmarkStart w:id="25" w:name="_Toc130201869"/>
      <w:r>
        <w:rPr>
          <w:b/>
          <w:lang w:val="x-none" w:eastAsia="x-none"/>
        </w:rPr>
        <w:t xml:space="preserve">Требования к видам и объемам </w:t>
      </w:r>
      <w:r>
        <w:rPr>
          <w:b/>
          <w:lang w:eastAsia="x-none"/>
        </w:rPr>
        <w:t>закупаемой продукции</w:t>
      </w:r>
      <w:bookmarkEnd w:id="23"/>
      <w:bookmarkEnd w:id="24"/>
      <w:bookmarkEnd w:id="25"/>
    </w:p>
    <w:p>
      <w:pPr>
        <w:pStyle w:val="Normal"/>
        <w:keepNext w:val="true"/>
        <w:numPr>
          <w:ilvl w:val="0"/>
          <w:numId w:val="0"/>
        </w:numPr>
        <w:spacing w:lineRule="auto" w:line="240" w:before="120" w:after="60"/>
        <w:jc w:val="right"/>
        <w:outlineLvl w:val="0"/>
        <w:rPr>
          <w:rFonts w:ascii="Times New Roman" w:hAnsi="Times New Roman" w:eastAsia="Calibri" w:cs="Times New Roman"/>
          <w:sz w:val="24"/>
          <w:szCs w:val="24"/>
          <w:lang w:val="x-none" w:eastAsia="x-none"/>
        </w:rPr>
      </w:pPr>
      <w:bookmarkStart w:id="26" w:name="_Toc190365072"/>
      <w:bookmarkStart w:id="27" w:name="_Toc198879902"/>
      <w:bookmarkStart w:id="28" w:name="_Toc130201870"/>
      <w:bookmarkStart w:id="29" w:name="_Toc51339695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>Таблица 2</w:t>
      </w:r>
      <w:bookmarkEnd w:id="26"/>
      <w:bookmarkEnd w:id="27"/>
      <w:bookmarkEnd w:id="28"/>
      <w:bookmarkEnd w:id="29"/>
      <w:r>
        <w:rPr>
          <w:rFonts w:eastAsia="Calibri" w:cs="Times New Roman" w:ascii="Times New Roman" w:hAnsi="Times New Roman"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Перечень и объем закупаемой продукции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73"/>
        <w:gridCol w:w="5932"/>
        <w:gridCol w:w="1478"/>
        <w:gridCol w:w="1637"/>
      </w:tblGrid>
      <w:tr>
        <w:trPr>
          <w:trHeight w:val="384" w:hRule="atLeast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Наименование работ (услуг) / этапа работ (услуг)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Количество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>
        <w:trPr/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60" w:after="6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ОКПД2 28.99.39.190 Поставка оборудования АРМ для создания автоматизированной системы управления технологическим процессом Якутской ГРЭС Новая в г. Якутск, Республики Саха (Якутия), а именно: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lineRule="auto" w:line="240" w:before="60" w:after="6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8"/>
              </w:rPr>
              <w:t>АСУТП.</w:t>
            </w:r>
            <w:r>
              <w:rPr>
                <w:rFonts w:cs="Times New Roman" w:ascii="Times New Roman" w:hAnsi="Times New Roman"/>
                <w:bCs/>
                <w:sz w:val="24"/>
                <w:szCs w:val="28"/>
                <w:lang w:val="en-US"/>
              </w:rPr>
              <w:t xml:space="preserve"> Заводской комплект</w:t>
            </w:r>
            <w:r>
              <w:rPr>
                <w:rFonts w:cs="Times New Roman" w:ascii="Times New Roman" w:hAnsi="Times New Roman"/>
                <w:bCs/>
                <w:sz w:val="24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8"/>
                <w:lang w:val="en-US"/>
              </w:rPr>
              <w:t>ЗИП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компл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lineRule="auto" w:line="240" w:before="60" w:after="6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8"/>
                <w:lang w:val="en-US"/>
              </w:rPr>
              <w:t>Доукомплектация шкафа ШСО ДКС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компл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lineRule="auto" w:line="240" w:before="60" w:after="6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8"/>
              </w:rPr>
              <w:t>АРМ №2 оператора технолога ТГ-5, ТГ-6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</w:tr>
      <w:tr>
        <w:trPr>
          <w:trHeight w:val="202" w:hRule="atLeast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lineRule="auto" w:line="240" w:before="60" w:after="6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60" w:after="60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8"/>
              </w:rPr>
              <w:t>АРМ оператора ДКС с системным и прикладным ПО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6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</w:r>
      <w:bookmarkStart w:id="30" w:name="_Toc46743510"/>
      <w:bookmarkStart w:id="31" w:name="_Toc46743510"/>
      <w:bookmarkEnd w:id="31"/>
      <w:r>
        <w:br w:type="page"/>
      </w:r>
    </w:p>
    <w:p>
      <w:pPr>
        <w:pStyle w:val="ListParagraph"/>
        <w:keepNext w:val="true"/>
        <w:numPr>
          <w:ilvl w:val="2"/>
          <w:numId w:val="3"/>
        </w:numPr>
        <w:tabs>
          <w:tab w:val="clear" w:pos="709"/>
          <w:tab w:val="left" w:pos="1276" w:leader="none"/>
        </w:tabs>
        <w:spacing w:before="120" w:after="60"/>
        <w:ind w:left="709" w:hanging="709"/>
        <w:contextualSpacing w:val="false"/>
        <w:outlineLvl w:val="0"/>
        <w:rPr>
          <w:b/>
          <w:lang w:val="x-none" w:eastAsia="x-none"/>
        </w:rPr>
      </w:pPr>
      <w:r>
        <w:rPr>
          <w:b/>
          <w:lang w:val="x-none" w:eastAsia="x-none"/>
        </w:rPr>
        <w:t>Требования к срокам поставки</w:t>
      </w:r>
      <w:bookmarkStart w:id="32" w:name="_Toc190365075"/>
      <w:bookmarkEnd w:id="32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Дата начала срока – дата, следующая за датой подписания договора (далее – Х).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Сроки поставки продукции рассчитывается в календарных днях относительно даты начала в формате «Х +… к.д.».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120" w:after="60"/>
        <w:jc w:val="right"/>
        <w:outlineLvl w:val="0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bookmarkStart w:id="33" w:name="_Toc198879905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>Таблица 3 Требования к срокам поставки продукции</w:t>
      </w:r>
      <w:bookmarkEnd w:id="33"/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86"/>
        <w:gridCol w:w="5695"/>
        <w:gridCol w:w="1788"/>
        <w:gridCol w:w="14"/>
        <w:gridCol w:w="1637"/>
      </w:tblGrid>
      <w:tr>
        <w:trPr>
          <w:tblHeader w:val="true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>
          <w:tblHeader w:val="true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57" w:right="57" w:hanging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>
        <w:trPr>
          <w:trHeight w:val="966" w:hRule="atLeast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60" w:after="60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ОКПД2 28.99.39.190 Поставка оборудования АРМ для создания автоматизированной системы управления технологическим процессом Якутской ГРЭС Новая в г. Якутск, Республики Саха (Якутия)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Х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Х+30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567" w:gutter="0" w:header="0" w:top="567" w:footer="567" w:bottom="709"/>
          <w:pgNumType w:fmt="decimal"/>
          <w:formProt w:val="false"/>
          <w:titlePg/>
          <w:textDirection w:val="lrTb"/>
          <w:docGrid w:type="default" w:linePitch="381" w:charSpace="36864"/>
        </w:sectPr>
      </w:pPr>
    </w:p>
    <w:p>
      <w:pPr>
        <w:pStyle w:val="Normal"/>
        <w:keepNext w:val="true"/>
        <w:numPr>
          <w:ilvl w:val="1"/>
          <w:numId w:val="3"/>
        </w:numPr>
        <w:tabs>
          <w:tab w:val="clear" w:pos="709"/>
          <w:tab w:val="left" w:pos="1134" w:leader="none"/>
        </w:tabs>
        <w:spacing w:lineRule="auto" w:line="240" w:before="120" w:after="60"/>
        <w:ind w:left="709" w:hanging="709"/>
        <w:outlineLvl w:val="3"/>
        <w:rPr>
          <w:rFonts w:ascii="Times New Roman" w:hAnsi="Times New Roman" w:eastAsia="Calibri" w:cs="Times New Roman"/>
          <w:b/>
          <w:bCs/>
          <w:sz w:val="24"/>
          <w:szCs w:val="24"/>
          <w:lang w:val="x-none" w:eastAsia="x-none"/>
        </w:rPr>
      </w:pPr>
      <w:bookmarkStart w:id="34" w:name="_Toc199239330"/>
      <w:r>
        <w:rPr>
          <w:rFonts w:eastAsia="Calibri" w:cs="Times New Roman" w:ascii="Times New Roman" w:hAnsi="Times New Roman"/>
          <w:b/>
          <w:bCs/>
          <w:sz w:val="24"/>
          <w:szCs w:val="24"/>
          <w:lang w:val="x-none" w:eastAsia="x-none"/>
        </w:rPr>
        <w:t xml:space="preserve">Требования к 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x-none"/>
        </w:rPr>
        <w:t>качеству продукции</w:t>
      </w:r>
      <w:bookmarkEnd w:id="34"/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Наименование продукции (позиция № 1.1. - 1.8. Таблицы 2):</w:t>
        <w:br/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>ОКПД2 28.99.39.190 Поставка оборудования АРМ для создания автоматизированной системы управления технологическим процессом Якутской ГРЭС Новая в г. Якутск, Республики Саха (Якутия) (лот №0046-КС ДОХ-2026-РГЦР)</w:t>
      </w:r>
      <w:bookmarkStart w:id="35" w:name="_Toc190365078"/>
    </w:p>
    <w:p>
      <w:pPr>
        <w:pStyle w:val="Normal"/>
        <w:keepNext w:val="true"/>
        <w:numPr>
          <w:ilvl w:val="0"/>
          <w:numId w:val="0"/>
        </w:numPr>
        <w:spacing w:lineRule="auto" w:line="240" w:before="120" w:after="60"/>
        <w:jc w:val="right"/>
        <w:outlineLvl w:val="0"/>
        <w:rPr>
          <w:rFonts w:ascii="Times New Roman" w:hAnsi="Times New Roman" w:eastAsia="Calibri" w:cs="Times New Roman"/>
          <w:b/>
          <w:sz w:val="24"/>
          <w:szCs w:val="24"/>
          <w:lang w:val="x-none" w:eastAsia="x-none"/>
        </w:rPr>
      </w:pPr>
      <w:bookmarkStart w:id="36" w:name="_Toc198879908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>Таблица 4 Требования к поставляемому оборудованию</w:t>
      </w:r>
      <w:bookmarkEnd w:id="35"/>
      <w:bookmarkEnd w:id="36"/>
    </w:p>
    <w:tbl>
      <w:tblPr>
        <w:tblStyle w:val="52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95"/>
        <w:gridCol w:w="2135"/>
        <w:gridCol w:w="12674"/>
      </w:tblGrid>
      <w:tr>
        <w:trPr>
          <w:tblHeader w:val="true"/>
          <w:trHeight w:val="102" w:hRule="atLeast"/>
        </w:trPr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</w:tr>
      <w:tr>
        <w:trPr>
          <w:tblHeader w:val="true"/>
        </w:trPr>
        <w:tc>
          <w:tcPr>
            <w:tcW w:w="8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21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267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0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80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>Номенклатура и объем поставляемой продукции и ПО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Номенклатура и объем поставки должен соответствовать </w:t>
            </w:r>
            <w:r>
              <w:rPr>
                <w:rFonts w:eastAsia="Times New Roman" w:cs="Times New Roman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>данным, указанным в Приложении № 1</w:t>
              <w:br/>
              <w:t>к Техническим требованиям – Спецификация поставляемого оборудования.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Поставляемое дополнительное оборудование и материалы должно быть изготовлено Поставщиком в соответствии с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Приложениями № 1, 2.1, 2.2, 2.3, 2.4 к Техническим требованиям:</w:t>
            </w:r>
          </w:p>
          <w:tbl>
            <w:tblPr>
              <w:tblW w:w="11475" w:type="dxa"/>
              <w:jc w:val="left"/>
              <w:tblInd w:w="867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noVBand="1" w:noHBand="0" w:lastColumn="0" w:firstColumn="1" w:lastRow="0" w:firstRow="1"/>
            </w:tblPr>
            <w:tblGrid>
              <w:gridCol w:w="690"/>
              <w:gridCol w:w="6504"/>
              <w:gridCol w:w="4281"/>
            </w:tblGrid>
            <w:tr>
              <w:trPr>
                <w:trHeight w:val="43" w:hRule="atLeast"/>
              </w:trPr>
              <w:tc>
                <w:tcPr>
                  <w:tcW w:w="6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Style39"/>
                    <w:widowControl w:val="false"/>
                    <w:spacing w:lineRule="auto" w:line="240" w:before="0" w:after="0"/>
                    <w:ind w:left="57" w:right="57" w:hanging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65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Style39"/>
                    <w:widowControl w:val="false"/>
                    <w:spacing w:lineRule="auto" w:line="240" w:before="0" w:after="0"/>
                    <w:ind w:left="57" w:right="57" w:hanging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color w:val="000000"/>
                      <w:sz w:val="20"/>
                      <w:szCs w:val="20"/>
                    </w:rPr>
                    <w:t>Номенклатура</w:t>
                  </w:r>
                </w:p>
              </w:tc>
              <w:tc>
                <w:tcPr>
                  <w:tcW w:w="42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Style39"/>
                    <w:widowControl w:val="false"/>
                    <w:spacing w:lineRule="auto" w:line="240" w:before="0" w:after="0"/>
                    <w:ind w:left="57" w:right="57" w:hanging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b/>
                      <w:color w:val="000000"/>
                      <w:sz w:val="20"/>
                      <w:szCs w:val="20"/>
                    </w:rPr>
                    <w:t>Раздел ЗЗИ</w:t>
                  </w:r>
                </w:p>
              </w:tc>
            </w:tr>
            <w:tr>
              <w:trPr>
                <w:trHeight w:val="410" w:hRule="atLeast"/>
              </w:trPr>
              <w:tc>
                <w:tcPr>
                  <w:tcW w:w="690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6"/>
                    </w:numPr>
                    <w:tabs>
                      <w:tab w:val="clear" w:pos="709"/>
                      <w:tab w:val="left" w:pos="305" w:leader="none"/>
                    </w:tabs>
                    <w:suppressAutoHyphens w:val="false"/>
                    <w:spacing w:before="60" w:after="60"/>
                    <w:ind w:left="57" w:right="57" w:hanging="0"/>
                    <w:contextualSpacing w:val="false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</w:r>
                </w:p>
              </w:tc>
              <w:tc>
                <w:tcPr>
                  <w:tcW w:w="650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39"/>
                    <w:widowControl w:val="false"/>
                    <w:spacing w:lineRule="auto" w:line="240" w:before="60" w:after="60"/>
                    <w:ind w:left="57" w:right="57" w:hanging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bCs/>
                      <w:sz w:val="24"/>
                      <w:szCs w:val="28"/>
                    </w:rPr>
                    <w:t>АСУТП.</w:t>
                  </w:r>
                  <w:r>
                    <w:rPr>
                      <w:rFonts w:cs="Times New Roman" w:ascii="Times New Roman" w:hAnsi="Times New Roman"/>
                      <w:bCs/>
                      <w:sz w:val="24"/>
                      <w:szCs w:val="28"/>
                      <w:lang w:val="en-US"/>
                    </w:rPr>
                    <w:t xml:space="preserve"> Заводской комплект</w:t>
                  </w:r>
                  <w:r>
                    <w:rPr>
                      <w:rFonts w:cs="Times New Roman" w:ascii="Times New Roman" w:hAnsi="Times New Roman"/>
                      <w:bCs/>
                      <w:sz w:val="24"/>
                      <w:szCs w:val="28"/>
                    </w:rPr>
                    <w:t xml:space="preserve"> </w:t>
                  </w:r>
                  <w:r>
                    <w:rPr>
                      <w:rFonts w:cs="Times New Roman" w:ascii="Times New Roman" w:hAnsi="Times New Roman"/>
                      <w:bCs/>
                      <w:sz w:val="24"/>
                      <w:szCs w:val="28"/>
                      <w:lang w:val="en-US"/>
                    </w:rPr>
                    <w:t>ЗИП</w:t>
                  </w:r>
                </w:p>
              </w:tc>
              <w:tc>
                <w:tcPr>
                  <w:tcW w:w="428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39"/>
                    <w:widowControl w:val="false"/>
                    <w:spacing w:lineRule="auto" w:line="240" w:before="60" w:after="60"/>
                    <w:ind w:left="57" w:right="57" w:hanging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</w:rPr>
                    <w:t>58252232.425200.0009.100.1.В4 ЗИП</w:t>
                  </w:r>
                </w:p>
              </w:tc>
            </w:tr>
            <w:tr>
              <w:trPr>
                <w:trHeight w:val="75" w:hRule="atLeast"/>
              </w:trPr>
              <w:tc>
                <w:tcPr>
                  <w:tcW w:w="6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6"/>
                    </w:numPr>
                    <w:tabs>
                      <w:tab w:val="clear" w:pos="709"/>
                      <w:tab w:val="left" w:pos="305" w:leader="none"/>
                    </w:tabs>
                    <w:suppressAutoHyphens w:val="false"/>
                    <w:spacing w:before="60" w:after="60"/>
                    <w:ind w:left="57" w:right="57" w:hanging="0"/>
                    <w:contextualSpacing w:val="false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</w:r>
                </w:p>
              </w:tc>
              <w:tc>
                <w:tcPr>
                  <w:tcW w:w="65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39"/>
                    <w:widowControl w:val="false"/>
                    <w:spacing w:lineRule="auto" w:line="240" w:before="60" w:after="60"/>
                    <w:ind w:left="57" w:right="57" w:hanging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bCs/>
                      <w:sz w:val="24"/>
                      <w:szCs w:val="28"/>
                      <w:lang w:val="en-US"/>
                    </w:rPr>
                    <w:t>Доукомплектация шкафа ШСО ДКС</w:t>
                  </w:r>
                </w:p>
              </w:tc>
              <w:tc>
                <w:tcPr>
                  <w:tcW w:w="42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39"/>
                    <w:widowControl w:val="false"/>
                    <w:spacing w:lineRule="auto" w:line="240" w:before="60" w:after="60"/>
                    <w:ind w:left="57" w:right="57" w:hanging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</w:rPr>
                    <w:t>58252232.425200.0009.401.21</w:t>
                  </w:r>
                </w:p>
              </w:tc>
            </w:tr>
            <w:tr>
              <w:trPr>
                <w:trHeight w:val="271" w:hRule="atLeast"/>
              </w:trPr>
              <w:tc>
                <w:tcPr>
                  <w:tcW w:w="690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6"/>
                    </w:numPr>
                    <w:tabs>
                      <w:tab w:val="clear" w:pos="709"/>
                      <w:tab w:val="left" w:pos="305" w:leader="none"/>
                    </w:tabs>
                    <w:suppressAutoHyphens w:val="false"/>
                    <w:spacing w:before="60" w:after="60"/>
                    <w:ind w:left="57" w:right="57" w:hanging="0"/>
                    <w:contextualSpacing w:val="false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</w:r>
                </w:p>
              </w:tc>
              <w:tc>
                <w:tcPr>
                  <w:tcW w:w="6504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39"/>
                    <w:widowControl w:val="false"/>
                    <w:spacing w:lineRule="auto" w:line="240" w:before="60" w:after="60"/>
                    <w:ind w:left="57" w:right="57" w:hanging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bCs/>
                      <w:sz w:val="24"/>
                      <w:szCs w:val="28"/>
                    </w:rPr>
                    <w:t>АРМ №2 оператора технолога ТГ-5, ТГ-6</w:t>
                  </w:r>
                </w:p>
              </w:tc>
              <w:tc>
                <w:tcPr>
                  <w:tcW w:w="4281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39"/>
                    <w:widowControl w:val="false"/>
                    <w:spacing w:lineRule="auto" w:line="240" w:before="60" w:after="60"/>
                    <w:ind w:left="57" w:right="57" w:hanging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Ведомость оборудования АРМ ГТУ</w:t>
                  </w:r>
                </w:p>
              </w:tc>
            </w:tr>
            <w:tr>
              <w:trPr>
                <w:trHeight w:val="111" w:hRule="atLeast"/>
              </w:trPr>
              <w:tc>
                <w:tcPr>
                  <w:tcW w:w="690" w:type="dxa"/>
                  <w:tcBorders>
                    <w:top w:val="singl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ListParagraph"/>
                    <w:widowControl w:val="false"/>
                    <w:numPr>
                      <w:ilvl w:val="0"/>
                      <w:numId w:val="16"/>
                    </w:numPr>
                    <w:tabs>
                      <w:tab w:val="clear" w:pos="709"/>
                      <w:tab w:val="left" w:pos="305" w:leader="none"/>
                    </w:tabs>
                    <w:suppressAutoHyphens w:val="false"/>
                    <w:spacing w:before="60" w:after="60"/>
                    <w:ind w:left="57" w:right="57" w:hanging="0"/>
                    <w:contextualSpacing w:val="false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</w:r>
                </w:p>
              </w:tc>
              <w:tc>
                <w:tcPr>
                  <w:tcW w:w="6504" w:type="dxa"/>
                  <w:tcBorders>
                    <w:top w:val="singl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39"/>
                    <w:widowControl w:val="false"/>
                    <w:spacing w:lineRule="auto" w:line="240" w:before="60" w:after="60"/>
                    <w:ind w:left="57" w:right="57" w:hanging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bCs/>
                      <w:sz w:val="24"/>
                      <w:szCs w:val="28"/>
                    </w:rPr>
                    <w:t>АРМ оператора ДКС с системным и прикладным ПО</w:t>
                  </w:r>
                </w:p>
              </w:tc>
              <w:tc>
                <w:tcPr>
                  <w:tcW w:w="4281" w:type="dxa"/>
                  <w:tcBorders>
                    <w:top w:val="singl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>
                  <w:pPr>
                    <w:pStyle w:val="Style39"/>
                    <w:widowControl w:val="false"/>
                    <w:spacing w:lineRule="auto" w:line="240" w:before="60" w:after="60"/>
                    <w:ind w:left="57" w:right="57" w:hanging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Ведомость оборудования АРМ ДКУ-3</w:t>
                  </w:r>
                </w:p>
              </w:tc>
            </w:tr>
          </w:tbl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Оборудование должно быть полностью готовым к монтажу и последующей эксплуатации.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Используемые при изготовлении шкафов и отдельно поставляемые материалы, компоненты и серийное оборудование могут быть заменены на эквивалентные, указанным в КД (ЗЗИ) и пп. 1.1.3 данной таблицы</w:t>
              <w:br/>
              <w:t>по техническим и функциональным характеристикам, не уступающим и/или превосходящим эти характеристики, в том числе по гарантийным срокам и срокам эксплуатации. При этом Поставщик</w:t>
              <w:br/>
              <w:t>до начала изготовления и поставки оборудования должен согласовать с заказчиком.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>Основные технические требования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Оборудование должно быть изготовлено в соответствии со стандартами МЭК (IEC) и следующей нормативно-технической документацией, в действующей редакции: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ГОСТ 12.2.049-80 «Оборудование производственное. Общие эргономические требования».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Правила устройства электроустановок (действующее издание).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Техническая политика ПАО «РусГидро» (Приложение № 3 к Техническим требованиям).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0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80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>
          <w:trHeight w:val="1549" w:hRule="atLeast"/>
        </w:trPr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>Общие требования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Устройства ПТК должны соответствовать требованиям безопасности персонала при монтаже, наладке, эксплуатации, обслуживании и ремонте технических средств, установленными действующей редакцией, следующих НТД: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46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ГОСТ 24.104-85 «Единая система стандартов автоматизированных систем управления. Автоматизированные системы управления. Общие требования».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46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ГОСТ 12.2.007.0-75 «Система стандартов безопасности труда(ССБТ). Изделия электротехнические. Общие требования безопасности».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46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ГОСТ 12.1.010-76 Система стандартов безопасности труда (ССБТ). Взрывобезопасность. Общие требования.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46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ГОСТ 12.1.012-2004 Система стандартов безопасности труда (ССБТ). Вибрационная безопасность. Общие требования.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46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ГОСТ 12.1.004-91 Пожарная безопасность. Общие требования.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46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ГОСТ 12.1.003 Шум. Общие требования безопасности.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46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ГОСТ 26329-84 (СТ СЭВ 4292-83) Машины вычислительные и системы обработки данных. Допустимые уровни шума технических средств и методы их определения.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46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ГОСТ 12.1.030-81 Электробезопасность. Защитное заземление, зануление.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46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ГОСТ 14254-96 (МЭК 529-89) Степени защиты, обеспечиваемые оболочками (код IP).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46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ГОСТ Р 50462-2009 Идентификация проводников посредством цветов и буквенно-цифровых обозначений.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46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ГОСТ 25861-83 Машины вычислительные и системы обработки данных. Требования</w:t>
              <w:br/>
              <w:t>по электрической и механической безопасности и методы испытаний.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 подготовке рабочего места, установке ПТК, проведении испытаний, наладочных и ремонтных работ должны быть соблюдены требования: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18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РД 153-34.0-03.301-00 Правила пожарной безопасности для энергетических предприятий Российской Федерации.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Степень защиты шкафов ПТК, должна быть не ниже IP54 по ГОСТ 14254-96 «Степени защиты, обеспечиваемые оболочками (код IP)».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Оборудование ПТК должно иметь маркировку сигнальными цветами и знаками безопасности</w:t>
              <w:br/>
              <w:t>по ГОСТ 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испытаний».</w:t>
            </w:r>
          </w:p>
        </w:tc>
      </w:tr>
      <w:tr>
        <w:trPr>
          <w:trHeight w:val="1032" w:hRule="atLeast"/>
        </w:trPr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электробезопасности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 условиям электробезопасности ПТК должны относиться к электроустановкам с напряжением</w:t>
              <w:br/>
              <w:t>до 1000 В.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соответствии с ГОСТ 12.2.007.0-75 «Система стандартов безопасности труда. Изделия электротехнические. Общие требования безопасности» ПТК должны относится к 1 классу по способу защиты человека от поражения электрическим током.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ПТК должны быть оборудованы сигнализацией наличия сетевого напряжения питания</w:t>
              <w:br/>
              <w:t>с соответствующей табличкой – указателем.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 внешние элементы технических средств ПТК, находящихся под напряжением, должны быть защищены от случайного прикосновения к ним обслуживающего персонала.</w:t>
            </w:r>
          </w:p>
        </w:tc>
      </w:tr>
      <w:tr>
        <w:trPr>
          <w:trHeight w:val="665" w:hRule="atLeast"/>
        </w:trPr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 к заземлению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 металлические части электроустановок, корпуса электрооборудования и металлоконструкций, которые могут оказаться под напряжением, подлежат заземлению. Устройства ПТК должны иметь приспособления для подключения к заземляющему контуру (устройство защитного заземления, минимальный диаметр болта заземления – М5, минимальный диаметр площадки – 14 мм.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Сопротивление заземления средств вычислительной техники и промышленных контроллеров, относительно болта заземления, к которому подключается шина заземления, проложенная в помещении, не должно превышать 0,1 Ом.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Сопротивление изоляции цепей ПТК относительно корпуса и между собой должно выдерживать в течение одной минуты при нормальных условиях испытательное напряжение:</w:t>
            </w:r>
          </w:p>
          <w:p>
            <w:pPr>
              <w:pStyle w:val="ListParagraph"/>
              <w:widowControl w:val="false"/>
              <w:numPr>
                <w:ilvl w:val="0"/>
                <w:numId w:val="14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18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цепях до 40 В - 250 В частоты 50 Гц.</w:t>
            </w:r>
          </w:p>
          <w:p>
            <w:pPr>
              <w:pStyle w:val="ListParagraph"/>
              <w:widowControl w:val="false"/>
              <w:numPr>
                <w:ilvl w:val="0"/>
                <w:numId w:val="14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18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цепях свыше 100 В - 1000 В частоты 50 Гц.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Электрическое сопротивление изоляции цепей ПТК относительно корпуса и друг друга при нормальных условиях должно быть не менее 100 МОм.</w:t>
              <w:tab/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0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80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>
          <w:trHeight w:val="177" w:hRule="atLeast"/>
        </w:trPr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Контроль качества используемых комплектующих,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запасных частей и материалов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Поставщик должен обеспечить входной контроль используемых материалов и запасных частей, включающий в себя проверку: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Наличия сертификатов для продукции, включенной Единый перечень продукции, подлежащей обязательной сертификации и в Единый перечень продукции, подлежащей декларированию, утвержденные Правительством РФ и действующие в период действия договора.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Наличия маркировки, сохранности упаковки, наличия и сохранности защитных и окрасочных покрытий.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Комплектности поставляемых материалов.</w:t>
            </w:r>
          </w:p>
        </w:tc>
      </w:tr>
      <w:tr>
        <w:trPr>
          <w:trHeight w:val="1018" w:hRule="atLeast"/>
        </w:trPr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используемым запасным частям и материалам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60" w:after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 поставляемые и применяемые запасные части, и материалы должны быть новыми и не использованными ранее.</w:t>
            </w:r>
          </w:p>
        </w:tc>
      </w:tr>
      <w:tr>
        <w:trPr>
          <w:trHeight w:val="192" w:hRule="atLeast"/>
        </w:trPr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Контроль качества используемых запасных частей и материалов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Наличия маркировки, сохранности упаковки, наличия и сохранности защитных и окрасочных покрытий.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Комплектности поставляемых материалов.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Наличия записей в реестре промышленной продукции, реестре радиоэлектронной продукции, реестре Минцифры (для ПО) в отношении всего поставляемого ПО и оборудования (в том числе подтверждающие письма от производителей оборудования и ПО).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0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80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lang w:val="ru-RU" w:eastAsia="ru-RU" w:bidi="ar-SA"/>
              </w:rPr>
              <w:t xml:space="preserve">Российская Федерация, Республика Саха (Якутия), г. Якутск, Вилюйский тракт, 7 км, 2а.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0"/>
                <w:lang w:val="en-US" w:eastAsia="ru-RU" w:bidi="ar-SA"/>
              </w:rPr>
              <w:t>Якутская ГРЭС Новая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center" w:pos="7639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x-none" w:eastAsia="x-none" w:bidi="ar-SA"/>
              </w:rPr>
              <w:t xml:space="preserve">Условия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x-none" w:bidi="ar-SA"/>
              </w:rPr>
              <w:t>доставки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Поставщик несет полную ответственность за качество упаковки.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Комплектация оборудования, транспортировка, контроль состояния продукции в процессе транспортировки, погрузка, контроль состояния продукции при погрузочно-разгрузочных работах, входной контроль при поставке, размещение на складе Заказчика выполняются силами и за счет средств Поставщика.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Габаритный груз должен быть в заводской упаковке.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Упаковка должна обеспечивать сохранность, оборудования при транспортировке от места</w:t>
              <w:br/>
              <w:t>производства оборудования до места назначения.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Оборудование (продукция) должно быть упаковано и промаркировано в тару, обеспечивающую сохранность, предотвращающую повреждения при транспортировке и хранении с учётом возможных перегрузок, в соответствии с требованиями ГОСТ 14192-96 «Маркировка грузов», в том числе</w:t>
              <w:br/>
              <w:t>в местностях с неблагоприятными климатическими условиями, в соответствии с требованиями ГОСТ 15846-2002 «Продукция, отправляемая в районы крайнего севера и приравненные к ним местности. Упаковка, маркировка, транспортирование и хранение».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Оборудование должно пройти все, предусмотренные Законодательством Российской Федерации (и применимым законодательством других государств), процедуры таможенной очистки.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Материалы поставки Поставщика должны быть поставлены в упаковке производителя, не нарушенной, без следов воздействия влаги, в соответствии с требованиями заводов-изготовителей. Упаковка и/или тара должна обеспечивать их сохранность от всякого рода повреждений при перевозке любыми видами транспорта, предохранять поставляемые материалы от внешних воздействий при хранении, а также обеспечивать их сохранность при проведении погрузо-разгрузочных работ вручную или механизированными средствами.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Поставщик предпринимает меры предосторожности для предотвращения порчи от дождя, сырости, влаги, конденсата, грибка, ржавчины, коррозии, вибраций, ударов и др. негативных воздействий на транспортируемые изделия, оборудование.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Если традиционная и общепринятая упаковка не способна обеспечить надежную защиту изделий, Поставщик с учетом своих сведений об изделиях или дополнительных требований заводов изготовителей применяет дополнительную упаковку.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Поставщик четко маркирует все грузовые места, в которых находятся «Запасные части», «Документация», «Инструмент» или «Аренда» (арендованное оборудование). Такая маркировка отображает предназначение изделий (монтаж, пусконаладочные работы или гарантийный срок).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Условия доставки должны обеспечивать полную сохранность оборудования с учетом климатических особенностей района Республика Саха (Якутия), по адресу, указанному в п. 4.1 данной таблицы.</w:t>
            </w:r>
          </w:p>
        </w:tc>
      </w:tr>
      <w:tr>
        <w:trPr>
          <w:trHeight w:val="328" w:hRule="atLeast"/>
        </w:trPr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center" w:pos="7639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Входной контроль при поставке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Поставщик обязан предварительно известить Заказчика о дате поставки и данных транспортного средства для организации допуска на территорию объекта Якутская ГРЭС Новая.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новой</w:t>
            </w:r>
            <w:r>
              <w:rPr>
                <w:rStyle w:val="FootnoteReference"/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footnoteReference w:id="2"/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, не находившейся в эксплуатации.</w:t>
            </w:r>
          </w:p>
        </w:tc>
      </w:tr>
      <w:tr>
        <w:trPr>
          <w:trHeight w:val="195" w:hRule="atLeast"/>
        </w:trPr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center" w:pos="7639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П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риемо-сдаточны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е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испытания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60" w:after="6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ходе исполнения договора Поставщик должен обеспечить проведение приемо-сдаточных испытаний на своей производственной площадке.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Перед началом приемо-сдаточных испытаний Заказчику должен быть предоставлен паспорт (или протокол) с отметкой службы ОТК, разрешающий подачу питания на изделие и обеспечено присутствие в комиссии специалистов ОТК Поставщика.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Предоставление площадки для проведения промежуточных приемо-сдаточных испытаний, которая должна соответствовать следующим требованиям:</w:t>
            </w:r>
          </w:p>
          <w:p>
            <w:pPr>
              <w:pStyle w:val="ListParagraph"/>
              <w:widowControl w:val="false"/>
              <w:numPr>
                <w:ilvl w:val="0"/>
                <w:numId w:val="18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276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Для обеспечения проверок качества сборки изделий и заявленных технических характеристик оснащенность следующим испытательным оборудованием:</w:t>
            </w:r>
          </w:p>
          <w:p>
            <w:pPr>
              <w:pStyle w:val="ListParagraph"/>
              <w:widowControl w:val="false"/>
              <w:numPr>
                <w:ilvl w:val="3"/>
                <w:numId w:val="19"/>
              </w:numPr>
              <w:suppressAutoHyphens w:val="false"/>
              <w:spacing w:before="60" w:after="60"/>
              <w:ind w:left="1843" w:hanging="567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источник питания 220В постоянного тока достаточной мощности для электропитания изделий;</w:t>
            </w:r>
          </w:p>
          <w:p>
            <w:pPr>
              <w:pStyle w:val="ListParagraph"/>
              <w:widowControl w:val="false"/>
              <w:numPr>
                <w:ilvl w:val="3"/>
                <w:numId w:val="19"/>
              </w:numPr>
              <w:suppressAutoHyphens w:val="false"/>
              <w:spacing w:before="60" w:after="60"/>
              <w:ind w:left="1843" w:hanging="567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мультиметр цифровой;</w:t>
            </w:r>
          </w:p>
          <w:p>
            <w:pPr>
              <w:pStyle w:val="ListParagraph"/>
              <w:widowControl w:val="false"/>
              <w:numPr>
                <w:ilvl w:val="3"/>
                <w:numId w:val="19"/>
              </w:numPr>
              <w:suppressAutoHyphens w:val="false"/>
              <w:spacing w:before="60" w:after="60"/>
              <w:ind w:left="1843" w:hanging="567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калибратор токовой петли 4-20 мА;</w:t>
            </w:r>
          </w:p>
          <w:p>
            <w:pPr>
              <w:pStyle w:val="ListParagraph"/>
              <w:widowControl w:val="false"/>
              <w:numPr>
                <w:ilvl w:val="3"/>
                <w:numId w:val="19"/>
              </w:numPr>
              <w:suppressAutoHyphens w:val="false"/>
              <w:spacing w:before="60" w:after="60"/>
              <w:ind w:left="1843" w:hanging="567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мегомметр.</w:t>
            </w:r>
          </w:p>
          <w:p>
            <w:pPr>
              <w:pStyle w:val="ListParagraph"/>
              <w:widowControl w:val="false"/>
              <w:numPr>
                <w:ilvl w:val="0"/>
                <w:numId w:val="18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276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Наличие внешних цепей электропитания 220, 50Гц;</w:t>
            </w:r>
          </w:p>
          <w:p>
            <w:pPr>
              <w:pStyle w:val="ListParagraph"/>
              <w:widowControl w:val="false"/>
              <w:numPr>
                <w:ilvl w:val="0"/>
                <w:numId w:val="18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276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Наличие заземляющего контура в соответствии ПУЭ для защиты персонала от поражения электрическим током в ходе проведения испытаний.</w:t>
            </w:r>
          </w:p>
          <w:p>
            <w:pPr>
              <w:pStyle w:val="Normal"/>
              <w:widowControl/>
              <w:suppressAutoHyphens w:val="false"/>
              <w:spacing w:lineRule="auto" w:line="240" w:before="60" w:after="6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4.4.3 Наличие у Поставщика возможности оперативного (до 1 суток) устранения замечаний по сборке, обнаруженных в ходе приемо-сдаточных испытаний перед отправкой оборудования на объект.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0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80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center" w:pos="7639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Назначенный срок службы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center" w:pos="7639" w:leader="none"/>
              </w:tabs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Должен составлять не менее 10 лет.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0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80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center" w:pos="7639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Объем гарантий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Гарантии должны распространяются на все поставляемое оборудование, детали и узлы.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Срок использования программного продукта и сертификатов технической поддержки должен соответствовать артикулам установлен рабочей документацией.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center" w:pos="7639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center" w:pos="7639" w:leader="none"/>
              </w:tabs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Гарантийный срок на Товар, поставленный по Договору, составляет 48 (Сорок восемь) месяцев с даты подписания Сторонами накладной ТОРГ-12/УПД.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0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80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70" w:hRule="atLeast"/>
        </w:trPr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center" w:pos="7639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 оборудованием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/>
              <w:tabs>
                <w:tab w:val="clear" w:pos="709"/>
                <w:tab w:val="center" w:pos="7639" w:leader="none"/>
              </w:tabs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ней оформленные документы, а именно: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Технические паспорта.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Руководства по эксплуатации.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Упаковочные листы.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Упаковочные ярлыки.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Товарно-транспортные накладны формы № 1-Т.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Товарные накладные унифицированной формы ТОРГ-12/УПД в 2 экз.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Отчетная документация предоставляется Поставщиком на бумажном носителе и в электронном виде.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center" w:pos="7639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Наличие сертификатов соответствия ГОСТ на поставляемое оборудование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Поставляемое оборудование должно быть сертифицировано.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Заказчику относящиеся к нему, оформленные надлежащим образом следующие документы:</w:t>
            </w:r>
          </w:p>
          <w:p>
            <w:pPr>
              <w:pStyle w:val="ListParagraph"/>
              <w:widowControl w:val="false"/>
              <w:numPr>
                <w:ilvl w:val="0"/>
                <w:numId w:val="17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18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Сертификат происхождения.</w:t>
            </w:r>
          </w:p>
          <w:p>
            <w:pPr>
              <w:pStyle w:val="ListParagraph"/>
              <w:widowControl w:val="false"/>
              <w:numPr>
                <w:ilvl w:val="0"/>
                <w:numId w:val="17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18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Сертификат качества.</w:t>
            </w:r>
          </w:p>
          <w:p>
            <w:pPr>
              <w:pStyle w:val="ListParagraph"/>
              <w:widowControl w:val="false"/>
              <w:numPr>
                <w:ilvl w:val="0"/>
                <w:numId w:val="17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18" w:hanging="567"/>
              <w:contextualSpacing w:val="false"/>
              <w:jc w:val="both"/>
              <w:rPr>
                <w:rFonts w:eastAsia="Times New Roman"/>
              </w:rPr>
            </w:pPr>
            <w:r>
              <w:rPr>
                <w:kern w:val="0"/>
                <w:lang w:val="ru-RU" w:bidi="ar-SA"/>
              </w:rPr>
              <w:t xml:space="preserve">Сертификат соответствия для оборудования и продукции, включенного в Единый перечень продукции, подлежащей обязательной сертификации. </w:t>
            </w:r>
          </w:p>
          <w:p>
            <w:pPr>
              <w:pStyle w:val="ListParagraph"/>
              <w:widowControl w:val="false"/>
              <w:numPr>
                <w:ilvl w:val="0"/>
                <w:numId w:val="17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18" w:hanging="567"/>
              <w:contextualSpacing w:val="false"/>
              <w:jc w:val="both"/>
              <w:rPr>
                <w:rFonts w:eastAsia="Times New Roman"/>
              </w:rPr>
            </w:pPr>
            <w:r>
              <w:rPr>
                <w:kern w:val="0"/>
                <w:lang w:val="ru-RU" w:bidi="ar-SA"/>
              </w:rPr>
              <w:t>Декларация для оборудования и продукции, включенная в Единый перечень продукции, подлежащей декларированию, утвержденные Правительством РФ и действующие в период действия договора.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0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80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center" w:pos="7639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Перечень НТД</w:t>
            </w:r>
          </w:p>
        </w:tc>
        <w:tc>
          <w:tcPr>
            <w:tcW w:w="12674" w:type="dxa"/>
            <w:tcBorders/>
            <w:shd w:color="auto" w:fill="auto" w:val="clear"/>
          </w:tcPr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ходе исполнения договора Поставщик должен руководствоваться действующей редакцией следующих национальных, отраслевых и корпоративных нормативно-техническими документами (НТД):</w:t>
            </w:r>
          </w:p>
          <w:p>
            <w:pPr>
              <w:pStyle w:val="ListParagraph"/>
              <w:widowControl w:val="false"/>
              <w:numPr>
                <w:ilvl w:val="0"/>
                <w:numId w:val="15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18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ГОСТ 14254-215 «Степени защиты, обеспечиваемые оболочками (Код IP)».</w:t>
            </w:r>
          </w:p>
          <w:p>
            <w:pPr>
              <w:pStyle w:val="ListParagraph"/>
              <w:widowControl w:val="false"/>
              <w:numPr>
                <w:ilvl w:val="0"/>
                <w:numId w:val="15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18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ГОСТ 8865-93. «Системы электрической изоляции. Оценка на нагревостойкости и классификация».</w:t>
            </w:r>
          </w:p>
          <w:p>
            <w:pPr>
              <w:pStyle w:val="ListParagraph"/>
              <w:widowControl w:val="false"/>
              <w:numPr>
                <w:ilvl w:val="0"/>
                <w:numId w:val="15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18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ГОСТ 15150-69.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среды».</w:t>
            </w:r>
          </w:p>
          <w:p>
            <w:pPr>
              <w:pStyle w:val="ListParagraph"/>
              <w:widowControl w:val="false"/>
              <w:numPr>
                <w:ilvl w:val="0"/>
                <w:numId w:val="15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18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Правила устройства электроустановок.</w:t>
            </w:r>
          </w:p>
          <w:p>
            <w:pPr>
              <w:pStyle w:val="ListParagraph"/>
              <w:widowControl w:val="false"/>
              <w:numPr>
                <w:ilvl w:val="0"/>
                <w:numId w:val="15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18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РД 34.35.310-97 «Общие технические требования к микропроцессорным устройствам защиты и автоматики энергосистем».</w:t>
            </w:r>
          </w:p>
          <w:p>
            <w:pPr>
              <w:pStyle w:val="ListParagraph"/>
              <w:widowControl w:val="false"/>
              <w:numPr>
                <w:ilvl w:val="0"/>
                <w:numId w:val="15"/>
              </w:numPr>
              <w:tabs>
                <w:tab w:val="clear" w:pos="709"/>
                <w:tab w:val="left" w:pos="426" w:leader="none"/>
              </w:tabs>
              <w:suppressAutoHyphens w:val="false"/>
              <w:spacing w:before="60" w:after="60"/>
              <w:ind w:left="1418" w:hanging="567"/>
              <w:contextualSpacing w:val="false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РД 34.45-51.300-97 «Объем и нормы испытаний электрооборудования».</w:t>
            </w:r>
          </w:p>
          <w:p>
            <w:pPr>
              <w:pStyle w:val="Normal"/>
              <w:widowControl/>
              <w:numPr>
                <w:ilvl w:val="2"/>
                <w:numId w:val="9"/>
              </w:numPr>
              <w:suppressAutoHyphens w:val="false"/>
              <w:spacing w:lineRule="auto" w:line="240" w:before="60" w:after="60"/>
              <w:ind w:left="851" w:hanging="851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случае если какой-либо из указанных в Технических требованиях ГОСТ или нормативный документ был заменен/отменен в процессе проведения закупки и/или в период исполнения договора в связи с выпуском новой редакции стандарта, то Участнику необходимо применять ГОСТ или нормативный документ, принятый в его развитие.</w:t>
            </w:r>
          </w:p>
        </w:tc>
      </w:tr>
      <w:tr>
        <w:trPr/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0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4809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экономическим параметрам</w:t>
            </w:r>
          </w:p>
        </w:tc>
      </w:tr>
      <w:tr>
        <w:trPr>
          <w:trHeight w:val="801" w:hRule="atLeast"/>
        </w:trPr>
        <w:tc>
          <w:tcPr>
            <w:tcW w:w="895" w:type="dxa"/>
            <w:tcBorders/>
          </w:tcPr>
          <w:p>
            <w:pPr>
              <w:pStyle w:val="Normal"/>
              <w:widowControl/>
              <w:numPr>
                <w:ilvl w:val="1"/>
                <w:numId w:val="9"/>
              </w:numPr>
              <w:suppressAutoHyphens w:val="false"/>
              <w:spacing w:lineRule="auto" w:line="240" w:before="60" w:after="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5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center" w:pos="7639" w:leader="none"/>
              </w:tabs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Порядок сдачи-приемки оборудования</w:t>
            </w:r>
          </w:p>
        </w:tc>
        <w:tc>
          <w:tcPr>
            <w:tcW w:w="1267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center" w:pos="7639" w:leader="none"/>
              </w:tabs>
              <w:suppressAutoHyphens w:val="true"/>
              <w:spacing w:lineRule="auto" w:line="240"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Приемка оборудования оформляется подписанием сторонами унифицированной формы ТОРГ-12/УПД «Товарная накладная».</w:t>
            </w:r>
          </w:p>
        </w:tc>
      </w:tr>
    </w:tbl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footnotePr>
            <w:numFmt w:val="decimal"/>
          </w:footnotePr>
          <w:type w:val="nextPage"/>
          <w:pgSz w:orient="landscape" w:w="16838" w:h="11906"/>
          <w:pgMar w:left="567" w:right="567" w:gutter="0" w:header="0" w:top="1418" w:footer="567" w:bottom="709"/>
          <w:pgNumType w:fmt="decimal"/>
          <w:formProt w:val="false"/>
          <w:textDirection w:val="lrTb"/>
          <w:docGrid w:type="default" w:linePitch="381" w:charSpace="36864"/>
        </w:sectPr>
      </w:pPr>
    </w:p>
    <w:p>
      <w:pPr>
        <w:pStyle w:val="Normal"/>
        <w:keepNext w:val="true"/>
        <w:numPr>
          <w:ilvl w:val="0"/>
          <w:numId w:val="3"/>
        </w:numPr>
        <w:tabs>
          <w:tab w:val="clear" w:pos="709"/>
          <w:tab w:val="left" w:pos="993" w:leader="none"/>
        </w:tabs>
        <w:spacing w:lineRule="auto" w:line="240" w:before="0" w:after="120"/>
        <w:ind w:left="0" w:firstLine="709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val="x-none" w:eastAsia="x-none"/>
        </w:rPr>
      </w:pPr>
      <w:bookmarkStart w:id="37" w:name="_Toc75446583"/>
      <w:bookmarkStart w:id="38" w:name="_Toc198879911"/>
      <w:bookmarkStart w:id="39" w:name="_Toc53393312"/>
      <w:r>
        <w:rPr>
          <w:rFonts w:eastAsia="Calibri" w:cs="Times New Roman" w:ascii="Times New Roman" w:hAnsi="Times New Roman"/>
          <w:b/>
          <w:sz w:val="28"/>
          <w:szCs w:val="28"/>
          <w:lang w:val="x-none" w:eastAsia="x-none"/>
        </w:rPr>
        <w:t>Требования к документации по ценообразованию</w:t>
      </w:r>
      <w:bookmarkEnd w:id="39"/>
      <w:r>
        <w:rPr>
          <w:rFonts w:eastAsia="Calibri" w:cs="Times New Roman" w:ascii="Times New Roman" w:hAnsi="Times New Roman"/>
          <w:b/>
          <w:sz w:val="28"/>
          <w:szCs w:val="28"/>
          <w:lang w:val="x-none" w:eastAsia="x-none"/>
        </w:rPr>
        <w:t xml:space="preserve"> на этапе закупки</w:t>
      </w:r>
      <w:bookmarkEnd w:id="37"/>
      <w:bookmarkEnd w:id="38"/>
    </w:p>
    <w:p>
      <w:pPr>
        <w:pStyle w:val="ListParagraph"/>
        <w:numPr>
          <w:ilvl w:val="1"/>
          <w:numId w:val="3"/>
        </w:numPr>
        <w:spacing w:before="60" w:after="60"/>
        <w:ind w:left="709" w:hanging="709"/>
        <w:contextualSpacing w:val="false"/>
        <w:jc w:val="both"/>
        <w:rPr/>
      </w:pPr>
      <w:r>
        <w:rPr/>
        <w:t xml:space="preserve">В обоснование стоимости своей заявки Участник предоставляет Коммерческое предложение по форме </w:t>
      </w:r>
      <w:bookmarkStart w:id="40" w:name="_Hlk88325985"/>
      <w:r>
        <w:rPr/>
        <w:t>(с учетом прилагаемой к ней инструкции по заполнению)</w:t>
      </w:r>
      <w:bookmarkEnd w:id="40"/>
      <w:r>
        <w:rPr/>
        <w:t>, приведенной в Документации о закупке,</w:t>
      </w:r>
      <w:r>
        <w:rPr>
          <w:rFonts w:eastAsia="Calibri" w:cs="" w:ascii="Calibri" w:hAnsi="Calibri" w:asciiTheme="minorHAnsi" w:cstheme="minorBidi" w:eastAsiaTheme="minorHAnsi" w:hAnsiTheme="minorHAnsi"/>
          <w:bCs/>
          <w:iCs/>
          <w:color w:val="000000"/>
          <w:sz w:val="22"/>
          <w:szCs w:val="22"/>
          <w:lang w:eastAsia="x-none"/>
        </w:rPr>
        <w:t xml:space="preserve"> </w:t>
      </w:r>
      <w:r>
        <w:rPr>
          <w:bCs/>
          <w:iCs/>
        </w:rPr>
        <w:t>с приложением к нему заполненной формы Приложения № 1 к Техническим требованиям – Спецификация поставляемого оборудования и ПО.</w:t>
      </w:r>
    </w:p>
    <w:p>
      <w:pPr>
        <w:pStyle w:val="ListParagraph"/>
        <w:numPr>
          <w:ilvl w:val="1"/>
          <w:numId w:val="3"/>
        </w:numPr>
        <w:suppressAutoHyphens w:val="false"/>
        <w:spacing w:before="60" w:after="60"/>
        <w:ind w:left="709" w:hanging="709"/>
        <w:contextualSpacing w:val="false"/>
        <w:jc w:val="both"/>
        <w:rPr>
          <w:bCs/>
          <w:iCs/>
          <w:sz w:val="28"/>
          <w:szCs w:val="28"/>
          <w:lang w:eastAsia="x-none"/>
        </w:rPr>
      </w:pPr>
      <w:r>
        <w:rPr>
          <w:bCs/>
          <w:iCs/>
          <w:lang w:eastAsia="x-none"/>
        </w:rPr>
        <w:t>Дополнительные документы по ценообразованию (сметная документация) в состав заявки Участника не включаются</w:t>
      </w:r>
      <w:r>
        <w:rPr>
          <w:bCs/>
          <w:iCs/>
          <w:sz w:val="28"/>
          <w:szCs w:val="28"/>
          <w:lang w:eastAsia="x-none"/>
        </w:rPr>
        <w:t>.</w:t>
      </w:r>
    </w:p>
    <w:p>
      <w:pPr>
        <w:pStyle w:val="Normal"/>
        <w:keepNext w:val="true"/>
        <w:numPr>
          <w:ilvl w:val="0"/>
          <w:numId w:val="3"/>
        </w:numPr>
        <w:tabs>
          <w:tab w:val="clear" w:pos="709"/>
          <w:tab w:val="left" w:pos="993" w:leader="none"/>
        </w:tabs>
        <w:spacing w:lineRule="auto" w:line="240" w:before="120" w:after="60"/>
        <w:ind w:left="0" w:firstLine="709"/>
        <w:jc w:val="center"/>
        <w:outlineLvl w:val="0"/>
        <w:rPr>
          <w:rFonts w:ascii="Times New Roman" w:hAnsi="Times New Roman" w:eastAsia="Calibri" w:cs="Times New Roman"/>
          <w:b/>
          <w:sz w:val="28"/>
          <w:szCs w:val="28"/>
          <w:lang w:val="x-none" w:eastAsia="x-none"/>
        </w:rPr>
      </w:pPr>
      <w:bookmarkStart w:id="41" w:name="_Toc198879913"/>
      <w:bookmarkStart w:id="42" w:name="_Toc46743519"/>
      <w:bookmarkStart w:id="43" w:name="_Toc130201883"/>
      <w:bookmarkStart w:id="44" w:name="_Toc51339699"/>
      <w:r>
        <w:rPr>
          <w:rFonts w:eastAsia="Calibri" w:cs="Times New Roman" w:ascii="Times New Roman" w:hAnsi="Times New Roman"/>
          <w:b/>
          <w:sz w:val="28"/>
          <w:szCs w:val="28"/>
          <w:lang w:val="x-none" w:eastAsia="x-none"/>
        </w:rPr>
        <w:t>Приложени</w:t>
      </w:r>
      <w:bookmarkEnd w:id="42"/>
      <w:bookmarkEnd w:id="43"/>
      <w:bookmarkEnd w:id="44"/>
      <w:r>
        <w:rPr>
          <w:rFonts w:eastAsia="Calibri" w:cs="Times New Roman" w:ascii="Times New Roman" w:hAnsi="Times New Roman"/>
          <w:b/>
          <w:sz w:val="28"/>
          <w:szCs w:val="28"/>
          <w:lang w:val="x-none" w:eastAsia="x-none"/>
        </w:rPr>
        <w:t>я</w:t>
      </w:r>
      <w:bookmarkEnd w:id="41"/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Каждое приложение доступно к открытию путем двойного клика по значку, содержащему ссылку</w:t>
      </w:r>
    </w:p>
    <w:tbl>
      <w:tblPr>
        <w:tblStyle w:val="4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635"/>
        <w:gridCol w:w="7285"/>
      </w:tblGrid>
      <w:tr>
        <w:trPr/>
        <w:tc>
          <w:tcPr>
            <w:tcW w:w="26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Ссылки на документ</w:t>
            </w:r>
          </w:p>
        </w:tc>
        <w:tc>
          <w:tcPr>
            <w:tcW w:w="72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Наименование документа</w:t>
            </w:r>
            <w:bookmarkStart w:id="45" w:name="_MON_1850366511"/>
          </w:p>
        </w:tc>
      </w:tr>
      <w:tr>
        <w:trPr>
          <w:trHeight w:val="717" w:hRule="atLeast"/>
        </w:trPr>
        <w:tc>
          <w:tcPr>
            <w:tcW w:w="263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End w:id="45"/>
            <w:r>
              <w:rPr>
                <w:rFonts w:eastAsia="Calibri"/>
                <w:kern w:val="0"/>
                <w:lang w:val="ru-RU" w:eastAsia="ru-RU" w:bidi="ar-SA"/>
              </w:rPr>
              <w:object>
                <v:shapetype id="_x0000_tole_rId8" coordsize="21600,21600" o:spt="ole_rId8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8" type="_x0000_tole_rId8" style="width:76.5pt;height:49.5pt;mso-wrap-distance-right:0pt;mso-wrap-distance-bottom:3pt" filled="f" o:ole="">
                  <v:imagedata r:id="rId9" o:title=""/>
                </v:shape>
                <o:OLEObject Type="Embed" ProgID="Excel.Sheet.12" ShapeID="ole_rId8" DrawAspect="Icon" ObjectID="_326826742" r:id="rId8"/>
              </w:object>
            </w:r>
          </w:p>
        </w:tc>
        <w:tc>
          <w:tcPr>
            <w:tcW w:w="72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Приложение № 1 –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С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пецификация поставляемого оборудования</w:t>
            </w:r>
          </w:p>
        </w:tc>
      </w:tr>
      <w:tr>
        <w:trPr>
          <w:trHeight w:val="230" w:hRule="atLeast"/>
        </w:trPr>
        <w:tc>
          <w:tcPr>
            <w:tcW w:w="26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lang w:val="ru-RU" w:eastAsia="ru-RU" w:bidi="ar-SA"/>
              </w:rPr>
              <w:object>
                <v:shapetype id="_x0000_tole_rId10" coordsize="21600,21600" o:spt="ole_rId10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10" type="_x0000_tole_rId10" style="width:76.5pt;height:49.5pt;mso-wrap-distance-right:0pt;mso-wrap-distance-bottom:3pt" filled="f" o:ole="">
                  <v:imagedata r:id="rId11" o:title=""/>
                </v:shape>
                <o:OLEObject Type="Embed" ProgID="FoxitReader.Document" ShapeID="ole_rId10" DrawAspect="Icon" ObjectID="_352347966" r:id="rId10"/>
              </w:object>
              <mc:AlternateContent>
                <mc:Choice Requires="wps">
                  <w:drawing>
                    <wp:anchor behindDoc="0" distT="0" distB="0" distL="114300" distR="0" simplePos="0" locked="0" layoutInCell="1" allowOverlap="1" relativeHeight="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635" t="0" r="0" b="0"/>
                      <wp:wrapNone/>
                      <wp:docPr id="1" name="_x0000_tole_rId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_x0000_tole_rId10" stroked="f" o:allowincell="t" style="position:absolute;margin-left:0.05pt;margin-top:0pt;width:49.95pt;height:49.95pt;mso-wrap-style:none;v-text-anchor:middle" type="_x0000_t75">
                      <v:fill o:detectmouseclick="t" on="false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72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Приложение №2.1.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Ведомость ЗИП</w:t>
            </w:r>
          </w:p>
        </w:tc>
      </w:tr>
      <w:tr>
        <w:trPr>
          <w:trHeight w:val="228" w:hRule="atLeast"/>
        </w:trPr>
        <w:tc>
          <w:tcPr>
            <w:tcW w:w="26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lang w:val="ru-RU" w:eastAsia="ru-RU" w:bidi="ar-SA"/>
              </w:rPr>
              <w:object>
                <v:shapetype id="_x0000_tole_rId12" coordsize="21600,21600" o:spt="ole_rId12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12" type="_x0000_tole_rId12" style="width:76.5pt;height:49.5pt;mso-wrap-distance-right:0pt;mso-wrap-distance-bottom:3pt" filled="f" o:ole="">
                  <v:imagedata r:id="rId13" o:title=""/>
                </v:shape>
                <o:OLEObject Type="Embed" ProgID="Package" ShapeID="ole_rId12" DrawAspect="Icon" ObjectID="_882242970" r:id="rId12"/>
              </w:object>
              <mc:AlternateContent>
                <mc:Choice Requires="wps">
                  <w:drawing>
                    <wp:anchor behindDoc="0" distT="0" distB="0" distL="114300" distR="0" simplePos="0" locked="0" layoutInCell="1" allowOverlap="1" relativeHeight="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635" t="0" r="0" b="0"/>
                      <wp:wrapNone/>
                      <wp:docPr id="2" name="_x0000_tole_rId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_x0000_tole_rId12" stroked="f" o:allowincell="t" style="position:absolute;margin-left:0.05pt;margin-top:0pt;width:49.95pt;height:49.95pt;mso-wrap-style:none;v-text-anchor:middle" type="_x0000_t75">
                      <v:fill o:detectmouseclick="t" on="false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</w:p>
        </w:tc>
        <w:tc>
          <w:tcPr>
            <w:tcW w:w="72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Приложение №2.2. Конструкторская документация доукомплектация шкафа ШСО ДКС</w:t>
            </w:r>
          </w:p>
        </w:tc>
      </w:tr>
      <w:tr>
        <w:trPr>
          <w:trHeight w:val="897" w:hRule="atLeast"/>
        </w:trPr>
        <w:tc>
          <w:tcPr>
            <w:tcW w:w="26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  <w:kern w:val="0"/>
                <w:lang w:val="ru-RU" w:eastAsia="ru-RU" w:bidi="ar-SA"/>
              </w:rPr>
              <w:object>
                <v:shapetype id="_x0000_tole_rId14" coordsize="21600,21600" o:spt="ole_rId14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14" type="_x0000_tole_rId14" style="width:76.5pt;height:49.5pt;mso-wrap-distance-right:0pt;mso-wrap-distance-bottom:3pt" filled="f" o:ole="">
                  <v:imagedata r:id="rId15" o:title=""/>
                </v:shape>
                <o:OLEObject Type="Embed" ProgID="Excel.Sheet.12" ShapeID="ole_rId14" DrawAspect="Icon" ObjectID="_2087871829" r:id="rId14"/>
              </w:object>
            </w:r>
          </w:p>
        </w:tc>
        <w:tc>
          <w:tcPr>
            <w:tcW w:w="72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_MON_1781342053"/>
            <w:bookmarkEnd w:id="46"/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Приложение №2.3. Ведомость оборудования АРМ ГТУ</w:t>
            </w:r>
          </w:p>
        </w:tc>
      </w:tr>
      <w:tr>
        <w:trPr>
          <w:trHeight w:val="1020" w:hRule="atLeast"/>
        </w:trPr>
        <w:tc>
          <w:tcPr>
            <w:tcW w:w="26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" w:name="_GoBack"/>
            <w:r>
              <w:rPr>
                <w:rFonts w:eastAsia="Calibri"/>
                <w:kern w:val="0"/>
                <w:lang w:val="ru-RU" w:eastAsia="ru-RU" w:bidi="ar-SA"/>
              </w:rPr>
              <w:object>
                <v:shapetype id="_x0000_tole_rId16" coordsize="21600,21600" o:spt="ole_rId16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16" type="_x0000_tole_rId16" style="width:76.5pt;height:49.5pt;mso-wrap-distance-right:0pt;mso-wrap-distance-bottom:3pt" filled="f" o:ole="">
                  <v:imagedata r:id="rId17" o:title=""/>
                </v:shape>
                <o:OLEObject Type="Embed" ProgID="Excel.Sheet.12" ShapeID="ole_rId16" DrawAspect="Icon" ObjectID="_1357625569" r:id="rId16"/>
              </w:object>
            </w:r>
            <w:bookmarkEnd w:id="47"/>
          </w:p>
        </w:tc>
        <w:tc>
          <w:tcPr>
            <w:tcW w:w="7285" w:type="dxa"/>
            <w:tcBorders/>
            <w:vAlign w:val="center"/>
          </w:tcPr>
          <w:p>
            <w:pPr>
              <w:pStyle w:val="Style39"/>
              <w:widowControl/>
              <w:suppressAutoHyphens w:val="true"/>
              <w:spacing w:lineRule="auto" w:line="240" w:before="60" w:after="60"/>
              <w:ind w:left="57" w:right="57" w:hanging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Приложение №2.4. Ведомость оборудования АРМ ДКУ-3</w:t>
            </w:r>
            <w:bookmarkStart w:id="48" w:name="_MON_1808823522"/>
          </w:p>
        </w:tc>
      </w:tr>
      <w:tr>
        <w:trPr/>
        <w:tc>
          <w:tcPr>
            <w:tcW w:w="26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End w:id="48"/>
            <w:r>
              <w:rPr>
                <w:rFonts w:eastAsia="Calibri"/>
                <w:kern w:val="0"/>
                <w:lang w:val="ru-RU" w:eastAsia="ru-RU" w:bidi="ar-SA"/>
              </w:rPr>
              <w:object>
                <v:shapetype id="_x0000_tole_rId18" coordsize="21600,21600" o:spt="ole_rId18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18" type="_x0000_tole_rId18" style="width:77.25pt;height:49.5pt;mso-wrap-distance-right:0pt;mso-wrap-distance-bottom:3pt" filled="f" o:ole="">
                  <v:imagedata r:id="rId19" o:title=""/>
                </v:shape>
                <o:OLEObject Type="Embed" ProgID="AcroExch.Document.DC" ShapeID="ole_rId18" DrawAspect="Icon" ObjectID="_1492413058" r:id="rId18"/>
              </w:object>
            </w:r>
          </w:p>
        </w:tc>
        <w:tc>
          <w:tcPr>
            <w:tcW w:w="72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Приложение № 3. Техническая политика группы РусГидро</w:t>
            </w:r>
          </w:p>
        </w:tc>
      </w:tr>
    </w:tbl>
    <w:p>
      <w:pPr>
        <w:pStyle w:val="Normal"/>
        <w:rPr/>
      </w:pPr>
      <w:r>
        <w:rPr/>
      </w:r>
      <w:bookmarkStart w:id="49" w:name="_MON_1809495419"/>
      <w:bookmarkStart w:id="50" w:name="_MON_1809495419"/>
      <w:bookmarkEnd w:id="50"/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0"/>
      <w:headerReference w:type="first" r:id="rId21"/>
      <w:footerReference w:type="default" r:id="rId22"/>
      <w:footerReference w:type="first" r:id="rId23"/>
      <w:footnotePr>
        <w:numFmt w:val="decimal"/>
      </w:footnotePr>
      <w:type w:val="nextPage"/>
      <w:pgSz w:w="11906" w:h="16838"/>
      <w:pgMar w:left="1418" w:right="567" w:gutter="0" w:header="680" w:top="737" w:footer="0" w:bottom="709"/>
      <w:pgNumType w:fmt="decimal"/>
      <w:formProt w:val="false"/>
      <w:textDirection w:val="lrTb"/>
      <w:docGrid w:type="default" w:linePitch="381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egoe U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4047366"/>
    </w:sdtPr>
    <w:sdtContent>
      <w:p>
        <w:pPr>
          <w:pStyle w:val="Footer"/>
          <w:jc w:val="right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76778071"/>
    </w:sdtPr>
    <w:sdtContent>
      <w:p>
        <w:pPr>
          <w:pStyle w:val="Footer"/>
          <w:jc w:val="right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rPr/>
      </w:pPr>
      <w:r>
        <w:rPr>
          <w:rStyle w:val="Style1"/>
        </w:rPr>
        <w:footnoteRef/>
      </w:r>
      <w:r>
        <w:rPr/>
        <w:t xml:space="preserve"> </w:t>
      </w:r>
      <w:r>
        <w:rPr/>
        <w:t>Под новой следует понимать продукцию, которая не была в употреблении, не проходила ремонт, в том числе восстановление потребительских свойств.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2073085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4536"/>
        </w:tabs>
        <w:ind w:left="560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>
        <w:b w:val="fals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>
        <w:sz w:val="24"/>
        <w:b/>
        <w:szCs w:val="24"/>
        <w:bCs w:val="fals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5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5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4"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5"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6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0"/>
      </w:pPr>
      <w:rPr/>
    </w:lvl>
  </w:abstractNum>
  <w:abstractNum w:abstractNumId="17"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8"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19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84" w:hanging="180"/>
      </w:pPr>
      <w:rPr>
        <w:rFonts w:cs="Times New Roman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41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8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2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704" w:hanging="180"/>
      </w:pPr>
      <w:rPr>
        <w:rFonts w:cs="Times New Roman"/>
      </w:rPr>
    </w:lvl>
  </w:abstractNum>
  <w:abstractNum w:abstractNumId="2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99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uiPriority="0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 w:qFormat="1"/>
    <w:lsdException w:name="line number" w:uiPriority="0" w:semiHidden="1" w:unhideWhenUsed="1"/>
    <w:lsdException w:name="page number" w:uiPriority="0" w:semiHidden="1" w:unhideWhenUsed="1" w:qFormat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12cc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f62e73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f62e73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f62e73"/>
    <w:pPr>
      <w:keepNext w:val="true"/>
      <w:tabs>
        <w:tab w:val="clear" w:pos="709"/>
        <w:tab w:val="left" w:pos="0" w:leader="none"/>
      </w:tabs>
      <w:spacing w:lineRule="auto" w:line="240" w:before="120" w:after="60"/>
      <w:ind w:left="1224" w:hanging="504"/>
      <w:outlineLvl w:val="2"/>
    </w:pPr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f62e73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f62e73"/>
    <w:pPr>
      <w:spacing w:lineRule="auto" w:line="240" w:before="240" w:after="60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f62e73"/>
    <w:pPr>
      <w:keepNext w:val="true"/>
      <w:keepLines/>
      <w:spacing w:lineRule="auto" w:line="240"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f62e73"/>
    <w:pPr>
      <w:keepNext w:val="true"/>
      <w:keepLines/>
      <w:spacing w:lineRule="auto" w:line="240"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f62e73"/>
    <w:pPr>
      <w:keepNext w:val="true"/>
      <w:keepLines/>
      <w:spacing w:lineRule="auto" w:line="240"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f62e73"/>
    <w:pPr>
      <w:spacing w:lineRule="auto" w:line="240" w:before="240" w:after="60"/>
      <w:outlineLvl w:val="8"/>
    </w:pPr>
    <w:rPr>
      <w:rFonts w:ascii="Arial" w:hAnsi="Arial" w:eastAsia="Times New Roman" w:cs="Times New Roman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f62e73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f62e73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f62e73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f62e73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f62e73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f62e73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f62e73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f62e73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f62e73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Текст сноски Знак"/>
    <w:basedOn w:val="DefaultParagraphFont"/>
    <w:uiPriority w:val="99"/>
    <w:qFormat/>
    <w:rsid w:val="00f62e7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 w:customStyle="1">
    <w:name w:val="Символ сноски"/>
    <w:qFormat/>
    <w:rsid w:val="00586d1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f62e73"/>
    <w:rPr>
      <w:vertAlign w:val="superscript"/>
    </w:rPr>
  </w:style>
  <w:style w:type="character" w:styleId="Style2" w:customStyle="1">
    <w:name w:val="Верхний колонтитул Знак"/>
    <w:basedOn w:val="DefaultParagraphFont"/>
    <w:uiPriority w:val="99"/>
    <w:qFormat/>
    <w:rsid w:val="00f62e7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3" w:customStyle="1">
    <w:name w:val="Основной текст с отступом Знак"/>
    <w:basedOn w:val="DefaultParagraphFont"/>
    <w:qFormat/>
    <w:rsid w:val="00f62e7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Нижний колонтитул Знак"/>
    <w:basedOn w:val="DefaultParagraphFont"/>
    <w:uiPriority w:val="99"/>
    <w:qFormat/>
    <w:rsid w:val="00f62e73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5" w:customStyle="1">
    <w:name w:val="Основной текст Знак"/>
    <w:basedOn w:val="DefaultParagraphFont"/>
    <w:qFormat/>
    <w:rsid w:val="00f62e73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f62e73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f62e73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f62e73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f62e73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f62e73"/>
    <w:rPr/>
  </w:style>
  <w:style w:type="character" w:styleId="Hyperlink">
    <w:name w:val="Hyperlink"/>
    <w:basedOn w:val="DefaultParagraphFont"/>
    <w:uiPriority w:val="99"/>
    <w:unhideWhenUsed/>
    <w:rsid w:val="00877c0d"/>
    <w:rPr>
      <w:color w:val="0563C1" w:themeColor="hyperlink"/>
      <w:u w:val="single"/>
    </w:rPr>
  </w:style>
  <w:style w:type="character" w:styleId="Style6" w:customStyle="1">
    <w:name w:val="Текст выноски Знак"/>
    <w:basedOn w:val="DefaultParagraphFont"/>
    <w:link w:val="BalloonText"/>
    <w:semiHidden/>
    <w:qFormat/>
    <w:rsid w:val="00f62e73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uiPriority w:val="99"/>
    <w:semiHidden/>
    <w:qFormat/>
    <w:rsid w:val="00f62e73"/>
    <w:rPr>
      <w:sz w:val="16"/>
      <w:szCs w:val="16"/>
    </w:rPr>
  </w:style>
  <w:style w:type="character" w:styleId="Style7" w:customStyle="1">
    <w:name w:val="Текст примечания Знак"/>
    <w:basedOn w:val="DefaultParagraphFont"/>
    <w:link w:val="Annotationtext"/>
    <w:uiPriority w:val="99"/>
    <w:semiHidden/>
    <w:qFormat/>
    <w:rsid w:val="00f62e7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Тема примечания Знак"/>
    <w:basedOn w:val="Style7"/>
    <w:link w:val="Annotationsubject"/>
    <w:semiHidden/>
    <w:qFormat/>
    <w:rsid w:val="00f62e73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">
    <w:name w:val="Strong"/>
    <w:uiPriority w:val="22"/>
    <w:qFormat/>
    <w:rsid w:val="00f62e73"/>
    <w:rPr>
      <w:b/>
      <w:bCs/>
    </w:rPr>
  </w:style>
  <w:style w:type="character" w:styleId="Style9" w:customStyle="1">
    <w:name w:val="Название Знак"/>
    <w:link w:val="118"/>
    <w:uiPriority w:val="10"/>
    <w:qFormat/>
    <w:rsid w:val="00f62e73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0" w:customStyle="1">
    <w:name w:val="Подзаголовок Знак"/>
    <w:basedOn w:val="DefaultParagraphFont"/>
    <w:uiPriority w:val="11"/>
    <w:qFormat/>
    <w:rsid w:val="00f62e73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f62e73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f62e73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1" w:customStyle="1">
    <w:name w:val="Выделенная цитата Знак"/>
    <w:basedOn w:val="DefaultParagraphFont"/>
    <w:link w:val="IntenseQuote"/>
    <w:uiPriority w:val="30"/>
    <w:qFormat/>
    <w:rsid w:val="00f62e73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f62e73"/>
    <w:rPr>
      <w:i/>
      <w:iCs/>
      <w:color w:val="808080"/>
    </w:rPr>
  </w:style>
  <w:style w:type="character" w:styleId="IntenseEmphasis">
    <w:name w:val="Intense Emphasis"/>
    <w:uiPriority w:val="21"/>
    <w:qFormat/>
    <w:rsid w:val="00f62e73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f62e73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f62e73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f62e73"/>
    <w:rPr>
      <w:b/>
      <w:bCs/>
      <w:smallCaps/>
      <w:spacing w:val="5"/>
    </w:rPr>
  </w:style>
  <w:style w:type="character" w:styleId="Style12" w:customStyle="1">
    <w:name w:val="Электронная подпись Знак"/>
    <w:basedOn w:val="DefaultParagraphFont"/>
    <w:link w:val="E-mailSignature"/>
    <w:uiPriority w:val="99"/>
    <w:qFormat/>
    <w:rsid w:val="00f62e73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6"/>
    <w:qFormat/>
    <w:locked/>
    <w:rsid w:val="00f62e73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f62e73"/>
    <w:rPr/>
  </w:style>
  <w:style w:type="character" w:styleId="Style13" w:customStyle="1">
    <w:name w:val="Абзац списка Знак"/>
    <w:link w:val="ListParagraph"/>
    <w:uiPriority w:val="99"/>
    <w:qFormat/>
    <w:locked/>
    <w:rsid w:val="00f62e73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4" w:customStyle="1">
    <w:name w:val="комментарий"/>
    <w:qFormat/>
    <w:rsid w:val="00f62e73"/>
    <w:rPr>
      <w:b/>
      <w:i/>
      <w:shd w:fill="FFFF99" w:val="clear"/>
    </w:rPr>
  </w:style>
  <w:style w:type="character" w:styleId="Style15" w:customStyle="1">
    <w:name w:val="Подподпункт Знак"/>
    <w:link w:val="Style34"/>
    <w:qFormat/>
    <w:locked/>
    <w:rsid w:val="00f62e73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f62e73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f62e7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f62e73"/>
    <w:rPr>
      <w:vertAlign w:val="superscript"/>
    </w:rPr>
  </w:style>
  <w:style w:type="character" w:styleId="24" w:customStyle="1">
    <w:name w:val="Пункт2 Знак"/>
    <w:link w:val="27"/>
    <w:qFormat/>
    <w:rsid w:val="00f62e73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22"/>
    <w:qFormat/>
    <w:rsid w:val="00f62e73"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f62e73"/>
    <w:rPr>
      <w:color w:val="605E5C"/>
      <w:shd w:fill="E1DFDD" w:val="clear"/>
    </w:rPr>
  </w:style>
  <w:style w:type="character" w:styleId="Style18" w:customStyle="1">
    <w:name w:val="Ссылка указателя"/>
    <w:qFormat/>
    <w:rPr/>
  </w:style>
  <w:style w:type="character" w:styleId="14" w:customStyle="1">
    <w:name w:val="Номер строки1"/>
    <w:qFormat/>
    <w:rPr/>
  </w:style>
  <w:style w:type="character" w:styleId="FollowedHyperlink">
    <w:name w:val="FollowedHyperlink"/>
    <w:basedOn w:val="DefaultParagraphFont"/>
    <w:uiPriority w:val="99"/>
    <w:semiHidden/>
    <w:unhideWhenUsed/>
    <w:rsid w:val="00de4995"/>
    <w:rPr>
      <w:color w:val="954F72" w:themeColor="followedHyperlink"/>
      <w:u w:val="single"/>
    </w:rPr>
  </w:style>
  <w:style w:type="character" w:styleId="Linenumber1" w:customStyle="1">
    <w:name w:val="line number1"/>
    <w:qFormat/>
    <w:rPr/>
  </w:style>
  <w:style w:type="character" w:styleId="Linenumber">
    <w:name w:val="line number"/>
    <w:qFormat/>
    <w:rPr/>
  </w:style>
  <w:style w:type="character" w:styleId="25" w:customStyle="1">
    <w:name w:val="Неразрешенное упоминание2"/>
    <w:basedOn w:val="DefaultParagraphFont"/>
    <w:uiPriority w:val="99"/>
    <w:semiHidden/>
    <w:unhideWhenUsed/>
    <w:qFormat/>
    <w:rsid w:val="00145309"/>
    <w:rPr>
      <w:color w:val="605E5C"/>
      <w:shd w:fill="E1DFDD" w:val="clear"/>
    </w:rPr>
  </w:style>
  <w:style w:type="character" w:styleId="Style19" w:customStyle="1">
    <w:name w:val="Заголовок Знак"/>
    <w:basedOn w:val="DefaultParagraphFont"/>
    <w:qFormat/>
    <w:rsid w:val="003a50cd"/>
    <w:rPr>
      <w:rFonts w:ascii="Liberation Sans" w:hAnsi="Liberation Sans" w:eastAsia="Arial Unicode MS" w:cs="Arial Unicode MS"/>
      <w:sz w:val="28"/>
      <w:szCs w:val="28"/>
    </w:rPr>
  </w:style>
  <w:style w:type="character" w:styleId="15" w:customStyle="1">
    <w:name w:val="Основной текст Знак1"/>
    <w:basedOn w:val="DefaultParagraphFont"/>
    <w:uiPriority w:val="99"/>
    <w:semiHidden/>
    <w:qFormat/>
    <w:rsid w:val="003a50cd"/>
    <w:rPr/>
  </w:style>
  <w:style w:type="character" w:styleId="16" w:customStyle="1">
    <w:name w:val="Текст сноски Знак1"/>
    <w:basedOn w:val="DefaultParagraphFont"/>
    <w:uiPriority w:val="99"/>
    <w:semiHidden/>
    <w:qFormat/>
    <w:rsid w:val="003a50cd"/>
    <w:rPr>
      <w:sz w:val="20"/>
      <w:szCs w:val="20"/>
    </w:rPr>
  </w:style>
  <w:style w:type="character" w:styleId="17" w:customStyle="1">
    <w:name w:val="Верхний колонтитул Знак1"/>
    <w:basedOn w:val="DefaultParagraphFont"/>
    <w:uiPriority w:val="99"/>
    <w:semiHidden/>
    <w:qFormat/>
    <w:rsid w:val="003a50cd"/>
    <w:rPr/>
  </w:style>
  <w:style w:type="character" w:styleId="18" w:customStyle="1">
    <w:name w:val="Основной текст с отступом Знак1"/>
    <w:basedOn w:val="DefaultParagraphFont"/>
    <w:uiPriority w:val="99"/>
    <w:semiHidden/>
    <w:qFormat/>
    <w:rsid w:val="003a50cd"/>
    <w:rPr/>
  </w:style>
  <w:style w:type="character" w:styleId="19" w:customStyle="1">
    <w:name w:val="Нижний колонтитул Знак1"/>
    <w:basedOn w:val="DefaultParagraphFont"/>
    <w:uiPriority w:val="99"/>
    <w:semiHidden/>
    <w:qFormat/>
    <w:rsid w:val="003a50cd"/>
    <w:rPr/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3a50cd"/>
    <w:rPr/>
  </w:style>
  <w:style w:type="character" w:styleId="311" w:customStyle="1">
    <w:name w:val="Основной текст 3 Знак1"/>
    <w:basedOn w:val="DefaultParagraphFont"/>
    <w:uiPriority w:val="99"/>
    <w:semiHidden/>
    <w:qFormat/>
    <w:rsid w:val="003a50cd"/>
    <w:rPr>
      <w:sz w:val="16"/>
      <w:szCs w:val="16"/>
    </w:rPr>
  </w:style>
  <w:style w:type="character" w:styleId="312" w:customStyle="1">
    <w:name w:val="Основной текст с отступом 3 Знак1"/>
    <w:basedOn w:val="DefaultParagraphFont"/>
    <w:uiPriority w:val="99"/>
    <w:semiHidden/>
    <w:qFormat/>
    <w:rsid w:val="003a50cd"/>
    <w:rPr>
      <w:sz w:val="16"/>
      <w:szCs w:val="16"/>
    </w:rPr>
  </w:style>
  <w:style w:type="character" w:styleId="212" w:customStyle="1">
    <w:name w:val="Основной текст 2 Знак1"/>
    <w:basedOn w:val="DefaultParagraphFont"/>
    <w:uiPriority w:val="99"/>
    <w:semiHidden/>
    <w:qFormat/>
    <w:rsid w:val="003a50cd"/>
    <w:rPr/>
  </w:style>
  <w:style w:type="character" w:styleId="110" w:customStyle="1">
    <w:name w:val="Текст выноски Знак1"/>
    <w:basedOn w:val="DefaultParagraphFont"/>
    <w:uiPriority w:val="99"/>
    <w:semiHidden/>
    <w:qFormat/>
    <w:rsid w:val="003a50cd"/>
    <w:rPr>
      <w:rFonts w:ascii="Segoe UI" w:hAnsi="Segoe UI" w:cs="Segoe UI"/>
      <w:sz w:val="18"/>
      <w:szCs w:val="18"/>
    </w:rPr>
  </w:style>
  <w:style w:type="character" w:styleId="111" w:customStyle="1">
    <w:name w:val="Текст примечания Знак1"/>
    <w:basedOn w:val="DefaultParagraphFont"/>
    <w:uiPriority w:val="99"/>
    <w:semiHidden/>
    <w:qFormat/>
    <w:rsid w:val="003a50cd"/>
    <w:rPr>
      <w:sz w:val="20"/>
      <w:szCs w:val="20"/>
    </w:rPr>
  </w:style>
  <w:style w:type="character" w:styleId="112" w:customStyle="1">
    <w:name w:val="Тема примечания Знак1"/>
    <w:basedOn w:val="111"/>
    <w:uiPriority w:val="99"/>
    <w:semiHidden/>
    <w:qFormat/>
    <w:rsid w:val="003a50cd"/>
    <w:rPr>
      <w:b/>
      <w:bCs/>
      <w:sz w:val="20"/>
      <w:szCs w:val="20"/>
    </w:rPr>
  </w:style>
  <w:style w:type="character" w:styleId="113" w:customStyle="1">
    <w:name w:val="Подзаголовок Знак1"/>
    <w:basedOn w:val="DefaultParagraphFont"/>
    <w:uiPriority w:val="11"/>
    <w:qFormat/>
    <w:rsid w:val="003a50cd"/>
    <w:rPr>
      <w:rFonts w:eastAsia="" w:eastAsiaTheme="minorEastAsia"/>
      <w:color w:val="5A5A5A" w:themeColor="text1" w:themeTint="a5"/>
      <w:spacing w:val="15"/>
    </w:rPr>
  </w:style>
  <w:style w:type="character" w:styleId="213" w:customStyle="1">
    <w:name w:val="Цитата 2 Знак1"/>
    <w:basedOn w:val="DefaultParagraphFont"/>
    <w:uiPriority w:val="29"/>
    <w:qFormat/>
    <w:rsid w:val="003a50cd"/>
    <w:rPr>
      <w:i/>
      <w:iCs/>
      <w:color w:val="404040" w:themeColor="text1" w:themeTint="bf"/>
    </w:rPr>
  </w:style>
  <w:style w:type="character" w:styleId="114" w:customStyle="1">
    <w:name w:val="Выделенная цитата Знак1"/>
    <w:basedOn w:val="DefaultParagraphFont"/>
    <w:uiPriority w:val="30"/>
    <w:qFormat/>
    <w:rsid w:val="003a50cd"/>
    <w:rPr>
      <w:i/>
      <w:iCs/>
      <w:color w:val="5B9BD5" w:themeColor="accent1"/>
    </w:rPr>
  </w:style>
  <w:style w:type="character" w:styleId="115" w:customStyle="1">
    <w:name w:val="Электронная подпись Знак1"/>
    <w:basedOn w:val="DefaultParagraphFont"/>
    <w:uiPriority w:val="99"/>
    <w:semiHidden/>
    <w:qFormat/>
    <w:rsid w:val="003a50cd"/>
    <w:rPr/>
  </w:style>
  <w:style w:type="character" w:styleId="116" w:customStyle="1">
    <w:name w:val="Текст концевой сноски Знак1"/>
    <w:basedOn w:val="DefaultParagraphFont"/>
    <w:uiPriority w:val="99"/>
    <w:semiHidden/>
    <w:qFormat/>
    <w:rsid w:val="003a50cd"/>
    <w:rPr>
      <w:sz w:val="20"/>
      <w:szCs w:val="20"/>
    </w:rPr>
  </w:style>
  <w:style w:type="character" w:styleId="Fontstyle01" w:customStyle="1">
    <w:name w:val="fontstyle01"/>
    <w:basedOn w:val="DefaultParagraphFont"/>
    <w:qFormat/>
    <w:rsid w:val="00251e3b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Prodmodel" w:customStyle="1">
    <w:name w:val="prod_model"/>
    <w:basedOn w:val="DefaultParagraphFont"/>
    <w:qFormat/>
    <w:rsid w:val="00182c2e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5"/>
    <w:rsid w:val="00f62e73"/>
    <w:pPr>
      <w:spacing w:lineRule="auto" w:line="240" w:before="0" w:after="12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Style19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next w:val="Normal"/>
    <w:uiPriority w:val="35"/>
    <w:qFormat/>
    <w:rsid w:val="00f62e73"/>
    <w:pPr>
      <w:spacing w:lineRule="auto" w:line="240" w:before="0" w:after="0"/>
    </w:pPr>
    <w:rPr>
      <w:rFonts w:ascii="Times New Roman" w:hAnsi="Times New Roman" w:eastAsia="Calibri" w:cs="Times New Roman"/>
      <w:b/>
      <w:bCs/>
      <w:color w:val="4F81BD"/>
      <w:sz w:val="18"/>
      <w:szCs w:val="18"/>
      <w:lang w:eastAsia="ru-RU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Style22" w:customStyle="1">
    <w:name w:val="Название раздела инструкции"/>
    <w:basedOn w:val="Normal"/>
    <w:autoRedefine/>
    <w:qFormat/>
    <w:rsid w:val="00f62e73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paragraph" w:styleId="Style23" w:customStyle="1">
    <w:name w:val="Раздел положения"/>
    <w:basedOn w:val="Normal"/>
    <w:autoRedefine/>
    <w:qFormat/>
    <w:rsid w:val="00f62e73"/>
    <w:pPr>
      <w:numPr>
        <w:ilvl w:val="0"/>
        <w:numId w:val="1"/>
      </w:numPr>
      <w:spacing w:lineRule="auto" w:line="240" w:before="80" w:after="80"/>
      <w:jc w:val="center"/>
    </w:pPr>
    <w:rPr>
      <w:rFonts w:ascii="Times New Roman" w:hAnsi="Times New Roman" w:eastAsia="Times New Roman" w:cs="Times New Roman"/>
      <w:b/>
      <w:sz w:val="32"/>
      <w:szCs w:val="32"/>
      <w:lang w:eastAsia="ru-RU"/>
    </w:rPr>
  </w:style>
  <w:style w:type="paragraph" w:styleId="Style24" w:customStyle="1">
    <w:name w:val="Подраздел раздела положения"/>
    <w:basedOn w:val="Normal"/>
    <w:autoRedefine/>
    <w:qFormat/>
    <w:rsid w:val="00f62e73"/>
    <w:pPr>
      <w:numPr>
        <w:ilvl w:val="1"/>
        <w:numId w:val="1"/>
      </w:numPr>
      <w:spacing w:lineRule="auto" w:line="240" w:before="80" w:after="8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FootnoteText">
    <w:name w:val="Footnote Text"/>
    <w:basedOn w:val="Normal"/>
    <w:link w:val="Style"/>
    <w:uiPriority w:val="99"/>
    <w:rsid w:val="00f62e73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7" w:customStyle="1">
    <w:name w:val="Шапка 1"/>
    <w:basedOn w:val="Normal"/>
    <w:qFormat/>
    <w:rsid w:val="00f62e73"/>
    <w:pPr>
      <w:pBdr>
        <w:bottom w:val="thickThinSmallGap" w:sz="24" w:space="1" w:color="000000"/>
      </w:pBdr>
      <w:spacing w:lineRule="auto" w:line="240" w:before="0" w:after="240"/>
      <w:jc w:val="center"/>
    </w:pPr>
    <w:rPr>
      <w:rFonts w:ascii="Times New Roman" w:hAnsi="Times New Roman" w:eastAsia="Times New Roman" w:cs="Times New Roman"/>
      <w:lang w:eastAsia="ru-RU"/>
    </w:rPr>
  </w:style>
  <w:style w:type="paragraph" w:styleId="26" w:customStyle="1">
    <w:name w:val="Шапка 2"/>
    <w:basedOn w:val="Normal"/>
    <w:qFormat/>
    <w:rsid w:val="00f62e73"/>
    <w:pPr>
      <w:pBdr>
        <w:bottom w:val="thickThinSmallGap" w:sz="24" w:space="1" w:color="000000"/>
      </w:pBdr>
      <w:spacing w:lineRule="auto" w:line="240" w:before="0" w:after="120"/>
      <w:jc w:val="center"/>
    </w:pPr>
    <w:rPr>
      <w:rFonts w:ascii="Times New Roman" w:hAnsi="Times New Roman" w:eastAsia="Times New Roman" w:cs="Times New Roman"/>
      <w:b/>
      <w:lang w:eastAsia="ru-RU"/>
    </w:rPr>
  </w:style>
  <w:style w:type="paragraph" w:styleId="34" w:customStyle="1">
    <w:name w:val="Шапка 3"/>
    <w:basedOn w:val="Normal"/>
    <w:qFormat/>
    <w:rsid w:val="00f62e73"/>
    <w:pPr>
      <w:pBdr>
        <w:bottom w:val="thickThinSmallGap" w:sz="24" w:space="1" w:color="000000"/>
      </w:pBdr>
      <w:spacing w:lineRule="auto" w:line="240" w:before="240" w:after="360"/>
      <w:jc w:val="center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118" w:customStyle="1">
    <w:name w:val="Название1"/>
    <w:basedOn w:val="Normal"/>
    <w:link w:val="Style9"/>
    <w:uiPriority w:val="10"/>
    <w:qFormat/>
    <w:rsid w:val="00f62e73"/>
    <w:pPr>
      <w:spacing w:lineRule="auto" w:line="240" w:before="0" w:after="0"/>
      <w:jc w:val="center"/>
    </w:pPr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paragraph" w:styleId="Style2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2"/>
    <w:uiPriority w:val="99"/>
    <w:rsid w:val="00f62e73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Style3"/>
    <w:rsid w:val="00f62e73"/>
    <w:pPr>
      <w:spacing w:lineRule="auto" w:line="240" w:before="0" w:after="0"/>
      <w:ind w:left="360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Style4"/>
    <w:uiPriority w:val="99"/>
    <w:rsid w:val="00f62e73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rsid w:val="00f62e73"/>
    <w:pPr>
      <w:spacing w:lineRule="auto" w:line="480" w:before="0" w:after="120"/>
      <w:ind w:left="283" w:hanging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rsid w:val="00f62e73"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rsid w:val="00f62e73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rsid w:val="00f62e73"/>
    <w:pPr>
      <w:spacing w:lineRule="auto" w:line="480" w:before="0" w:after="12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rsid w:val="00f62e73"/>
    <w:pPr>
      <w:spacing w:lineRule="auto" w:line="240" w:before="0" w:after="0"/>
      <w:ind w:left="-567" w:right="-766" w:hanging="0"/>
      <w:jc w:val="center"/>
    </w:pPr>
    <w:rPr>
      <w:rFonts w:ascii="Times New Roman" w:hAnsi="Times New Roman" w:eastAsia="Times New Roman" w:cs="Times New Roman"/>
      <w:b/>
      <w:bCs/>
      <w:sz w:val="24"/>
      <w:szCs w:val="20"/>
      <w:lang w:eastAsia="ru-RU"/>
    </w:rPr>
  </w:style>
  <w:style w:type="paragraph" w:styleId="Style26" w:customStyle="1">
    <w:name w:val="Подпункт"/>
    <w:basedOn w:val="Normal"/>
    <w:link w:val="11"/>
    <w:qFormat/>
    <w:rsid w:val="00f62e73"/>
    <w:pPr>
      <w:tabs>
        <w:tab w:val="clear" w:pos="709"/>
        <w:tab w:val="left" w:pos="1134" w:leader="none"/>
      </w:tabs>
      <w:snapToGrid w:val="false"/>
      <w:spacing w:lineRule="auto" w:line="360" w:before="0" w:after="0"/>
      <w:ind w:left="1134" w:hanging="1134"/>
      <w:jc w:val="both"/>
    </w:pPr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paragraph" w:styleId="27" w:customStyle="1">
    <w:name w:val="Пункт2"/>
    <w:basedOn w:val="Normal"/>
    <w:link w:val="24"/>
    <w:qFormat/>
    <w:rsid w:val="00f62e73"/>
    <w:pPr>
      <w:keepNext w:val="true"/>
      <w:tabs>
        <w:tab w:val="clear" w:pos="709"/>
        <w:tab w:val="left" w:pos="1134" w:leader="none"/>
      </w:tabs>
      <w:snapToGrid w:val="false"/>
      <w:spacing w:lineRule="auto" w:line="240" w:before="240" w:after="120"/>
      <w:ind w:left="1134" w:hanging="1134"/>
      <w:outlineLvl w:val="2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uiPriority w:val="39"/>
    <w:rsid w:val="00f62e73"/>
    <w:pPr>
      <w:spacing w:lineRule="auto" w:line="240" w:before="120" w:after="0"/>
    </w:pPr>
    <w:rPr>
      <w:rFonts w:ascii="Times New Roman" w:hAnsi="Times New Roman" w:eastAsia="Times New Roman" w:cs="Calibri Light (Заголовки)"/>
      <w:b/>
      <w:bCs/>
      <w:sz w:val="24"/>
      <w:szCs w:val="24"/>
      <w:lang w:eastAsia="ru-RU"/>
    </w:rPr>
  </w:style>
  <w:style w:type="paragraph" w:styleId="313" w:customStyle="1">
    <w:name w:val="Оглавление 31"/>
    <w:basedOn w:val="Normal"/>
    <w:next w:val="Normal"/>
    <w:autoRedefine/>
    <w:uiPriority w:val="39"/>
    <w:qFormat/>
    <w:rsid w:val="00f62e73"/>
    <w:pPr>
      <w:spacing w:lineRule="auto" w:line="240" w:before="0" w:after="0"/>
      <w:ind w:left="280" w:hanging="0"/>
    </w:pPr>
    <w:rPr>
      <w:rFonts w:ascii="Times New Roman" w:hAnsi="Times New Roman" w:eastAsia="Times New Roman" w:cs="Calibri"/>
      <w:sz w:val="20"/>
      <w:szCs w:val="20"/>
      <w:lang w:eastAsia="ru-RU"/>
    </w:rPr>
  </w:style>
  <w:style w:type="paragraph" w:styleId="Style27" w:customStyle="1">
    <w:name w:val="Раздел регламента"/>
    <w:basedOn w:val="Normal"/>
    <w:qFormat/>
    <w:rsid w:val="00f62e73"/>
    <w:pPr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Style28" w:customStyle="1">
    <w:name w:val="Приложение к регламенту"/>
    <w:basedOn w:val="Normal"/>
    <w:qFormat/>
    <w:rsid w:val="00f62e73"/>
    <w:pPr>
      <w:spacing w:lineRule="auto" w:line="240" w:before="0" w:after="0"/>
      <w:jc w:val="right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214" w:customStyle="1">
    <w:name w:val="Оглавление 21"/>
    <w:basedOn w:val="Normal"/>
    <w:next w:val="Normal"/>
    <w:autoRedefine/>
    <w:uiPriority w:val="39"/>
    <w:qFormat/>
    <w:rsid w:val="00f62e73"/>
    <w:pPr>
      <w:spacing w:lineRule="auto" w:line="240" w:before="240" w:after="0"/>
    </w:pPr>
    <w:rPr>
      <w:rFonts w:ascii="Times New Roman" w:hAnsi="Times New Roman"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6"/>
    <w:semiHidden/>
    <w:qFormat/>
    <w:rsid w:val="00f62e73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7"/>
    <w:uiPriority w:val="99"/>
    <w:semiHidden/>
    <w:qFormat/>
    <w:rsid w:val="00f62e73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8"/>
    <w:semiHidden/>
    <w:qFormat/>
    <w:rsid w:val="00f62e73"/>
    <w:pPr/>
    <w:rPr>
      <w:b/>
      <w:bCs/>
    </w:rPr>
  </w:style>
  <w:style w:type="paragraph" w:styleId="119" w:customStyle="1">
    <w:name w:val="Обычный (веб)1"/>
    <w:basedOn w:val="Normal"/>
    <w:uiPriority w:val="99"/>
    <w:qFormat/>
    <w:rsid w:val="00f62e73"/>
    <w:pPr>
      <w:spacing w:lineRule="auto" w:line="240" w:beforeAutospacing="1" w:afterAutospacing="1"/>
    </w:pPr>
    <w:rPr>
      <w:rFonts w:ascii="Arial Unicode MS" w:hAnsi="Arial Unicode MS" w:eastAsia="Arial Unicode MS" w:cs="Arial Unicode MS"/>
      <w:sz w:val="24"/>
      <w:szCs w:val="24"/>
      <w:lang w:eastAsia="ru-RU"/>
    </w:rPr>
  </w:style>
  <w:style w:type="paragraph" w:styleId="91" w:customStyle="1">
    <w:name w:val="Оглавление 91"/>
    <w:basedOn w:val="Normal"/>
    <w:next w:val="Normal"/>
    <w:autoRedefine/>
    <w:semiHidden/>
    <w:qFormat/>
    <w:rsid w:val="00f62e73"/>
    <w:pPr>
      <w:spacing w:lineRule="auto" w:line="240" w:before="0" w:after="0"/>
      <w:ind w:left="1960" w:hanging="0"/>
    </w:pPr>
    <w:rPr>
      <w:rFonts w:eastAsia="Times New Roman" w:cs="Calibri"/>
      <w:sz w:val="20"/>
      <w:szCs w:val="20"/>
      <w:lang w:eastAsia="ru-RU"/>
    </w:rPr>
  </w:style>
  <w:style w:type="paragraph" w:styleId="51" w:customStyle="1">
    <w:name w:val="Оглавление 51"/>
    <w:basedOn w:val="Normal"/>
    <w:next w:val="Normal"/>
    <w:autoRedefine/>
    <w:semiHidden/>
    <w:qFormat/>
    <w:rsid w:val="00f62e73"/>
    <w:pPr>
      <w:spacing w:lineRule="auto" w:line="240" w:before="0" w:after="0"/>
      <w:ind w:left="840" w:hanging="0"/>
    </w:pPr>
    <w:rPr>
      <w:rFonts w:eastAsia="Times New Roman" w:cs="Calibri"/>
      <w:sz w:val="20"/>
      <w:szCs w:val="20"/>
      <w:lang w:eastAsia="ru-RU"/>
    </w:rPr>
  </w:style>
  <w:style w:type="paragraph" w:styleId="41" w:customStyle="1">
    <w:name w:val="Оглавление 41"/>
    <w:basedOn w:val="Normal"/>
    <w:next w:val="Normal"/>
    <w:autoRedefine/>
    <w:uiPriority w:val="39"/>
    <w:qFormat/>
    <w:rsid w:val="00f62e73"/>
    <w:pPr>
      <w:spacing w:lineRule="auto" w:line="240" w:before="0" w:after="0"/>
      <w:ind w:left="560" w:hanging="0"/>
    </w:pPr>
    <w:rPr>
      <w:rFonts w:ascii="Times New Roman" w:hAnsi="Times New Roman" w:eastAsia="Times New Roman" w:cs="Calibri"/>
      <w:sz w:val="20"/>
      <w:szCs w:val="20"/>
      <w:lang w:eastAsia="ru-RU"/>
    </w:rPr>
  </w:style>
  <w:style w:type="paragraph" w:styleId="28" w:customStyle="1">
    <w:name w:val="Раздел положения 2"/>
    <w:basedOn w:val="Normal"/>
    <w:qFormat/>
    <w:rsid w:val="00f62e73"/>
    <w:pPr>
      <w:pageBreakBefore/>
      <w:spacing w:lineRule="auto" w:line="240" w:before="0" w:after="0"/>
      <w:jc w:val="both"/>
      <w:outlineLvl w:val="0"/>
    </w:pPr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paragraph" w:styleId="Style29" w:customStyle="1">
    <w:name w:val="Знак Знак Знак Знак Знак Знак Знак Знак Знак"/>
    <w:basedOn w:val="Normal"/>
    <w:qFormat/>
    <w:rsid w:val="00f62e73"/>
    <w:pPr>
      <w:spacing w:lineRule="exact" w:line="240"/>
      <w:jc w:val="both"/>
    </w:pPr>
    <w:rPr>
      <w:rFonts w:ascii="Verdana" w:hAnsi="Verdana" w:eastAsia="Times New Roman" w:cs="Verdana"/>
      <w:lang w:val="en-US"/>
    </w:rPr>
  </w:style>
  <w:style w:type="paragraph" w:styleId="NoSpacing">
    <w:name w:val="No Spacing"/>
    <w:basedOn w:val="Normal"/>
    <w:uiPriority w:val="1"/>
    <w:qFormat/>
    <w:rsid w:val="00f62e73"/>
    <w:pPr>
      <w:spacing w:lineRule="auto" w:line="360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link w:val="Style10"/>
    <w:uiPriority w:val="11"/>
    <w:qFormat/>
    <w:rsid w:val="00f62e73"/>
    <w:pPr>
      <w:spacing w:lineRule="auto" w:line="240" w:before="0" w:after="0"/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13"/>
    <w:uiPriority w:val="99"/>
    <w:qFormat/>
    <w:rsid w:val="00f62e73"/>
    <w:pPr>
      <w:spacing w:lineRule="auto" w:line="240" w:before="0" w:after="0"/>
      <w:ind w:left="720" w:hanging="0"/>
      <w:contextualSpacing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Quote">
    <w:name w:val="Quote"/>
    <w:basedOn w:val="Normal"/>
    <w:next w:val="Normal"/>
    <w:link w:val="23"/>
    <w:uiPriority w:val="29"/>
    <w:qFormat/>
    <w:rsid w:val="00f62e73"/>
    <w:pPr>
      <w:spacing w:lineRule="auto" w:line="240" w:before="0" w:after="0"/>
    </w:pPr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1"/>
    <w:uiPriority w:val="30"/>
    <w:qFormat/>
    <w:rsid w:val="00f62e73"/>
    <w:pPr>
      <w:pBdr>
        <w:bottom w:val="single" w:sz="4" w:space="4" w:color="4F81BD"/>
      </w:pBdr>
      <w:spacing w:lineRule="auto" w:line="240"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uiPriority w:val="39"/>
    <w:qFormat/>
    <w:rsid w:val="00f62e73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2"/>
    <w:uiPriority w:val="99"/>
    <w:unhideWhenUsed/>
    <w:qFormat/>
    <w:rsid w:val="00f62e73"/>
    <w:pPr>
      <w:spacing w:lineRule="auto" w:line="240" w:before="0" w:after="0"/>
    </w:pPr>
    <w:rPr>
      <w:rFonts w:ascii="Times New Roman" w:hAnsi="Times New Roman" w:eastAsia="Calibri" w:cs="Times New Roman"/>
      <w:sz w:val="24"/>
      <w:szCs w:val="24"/>
      <w:lang w:val="x-none" w:eastAsia="x-none"/>
    </w:rPr>
  </w:style>
  <w:style w:type="paragraph" w:styleId="Style30" w:customStyle="1">
    <w:name w:val="Знак"/>
    <w:basedOn w:val="Normal"/>
    <w:qFormat/>
    <w:rsid w:val="00f62e73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rsid w:val="00f62e73"/>
    <w:pPr>
      <w:numPr>
        <w:ilvl w:val="2"/>
        <w:numId w:val="2"/>
      </w:numPr>
      <w:spacing w:lineRule="auto" w:line="240" w:before="0" w:after="0"/>
      <w:jc w:val="both"/>
    </w:pPr>
    <w:rPr>
      <w:rFonts w:ascii="Garamond" w:hAnsi="Garamond" w:eastAsia="Times New Roman" w:cs="Times New Roman"/>
      <w:sz w:val="24"/>
      <w:szCs w:val="20"/>
      <w:lang w:eastAsia="ru-RU"/>
    </w:rPr>
  </w:style>
  <w:style w:type="paragraph" w:styleId="314" w:customStyle="1">
    <w:name w:val="Список 31"/>
    <w:basedOn w:val="Normal"/>
    <w:qFormat/>
    <w:rsid w:val="00f62e73"/>
    <w:pPr>
      <w:numPr>
        <w:ilvl w:val="0"/>
        <w:numId w:val="2"/>
      </w:numPr>
      <w:spacing w:lineRule="auto" w:line="240" w:before="120" w:after="0"/>
      <w:jc w:val="both"/>
    </w:pPr>
    <w:rPr>
      <w:rFonts w:ascii="Garamond" w:hAnsi="Garamond" w:eastAsia="Times New Roman" w:cs="Times New Roman"/>
      <w:sz w:val="24"/>
      <w:szCs w:val="20"/>
      <w:lang w:eastAsia="ru-RU"/>
    </w:rPr>
  </w:style>
  <w:style w:type="paragraph" w:styleId="29" w:customStyle="1">
    <w:name w:val="Нумерованный список ур2"/>
    <w:basedOn w:val="Normal"/>
    <w:qFormat/>
    <w:rsid w:val="00f62e73"/>
    <w:pPr>
      <w:numPr>
        <w:ilvl w:val="1"/>
        <w:numId w:val="2"/>
      </w:numPr>
      <w:spacing w:lineRule="auto" w:line="240" w:before="120" w:after="0"/>
      <w:jc w:val="both"/>
    </w:pPr>
    <w:rPr>
      <w:rFonts w:ascii="Garamond" w:hAnsi="Garamond" w:eastAsia="Times New Roman" w:cs="Times New Roman"/>
      <w:sz w:val="24"/>
      <w:szCs w:val="20"/>
      <w:lang w:eastAsia="ru-RU"/>
    </w:rPr>
  </w:style>
  <w:style w:type="paragraph" w:styleId="Revision">
    <w:name w:val="Revision"/>
    <w:uiPriority w:val="99"/>
    <w:semiHidden/>
    <w:qFormat/>
    <w:rsid w:val="00f62e73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4"/>
      <w:szCs w:val="24"/>
      <w:lang w:eastAsia="ru-RU" w:val="ru-RU" w:bidi="ar-SA"/>
    </w:rPr>
  </w:style>
  <w:style w:type="paragraph" w:styleId="ConsPlusNormal" w:customStyle="1">
    <w:name w:val="ConsPlusNormal"/>
    <w:qFormat/>
    <w:rsid w:val="00f62e73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36" w:customStyle="1">
    <w:name w:val="Знак Знак3 Знак Знак"/>
    <w:basedOn w:val="Normal"/>
    <w:qFormat/>
    <w:rsid w:val="00f62e73"/>
    <w:pPr>
      <w:spacing w:lineRule="exact" w:line="240"/>
      <w:jc w:val="both"/>
    </w:pPr>
    <w:rPr>
      <w:rFonts w:ascii="Verdana" w:hAnsi="Verdana" w:eastAsia="Times New Roman" w:cs="Verdana"/>
      <w:lang w:val="en-US"/>
    </w:rPr>
  </w:style>
  <w:style w:type="paragraph" w:styleId="Style31" w:customStyle="1">
    <w:name w:val="Пункт"/>
    <w:basedOn w:val="Normal"/>
    <w:qFormat/>
    <w:rsid w:val="00f62e73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20" w:customStyle="1">
    <w:name w:val="Абзац списка1"/>
    <w:basedOn w:val="Normal"/>
    <w:qFormat/>
    <w:rsid w:val="00f62e73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</w:rPr>
  </w:style>
  <w:style w:type="paragraph" w:styleId="Style32" w:customStyle="1">
    <w:name w:val="Таблица"/>
    <w:basedOn w:val="Normal"/>
    <w:qFormat/>
    <w:rsid w:val="00f62e73"/>
    <w:pPr>
      <w:keepNext w:val="true"/>
      <w:spacing w:lineRule="auto" w:line="240" w:before="60" w:after="60"/>
      <w:jc w:val="center"/>
    </w:pPr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paragraph" w:styleId="Style33" w:customStyle="1">
    <w:name w:val="Таблица шапка"/>
    <w:basedOn w:val="Normal"/>
    <w:qFormat/>
    <w:rsid w:val="00f62e73"/>
    <w:pPr>
      <w:keepNext w:val="tru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Cs w:val="26"/>
      <w:lang w:eastAsia="ru-RU"/>
    </w:rPr>
  </w:style>
  <w:style w:type="paragraph" w:styleId="Style34" w:customStyle="1">
    <w:name w:val="Подподпункт"/>
    <w:basedOn w:val="Style26"/>
    <w:link w:val="Style15"/>
    <w:qFormat/>
    <w:rsid w:val="00f62e73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5" w:customStyle="1">
    <w:name w:val="УРОВЕНЬ_(а)"/>
    <w:basedOn w:val="ListParagraph"/>
    <w:qFormat/>
    <w:rsid w:val="00f62e73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f62e73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10" w:customStyle="1">
    <w:name w:val="УРОВЕНЬ_Абзац_тип2"/>
    <w:basedOn w:val="ListParagraph"/>
    <w:qFormat/>
    <w:rsid w:val="00f62e73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f62e73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6" w:customStyle="1">
    <w:name w:val="УРОВЕНЬ_Подпись"/>
    <w:basedOn w:val="ListParagraph"/>
    <w:qFormat/>
    <w:rsid w:val="00f62e73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21" w:customStyle="1">
    <w:name w:val="Стиль Заголовок 1 + по ширине"/>
    <w:basedOn w:val="Heading1"/>
    <w:qFormat/>
    <w:rsid w:val="00f62e73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f62e73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15" w:customStyle="1">
    <w:name w:val="Заголовок 2 КВВ"/>
    <w:basedOn w:val="Normal"/>
    <w:qFormat/>
    <w:rsid w:val="00f62e73"/>
    <w:pPr>
      <w:keepNext w:val="true"/>
      <w:numPr>
        <w:ilvl w:val="0"/>
        <w:numId w:val="5"/>
      </w:numPr>
      <w:spacing w:lineRule="auto" w:line="240" w:before="120" w:after="120"/>
      <w:jc w:val="both"/>
      <w:outlineLvl w:val="0"/>
    </w:pPr>
    <w:rPr>
      <w:rFonts w:ascii="Times New Roman" w:hAnsi="Times New Roman" w:eastAsia="Times New Roman" w:cs="Times New Roman"/>
      <w:b/>
      <w:kern w:val="2"/>
      <w:sz w:val="24"/>
      <w:szCs w:val="20"/>
      <w:lang w:eastAsia="x-none"/>
    </w:rPr>
  </w:style>
  <w:style w:type="paragraph" w:styleId="Style37" w:customStyle="1">
    <w:name w:val="Таблица текст"/>
    <w:basedOn w:val="Normal"/>
    <w:qFormat/>
    <w:rsid w:val="00f62e73"/>
    <w:pPr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NormalWeb">
    <w:name w:val="Normal (Web)"/>
    <w:basedOn w:val="Normal"/>
    <w:uiPriority w:val="99"/>
    <w:unhideWhenUsed/>
    <w:qFormat/>
    <w:rsid w:val="00f62e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2" w:customStyle="1">
    <w:name w:val="УРОВЕНЬ_1."/>
    <w:basedOn w:val="ListParagraph"/>
    <w:link w:val="12"/>
    <w:qFormat/>
    <w:rsid w:val="00f62e73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61" w:customStyle="1">
    <w:name w:val="Оглавление 61"/>
    <w:basedOn w:val="Normal"/>
    <w:next w:val="Normal"/>
    <w:autoRedefine/>
    <w:unhideWhenUsed/>
    <w:qFormat/>
    <w:rsid w:val="00f62e73"/>
    <w:pPr>
      <w:spacing w:lineRule="auto" w:line="240" w:before="0" w:after="0"/>
      <w:ind w:left="1120" w:hanging="0"/>
    </w:pPr>
    <w:rPr>
      <w:rFonts w:eastAsia="Times New Roman" w:cs="Calibri"/>
      <w:sz w:val="20"/>
      <w:szCs w:val="20"/>
      <w:lang w:eastAsia="ru-RU"/>
    </w:rPr>
  </w:style>
  <w:style w:type="paragraph" w:styleId="71" w:customStyle="1">
    <w:name w:val="Оглавление 71"/>
    <w:basedOn w:val="Normal"/>
    <w:next w:val="Normal"/>
    <w:autoRedefine/>
    <w:unhideWhenUsed/>
    <w:qFormat/>
    <w:rsid w:val="00f62e73"/>
    <w:pPr>
      <w:spacing w:lineRule="auto" w:line="240" w:before="0" w:after="0"/>
      <w:ind w:left="1400" w:hanging="0"/>
    </w:pPr>
    <w:rPr>
      <w:rFonts w:eastAsia="Times New Roman" w:cs="Calibri"/>
      <w:sz w:val="20"/>
      <w:szCs w:val="20"/>
      <w:lang w:eastAsia="ru-RU"/>
    </w:rPr>
  </w:style>
  <w:style w:type="paragraph" w:styleId="81" w:customStyle="1">
    <w:name w:val="Оглавление 81"/>
    <w:basedOn w:val="Normal"/>
    <w:next w:val="Normal"/>
    <w:autoRedefine/>
    <w:unhideWhenUsed/>
    <w:qFormat/>
    <w:rsid w:val="00f62e73"/>
    <w:pPr>
      <w:spacing w:lineRule="auto" w:line="240" w:before="0" w:after="0"/>
      <w:ind w:left="1680" w:hanging="0"/>
    </w:pPr>
    <w:rPr>
      <w:rFonts w:eastAsia="Times New Roman" w:cs="Calibri"/>
      <w:sz w:val="20"/>
      <w:szCs w:val="20"/>
      <w:lang w:eastAsia="ru-RU"/>
    </w:rPr>
  </w:style>
  <w:style w:type="paragraph" w:styleId="TOC3">
    <w:name w:val="TOC 3"/>
    <w:basedOn w:val="Normal"/>
    <w:next w:val="Normal"/>
    <w:autoRedefine/>
    <w:uiPriority w:val="39"/>
    <w:unhideWhenUsed/>
    <w:rsid w:val="00f62e73"/>
    <w:pPr>
      <w:spacing w:before="0" w:after="100"/>
      <w:ind w:left="440" w:hanging="0"/>
    </w:pPr>
    <w:rPr/>
  </w:style>
  <w:style w:type="paragraph" w:styleId="TOC4">
    <w:name w:val="TOC 4"/>
    <w:basedOn w:val="Normal"/>
    <w:next w:val="Normal"/>
    <w:autoRedefine/>
    <w:uiPriority w:val="39"/>
    <w:unhideWhenUsed/>
    <w:rsid w:val="00c2183b"/>
    <w:pPr>
      <w:tabs>
        <w:tab w:val="clear" w:pos="709"/>
        <w:tab w:val="left" w:pos="1320" w:leader="none"/>
        <w:tab w:val="right" w:pos="10194" w:leader="dot"/>
      </w:tabs>
      <w:spacing w:before="0" w:after="100"/>
      <w:ind w:left="660" w:hanging="0"/>
    </w:pPr>
    <w:rPr>
      <w:rFonts w:ascii="Times New Roman" w:hAnsi="Times New Roman" w:cs="Times New Roman"/>
      <w:iCs/>
    </w:rPr>
  </w:style>
  <w:style w:type="paragraph" w:styleId="Style38" w:customStyle="1">
    <w:name w:val="Содержимое врезки"/>
    <w:basedOn w:val="Normal"/>
    <w:qFormat/>
    <w:pPr/>
    <w:rPr/>
  </w:style>
  <w:style w:type="paragraph" w:styleId="Style3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0" w:customStyle="1">
    <w:name w:val="Заголовок таблицы"/>
    <w:basedOn w:val="Style39"/>
    <w:qFormat/>
    <w:pPr>
      <w:jc w:val="center"/>
    </w:pPr>
    <w:rPr>
      <w:b/>
      <w:bCs/>
    </w:rPr>
  </w:style>
  <w:style w:type="paragraph" w:styleId="216" w:customStyle="1">
    <w:name w:val="Стиль2"/>
    <w:basedOn w:val="Normal"/>
    <w:qFormat/>
    <w:pPr>
      <w:tabs>
        <w:tab w:val="clear" w:pos="709"/>
        <w:tab w:val="left" w:pos="360" w:leader="none"/>
        <w:tab w:val="left" w:pos="900" w:leader="none"/>
      </w:tabs>
      <w:jc w:val="both"/>
    </w:pPr>
    <w:rPr>
      <w:rFonts w:ascii="Calibri" w:hAnsi="Calibri" w:eastAsia="Calibri"/>
      <w:sz w:val="24"/>
      <w:szCs w:val="24"/>
    </w:rPr>
  </w:style>
  <w:style w:type="paragraph" w:styleId="Default" w:customStyle="1">
    <w:name w:val="Default"/>
    <w:qFormat/>
    <w:rsid w:val="00840a6c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41" w:customStyle="1">
    <w:name w:val="[РГ] Текст"/>
    <w:basedOn w:val="Normal"/>
    <w:qFormat/>
    <w:rsid w:val="004054d3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 (???????? ?????"/>
      <w:color w:val="000000"/>
      <w:sz w:val="26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3a50cd"/>
    <w:pPr>
      <w:spacing w:lineRule="auto" w:line="240" w:before="0" w:after="0"/>
      <w:ind w:left="220" w:hanging="22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23" w:customStyle="1">
    <w:name w:val="Нет списка1"/>
    <w:uiPriority w:val="99"/>
    <w:semiHidden/>
    <w:unhideWhenUsed/>
    <w:qFormat/>
    <w:rsid w:val="00f62e73"/>
  </w:style>
  <w:style w:type="numbering" w:styleId="124" w:customStyle="1">
    <w:name w:val="Стиль1"/>
    <w:uiPriority w:val="99"/>
    <w:qFormat/>
    <w:rsid w:val="00f62e73"/>
  </w:style>
  <w:style w:type="numbering" w:styleId="217" w:customStyle="1">
    <w:name w:val="Стиль21"/>
    <w:uiPriority w:val="99"/>
    <w:qFormat/>
    <w:rsid w:val="00f62e73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">
    <w:name w:val="Table Grid"/>
    <w:basedOn w:val="a5"/>
    <w:uiPriority w:val="39"/>
    <w:rsid w:val="00f62e7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b">
    <w:name w:val="Сетка таблицы1"/>
    <w:basedOn w:val="a5"/>
    <w:uiPriority w:val="39"/>
    <w:rsid w:val="00f62e73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f0">
    <w:name w:val="Сетка таблицы2"/>
    <w:basedOn w:val="a5"/>
    <w:uiPriority w:val="39"/>
    <w:rsid w:val="00926045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c">
    <w:name w:val="Сетка таблицы3"/>
    <w:basedOn w:val="a5"/>
    <w:uiPriority w:val="39"/>
    <w:rsid w:val="00bf48f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">
    <w:name w:val="Сетка таблицы4"/>
    <w:basedOn w:val="a5"/>
    <w:uiPriority w:val="39"/>
    <w:rsid w:val="001f2d84"/>
    <w:pPr>
      <w:spacing w:before="120" w:after="120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2">
    <w:name w:val="Сетка таблицы5"/>
    <w:basedOn w:val="a5"/>
    <w:uiPriority w:val="39"/>
    <w:rsid w:val="008e1b90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package" Target="embeddings/oleObject1.xlsx"/><Relationship Id="rId9" Type="http://schemas.openxmlformats.org/officeDocument/2006/relationships/image" Target="media/image1.wmf"/><Relationship Id="rId10" Type="http://schemas.openxmlformats.org/officeDocument/2006/relationships/oleObject" Target="embeddings/oleObject2.bin"/><Relationship Id="rId11" Type="http://schemas.openxmlformats.org/officeDocument/2006/relationships/image" Target="media/image2.wmf"/><Relationship Id="rId12" Type="http://schemas.openxmlformats.org/officeDocument/2006/relationships/oleObject" Target="embeddings/oleObject3.bin"/><Relationship Id="rId13" Type="http://schemas.openxmlformats.org/officeDocument/2006/relationships/image" Target="media/image3.wmf"/><Relationship Id="rId14" Type="http://schemas.openxmlformats.org/officeDocument/2006/relationships/package" Target="embeddings/oleObject4.xlsx"/><Relationship Id="rId15" Type="http://schemas.openxmlformats.org/officeDocument/2006/relationships/image" Target="media/image4.wmf"/><Relationship Id="rId16" Type="http://schemas.openxmlformats.org/officeDocument/2006/relationships/package" Target="embeddings/oleObject5.xlsx"/><Relationship Id="rId17" Type="http://schemas.openxmlformats.org/officeDocument/2006/relationships/image" Target="media/image5.wmf"/><Relationship Id="rId18" Type="http://schemas.openxmlformats.org/officeDocument/2006/relationships/oleObject" Target="embeddings/oleObject6.bin"/><Relationship Id="rId19" Type="http://schemas.openxmlformats.org/officeDocument/2006/relationships/image" Target="media/image6.wmf"/><Relationship Id="rId20" Type="http://schemas.openxmlformats.org/officeDocument/2006/relationships/header" Target="header4.xml"/><Relationship Id="rId21" Type="http://schemas.openxmlformats.org/officeDocument/2006/relationships/header" Target="header5.xml"/><Relationship Id="rId22" Type="http://schemas.openxmlformats.org/officeDocument/2006/relationships/footer" Target="footer4.xml"/><Relationship Id="rId23" Type="http://schemas.openxmlformats.org/officeDocument/2006/relationships/footer" Target="footer5.xml"/><Relationship Id="rId24" Type="http://schemas.openxmlformats.org/officeDocument/2006/relationships/footnotes" Target="footnotes.xml"/><Relationship Id="rId25" Type="http://schemas.openxmlformats.org/officeDocument/2006/relationships/numbering" Target="numbering.xml"/><Relationship Id="rId26" Type="http://schemas.openxmlformats.org/officeDocument/2006/relationships/fontTable" Target="fontTable.xml"/><Relationship Id="rId27" Type="http://schemas.openxmlformats.org/officeDocument/2006/relationships/settings" Target="settings.xml"/><Relationship Id="rId28" Type="http://schemas.openxmlformats.org/officeDocument/2006/relationships/theme" Target="theme/theme1.xml"/><Relationship Id="rId2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4F2BD-B3CD-4A3C-9AE5-E215A525F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Application>AlterOffice/3.4.0.9$Linux_X86_64 LibreOffice_project/b8daf9e823b1a5463a2f48435ddc2e8696e7d4fc</Application>
  <AppVersion>15.0000</AppVersion>
  <Pages>14</Pages>
  <Words>2674</Words>
  <Characters>19185</Characters>
  <CharactersWithSpaces>21445</CharactersWithSpaces>
  <Paragraphs>333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2026-04-24T10:39:00Z</dcterms:created>
  <dc:creator>Муратова Светлана Витальевна</dc:creator>
  <dc:description/>
  <dc:language>ru-RU</dc:language>
  <cp:lastModifiedBy>frankav@corp.gidroogk.com</cp:lastModifiedBy>
  <cp:lastPrinted>2023-03-17T09:24:00Z</cp:lastPrinted>
  <dcterms:modified xsi:type="dcterms:W3CDTF">2026-09-08T16:44:25Z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