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 w:line="276" w:lineRule="auto"/>
        <w:ind/>
        <w:jc w:val="center"/>
        <w:rPr/>
      </w:pPr>
      <w:r>
        <w:rPr>
          <w:rFonts w:eastAsia="Calibri"/>
          <w:b/>
          <w:sz w:val="26"/>
          <w:szCs w:val="26"/>
        </w:rPr>
        <w:t xml:space="preserve">Технические требования на оказания услуг</w:t>
      </w:r>
      <w:r/>
    </w:p>
    <w:p>
      <w:pPr>
        <w:pStyle w:val="693"/>
        <w:keepNext w:val="true"/>
        <w:keepLines w:val="true"/>
        <w:pBdr/>
        <w:spacing w:line="276" w:lineRule="auto"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693"/>
        <w:keepNext w:val="true"/>
        <w:keepLines w:val="true"/>
        <w:pBdr/>
        <w:spacing w:line="276" w:lineRule="auto"/>
        <w:ind/>
        <w:jc w:val="center"/>
        <w:rPr/>
      </w:pPr>
      <w:r>
        <w:rPr>
          <w:rFonts w:eastAsia="Calibri"/>
          <w:b/>
          <w:sz w:val="26"/>
          <w:szCs w:val="26"/>
        </w:rPr>
        <w:t xml:space="preserve">«ОКПД2 50.40.19.900 Перевозка груза по маршруту </w:t>
      </w:r>
      <w:r>
        <w:rPr>
          <w:rFonts w:eastAsia="Calibri"/>
          <w:b/>
          <w:sz w:val="26"/>
          <w:szCs w:val="26"/>
        </w:rPr>
        <w:t xml:space="preserve">п.Усть-Куйга</w:t>
      </w:r>
      <w:r>
        <w:rPr>
          <w:rFonts w:eastAsia="Calibri"/>
          <w:b/>
          <w:sz w:val="26"/>
          <w:szCs w:val="26"/>
        </w:rPr>
        <w:t xml:space="preserve"> — г</w:t>
      </w:r>
      <w:r>
        <w:rPr>
          <w:rFonts w:eastAsia="Calibri"/>
          <w:b/>
          <w:sz w:val="26"/>
          <w:szCs w:val="26"/>
        </w:rPr>
        <w:t xml:space="preserve">.Якутск</w:t>
      </w:r>
      <w:r>
        <w:rPr>
          <w:rFonts w:eastAsia="Calibri"/>
          <w:b/>
          <w:sz w:val="26"/>
          <w:szCs w:val="26"/>
        </w:rPr>
        <w:t xml:space="preserve"> </w:t>
      </w:r>
      <w:r/>
    </w:p>
    <w:p>
      <w:pPr>
        <w:pStyle w:val="693"/>
        <w:pBdr/>
        <w:spacing w:line="276" w:lineRule="auto"/>
        <w:ind/>
        <w:jc w:val="center"/>
        <w:rPr/>
      </w:pPr>
      <w:r>
        <w:rPr>
          <w:rFonts w:eastAsia="Calibri"/>
          <w:b/>
          <w:sz w:val="26"/>
          <w:szCs w:val="26"/>
        </w:rPr>
        <w:t xml:space="preserve">для нужд </w:t>
      </w:r>
      <w:r>
        <w:rPr>
          <w:rFonts w:eastAsia="Calibri"/>
          <w:b/>
          <w:sz w:val="28"/>
          <w:szCs w:val="28"/>
        </w:rPr>
        <w:t xml:space="preserve">АО «Сахаэнерго»</w:t>
      </w:r>
      <w:r/>
    </w:p>
    <w:p>
      <w:pPr>
        <w:pStyle w:val="693"/>
        <w:pBdr/>
        <w:spacing w:line="276" w:lineRule="auto"/>
        <w:ind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 w:line="276" w:lineRule="auto"/>
        <w:ind/>
        <w:jc w:val="left"/>
        <w:rPr/>
      </w:pPr>
      <w:r/>
      <w:r/>
    </w:p>
    <w:p>
      <w:pPr>
        <w:pStyle w:val="693"/>
        <w:keepNext w:val="true"/>
        <w:keepLines w:val="true"/>
        <w:pBdr/>
        <w:spacing w:line="276" w:lineRule="auto"/>
        <w:ind/>
        <w:jc w:val="left"/>
        <w:rPr/>
      </w:pPr>
      <w:r/>
      <w:r/>
    </w:p>
    <w:p>
      <w:pPr>
        <w:pStyle w:val="693"/>
        <w:keepNext w:val="true"/>
        <w:keepLines w:val="true"/>
        <w:pBdr/>
        <w:spacing w:line="276" w:lineRule="auto"/>
        <w:ind/>
        <w:jc w:val="left"/>
        <w:rPr/>
      </w:pPr>
      <w:r/>
      <w:r/>
    </w:p>
    <w:p>
      <w:pPr>
        <w:pStyle w:val="693"/>
        <w:keepNext w:val="true"/>
        <w:keepLines w:val="true"/>
        <w:pBdr/>
        <w:spacing w:line="276" w:lineRule="auto"/>
        <w:ind/>
        <w:jc w:val="left"/>
        <w:rPr/>
      </w:pPr>
      <w:r/>
      <w:r/>
    </w:p>
    <w:p>
      <w:pPr>
        <w:pStyle w:val="693"/>
        <w:keepNext w:val="true"/>
        <w:keepLines w:val="true"/>
        <w:pBdr/>
        <w:spacing w:line="276" w:lineRule="auto"/>
        <w:ind/>
        <w:jc w:val="left"/>
        <w:rPr/>
      </w:pPr>
      <w:r/>
      <w:r/>
    </w:p>
    <w:p>
      <w:pPr>
        <w:pStyle w:val="693"/>
        <w:keepNext w:val="true"/>
        <w:keepLines w:val="true"/>
        <w:pBdr/>
        <w:spacing w:line="276" w:lineRule="auto"/>
        <w:ind/>
        <w:jc w:val="left"/>
        <w:rPr/>
      </w:pPr>
      <w:r/>
      <w:r/>
    </w:p>
    <w:p>
      <w:pPr>
        <w:pStyle w:val="693"/>
        <w:keepNext w:val="true"/>
        <w:keepLines w:val="true"/>
        <w:pBdr/>
        <w:spacing w:line="276" w:lineRule="auto"/>
        <w:ind/>
        <w:jc w:val="left"/>
        <w:rPr/>
      </w:pPr>
      <w:r>
        <w:rPr>
          <w:rFonts w:eastAsia="Calibri"/>
          <w:b w:val="0"/>
          <w:bCs w:val="0"/>
          <w:sz w:val="28"/>
          <w:szCs w:val="28"/>
        </w:rPr>
      </w:r>
      <w:r/>
    </w:p>
    <w:p>
      <w:pPr>
        <w:pStyle w:val="693"/>
        <w:keepNext w:val="true"/>
        <w:keepLines w:val="true"/>
        <w:pBdr/>
        <w:spacing/>
        <w:ind/>
        <w:jc w:val="left"/>
        <w:rPr>
          <w:sz w:val="26"/>
          <w:szCs w:val="26"/>
        </w:rPr>
        <w:sectPr>
          <w:headerReference w:type="default" r:id="rId9"/>
          <w:footnotePr/>
          <w:endnotePr/>
          <w:type w:val="nextPage"/>
          <w:pgSz w:h="16838" w:orient="portrait" w:w="11906"/>
          <w:pgMar w:top="1134" w:right="851" w:bottom="992" w:left="1134" w:header="680" w:footer="0" w:gutter="0"/>
          <w:cols w:num="1" w:sep="0" w:space="1701" w:equalWidth="1"/>
        </w:sect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СОДЕРЖАНИЕ</w:t>
      </w:r>
      <w:r>
        <w:rPr>
          <w:b/>
          <w:sz w:val="24"/>
          <w:szCs w:val="24"/>
        </w:rPr>
      </w:r>
    </w:p>
    <w:sdt>
      <w:sdtPr>
        <w15:appearance w15:val="boundingBox"/>
        <w:docPartObj>
          <w:docPartGallery w:val="Table of Contents"/>
          <w:docPartUnique w:val="true"/>
        </w:docPartObj>
        <w:rPr/>
      </w:sdtPr>
      <w:sdtContent>
        <w:p>
          <w:pPr>
            <w:pStyle w:val="793"/>
            <w:pBdr/>
            <w:tabs>
              <w:tab w:val="left" w:leader="none" w:pos="560"/>
              <w:tab w:val="clear" w:leader="none" w:pos="708"/>
              <w:tab w:val="right" w:leader="dot" w:pos="9911"/>
            </w:tabs>
            <w:spacing/>
            <w:ind/>
            <w:rPr>
              <w:sz w:val="26"/>
              <w:szCs w:val="26"/>
            </w:rPr>
          </w:pPr>
          <w:r>
            <w:fldChar w:fldCharType="begin"/>
          </w:r>
          <w:r>
            <w:rPr>
              <w:rStyle w:val="765"/>
            </w:rPr>
            <w:instrText xml:space="preserve"> TOC \o "1-4" \h</w:instrText>
          </w:r>
          <w:r>
            <w:rPr>
              <w:rStyle w:val="765"/>
            </w:rPr>
            <w:fldChar w:fldCharType="separate"/>
          </w:r>
          <w:hyperlink w:tooltip="#_Toc54643694" w:anchor="_Toc54643694" w:history="1">
            <w:r>
              <w:rPr>
                <w:rStyle w:val="765"/>
              </w:rPr>
              <w:t xml:space="preserve">1.</w:t>
            </w:r>
          </w:hyperlink>
          <w:r/>
          <w:hyperlink w:tooltip="#_Toc54643694" w:anchor="_Toc54643694" w:history="1">
            <w:r>
              <w:fldChar w:fldCharType="begin"/>
            </w:r>
            <w:r>
              <w:instrText xml:space="preserve">PAGEREF _Toc54643694 \h</w:instrText>
            </w:r>
            <w:r>
              <w:fldChar w:fldCharType="separate"/>
            </w:r>
            <w:r>
              <w:rPr>
                <w:rStyle w:val="765"/>
                <w:b w:val="0"/>
                <w:bCs w:val="0"/>
              </w:rPr>
              <w:tab/>
            </w:r>
            <w:r>
              <w:fldChar w:fldCharType="end"/>
            </w:r>
          </w:hyperlink>
          <w:r/>
          <w:hyperlink w:tooltip="#_Toc54643694" w:anchor="_Toc54643694" w:history="1">
            <w:r>
              <w:fldChar w:fldCharType="begin"/>
            </w:r>
            <w:r>
              <w:instrText xml:space="preserve">PAGEREF _Toc54643694 \h</w:instrText>
            </w:r>
            <w:r>
              <w:fldChar w:fldCharType="separate"/>
            </w:r>
            <w:r>
              <w:rPr>
                <w:rStyle w:val="765"/>
              </w:rPr>
              <w:t xml:space="preserve">Общие сведения</w:t>
            </w:r>
            <w:r>
              <w:fldChar w:fldCharType="end"/>
            </w:r>
          </w:hyperlink>
          <w:r/>
          <w:hyperlink w:tooltip="#_Toc54643694" w:anchor="_Toc54643694" w:history="1">
            <w:r>
              <w:fldChar w:fldCharType="begin"/>
            </w:r>
            <w:r>
              <w:instrText xml:space="preserve">PAGEREF _Toc54643694 \h</w:instrText>
            </w:r>
            <w:r>
              <w:fldChar w:fldCharType="separate"/>
            </w:r>
            <w:r>
              <w:rPr>
                <w:rStyle w:val="765"/>
              </w:rPr>
              <w:tab/>
              <w:t xml:space="preserve">3</w:t>
            </w:r>
            <w:r>
              <w:fldChar w:fldCharType="end"/>
            </w:r>
          </w:hyperlink>
          <w:r/>
          <w:r>
            <w:rPr>
              <w:sz w:val="26"/>
              <w:szCs w:val="26"/>
            </w:rPr>
          </w:r>
        </w:p>
        <w:p>
          <w:pPr>
            <w:pStyle w:val="804"/>
            <w:pBdr/>
            <w:spacing/>
            <w:ind/>
            <w:rPr>
              <w:sz w:val="26"/>
              <w:szCs w:val="26"/>
            </w:rPr>
          </w:pPr>
          <w:r/>
          <w:hyperlink w:tooltip="#_Toc54643695" w:anchor="_Toc54643695" w:history="1">
            <w:r>
              <w:rPr>
                <w:rStyle w:val="765"/>
                <w:iCs/>
                <w:sz w:val="24"/>
                <w:szCs w:val="24"/>
              </w:rPr>
              <w:t xml:space="preserve">1.1.</w:t>
            </w:r>
          </w:hyperlink>
          <w:r/>
          <w:hyperlink w:tooltip="#_Toc54643695" w:anchor="_Toc54643695" w:history="1">
            <w:r>
              <w:fldChar w:fldCharType="begin"/>
            </w:r>
            <w:r>
              <w:instrText xml:space="preserve">PAGEREF _Toc54643695 \h</w:instrText>
            </w:r>
            <w:r>
              <w:fldChar w:fldCharType="separate"/>
            </w:r>
            <w:r>
              <w:rPr>
                <w:rStyle w:val="765"/>
                <w:sz w:val="24"/>
                <w:szCs w:val="24"/>
              </w:rPr>
              <w:tab/>
            </w:r>
            <w:r>
              <w:fldChar w:fldCharType="end"/>
            </w:r>
          </w:hyperlink>
          <w:r/>
          <w:hyperlink w:tooltip="#_Toc54643695" w:anchor="_Toc54643695" w:history="1">
            <w:r>
              <w:fldChar w:fldCharType="begin"/>
            </w:r>
            <w:r>
              <w:instrText xml:space="preserve">PAGEREF _Toc54643695 \h</w:instrText>
            </w:r>
            <w:r>
              <w:fldChar w:fldCharType="separate"/>
            </w:r>
            <w:r>
              <w:rPr>
                <w:rStyle w:val="765"/>
                <w:sz w:val="24"/>
                <w:szCs w:val="24"/>
              </w:rPr>
              <w:t xml:space="preserve">Обозначения и сокращения</w:t>
            </w:r>
            <w:r>
              <w:fldChar w:fldCharType="end"/>
            </w:r>
          </w:hyperlink>
          <w:r/>
          <w:hyperlink w:tooltip="#_Toc54643695" w:anchor="_Toc54643695" w:history="1">
            <w:r>
              <w:fldChar w:fldCharType="begin"/>
            </w:r>
            <w:r>
              <w:instrText xml:space="preserve">PAGEREF _Toc54643695 \h</w:instrText>
            </w:r>
            <w:r>
              <w:fldChar w:fldCharType="separate"/>
            </w:r>
            <w:r>
              <w:rPr>
                <w:rStyle w:val="765"/>
                <w:sz w:val="24"/>
                <w:szCs w:val="24"/>
              </w:rPr>
              <w:tab/>
              <w:t xml:space="preserve">3</w:t>
            </w:r>
            <w:r>
              <w:fldChar w:fldCharType="end"/>
            </w:r>
          </w:hyperlink>
          <w:r/>
          <w:r>
            <w:rPr>
              <w:sz w:val="26"/>
              <w:szCs w:val="26"/>
            </w:rPr>
          </w:r>
        </w:p>
        <w:p>
          <w:pPr>
            <w:pStyle w:val="804"/>
            <w:pBdr/>
            <w:spacing/>
            <w:ind/>
            <w:rPr>
              <w:sz w:val="26"/>
              <w:szCs w:val="26"/>
            </w:rPr>
          </w:pPr>
          <w:r/>
          <w:hyperlink w:tooltip="#_Toc54643696" w:anchor="_Toc54643696" w:history="1">
            <w:r>
              <w:rPr>
                <w:rStyle w:val="765"/>
                <w:iCs/>
                <w:sz w:val="24"/>
                <w:szCs w:val="24"/>
              </w:rPr>
              <w:t xml:space="preserve">1.2.</w:t>
            </w:r>
          </w:hyperlink>
          <w:r/>
          <w:hyperlink w:tooltip="#_Toc54643696" w:anchor="_Toc54643696" w:history="1">
            <w:r>
              <w:fldChar w:fldCharType="begin"/>
            </w:r>
            <w:r>
              <w:instrText xml:space="preserve">PAGEREF _Toc54643696 \h</w:instrText>
            </w:r>
            <w:r>
              <w:fldChar w:fldCharType="separate"/>
            </w:r>
            <w:r>
              <w:rPr>
                <w:rStyle w:val="765"/>
                <w:sz w:val="24"/>
                <w:szCs w:val="24"/>
              </w:rPr>
              <w:tab/>
            </w:r>
            <w:r>
              <w:fldChar w:fldCharType="end"/>
            </w:r>
          </w:hyperlink>
          <w:r/>
          <w:hyperlink w:tooltip="#_Toc54643696" w:anchor="_Toc54643696" w:history="1">
            <w:r>
              <w:fldChar w:fldCharType="begin"/>
            </w:r>
            <w:r>
              <w:instrText xml:space="preserve">PAGEREF _Toc54643696 \h</w:instrText>
            </w:r>
            <w:r>
              <w:fldChar w:fldCharType="separate"/>
            </w:r>
            <w:r>
              <w:rPr>
                <w:rStyle w:val="765"/>
                <w:sz w:val="24"/>
                <w:szCs w:val="24"/>
              </w:rPr>
              <w:t xml:space="preserve">Наименование закупаемой продукции</w:t>
            </w:r>
            <w:r>
              <w:fldChar w:fldCharType="end"/>
            </w:r>
          </w:hyperlink>
          <w:r/>
          <w:hyperlink w:tooltip="#_Toc54643696" w:anchor="_Toc54643696" w:history="1">
            <w:r>
              <w:fldChar w:fldCharType="begin"/>
            </w:r>
            <w:r>
              <w:instrText xml:space="preserve">PAGEREF _Toc54643696 \h</w:instrText>
            </w:r>
            <w:r>
              <w:fldChar w:fldCharType="separate"/>
            </w:r>
            <w:r>
              <w:rPr>
                <w:rStyle w:val="765"/>
                <w:sz w:val="24"/>
                <w:szCs w:val="24"/>
              </w:rPr>
              <w:tab/>
              <w:t xml:space="preserve">3</w:t>
            </w:r>
            <w:r>
              <w:fldChar w:fldCharType="end"/>
            </w:r>
          </w:hyperlink>
          <w:r/>
          <w:r>
            <w:rPr>
              <w:sz w:val="26"/>
              <w:szCs w:val="26"/>
            </w:rPr>
          </w:r>
        </w:p>
        <w:p>
          <w:pPr>
            <w:pStyle w:val="804"/>
            <w:pBdr/>
            <w:spacing/>
            <w:ind/>
            <w:rPr>
              <w:sz w:val="26"/>
              <w:szCs w:val="26"/>
            </w:rPr>
          </w:pPr>
          <w:r/>
          <w:hyperlink w:tooltip="#_Toc54643697" w:anchor="_Toc54643697" w:history="1">
            <w:r>
              <w:rPr>
                <w:rStyle w:val="765"/>
                <w:iCs/>
                <w:sz w:val="24"/>
                <w:szCs w:val="24"/>
              </w:rPr>
              <w:t xml:space="preserve">1.3.</w:t>
            </w:r>
          </w:hyperlink>
          <w:r/>
          <w:hyperlink w:tooltip="#_Toc54643697" w:anchor="_Toc54643697" w:history="1">
            <w:r>
              <w:fldChar w:fldCharType="begin"/>
            </w:r>
            <w:r>
              <w:instrText xml:space="preserve">PAGEREF _Toc54643697 \h</w:instrText>
            </w:r>
            <w:r>
              <w:fldChar w:fldCharType="separate"/>
            </w:r>
            <w:r>
              <w:rPr>
                <w:rStyle w:val="765"/>
                <w:sz w:val="24"/>
                <w:szCs w:val="24"/>
              </w:rPr>
              <w:tab/>
            </w:r>
            <w:r>
              <w:fldChar w:fldCharType="end"/>
            </w:r>
          </w:hyperlink>
          <w:r/>
          <w:hyperlink w:tooltip="#_Toc54643697" w:anchor="_Toc54643697" w:history="1">
            <w:r>
              <w:fldChar w:fldCharType="begin"/>
            </w:r>
            <w:r>
              <w:instrText xml:space="preserve">PAGEREF _Toc54643697 \h</w:instrText>
            </w:r>
            <w:r>
              <w:fldChar w:fldCharType="separate"/>
            </w:r>
            <w:r>
              <w:rPr>
                <w:rStyle w:val="765"/>
                <w:sz w:val="24"/>
                <w:szCs w:val="24"/>
              </w:rPr>
              <w:t xml:space="preserve">Цель оказания услуг</w:t>
            </w:r>
            <w:r>
              <w:fldChar w:fldCharType="end"/>
            </w:r>
          </w:hyperlink>
          <w:r/>
          <w:hyperlink w:tooltip="#_Toc54643697" w:anchor="_Toc54643697" w:history="1">
            <w:r>
              <w:fldChar w:fldCharType="begin"/>
            </w:r>
            <w:r>
              <w:instrText xml:space="preserve">PAGEREF _Toc54643697 \h</w:instrText>
            </w:r>
            <w:r>
              <w:fldChar w:fldCharType="separate"/>
            </w:r>
            <w:r>
              <w:rPr>
                <w:rStyle w:val="765"/>
                <w:sz w:val="24"/>
                <w:szCs w:val="24"/>
              </w:rPr>
              <w:tab/>
              <w:t xml:space="preserve">3</w:t>
            </w:r>
            <w:r>
              <w:fldChar w:fldCharType="end"/>
            </w:r>
          </w:hyperlink>
          <w:r/>
          <w:r>
            <w:rPr>
              <w:sz w:val="26"/>
              <w:szCs w:val="26"/>
            </w:rPr>
          </w:r>
        </w:p>
        <w:p>
          <w:pPr>
            <w:pStyle w:val="793"/>
            <w:pBdr/>
            <w:tabs>
              <w:tab w:val="left" w:leader="none" w:pos="560"/>
              <w:tab w:val="clear" w:leader="none" w:pos="708"/>
              <w:tab w:val="right" w:leader="dot" w:pos="9911"/>
            </w:tabs>
            <w:spacing/>
            <w:ind/>
            <w:rPr>
              <w:sz w:val="26"/>
              <w:szCs w:val="26"/>
            </w:rPr>
          </w:pPr>
          <w:r/>
          <w:hyperlink w:tooltip="#_Toc54643702" w:anchor="_Toc54643702" w:history="1">
            <w:r>
              <w:rPr>
                <w:rStyle w:val="765"/>
              </w:rPr>
              <w:t xml:space="preserve">2.</w:t>
            </w:r>
          </w:hyperlink>
          <w:r/>
          <w:hyperlink w:tooltip="#_Toc54643702" w:anchor="_Toc54643702" w:history="1">
            <w:r>
              <w:fldChar w:fldCharType="begin"/>
            </w:r>
            <w:r>
              <w:instrText xml:space="preserve">PAGEREF _Toc54643702 \h</w:instrText>
            </w:r>
            <w:r>
              <w:fldChar w:fldCharType="separate"/>
            </w:r>
            <w:r>
              <w:rPr>
                <w:rStyle w:val="765"/>
                <w:b w:val="0"/>
                <w:bCs w:val="0"/>
              </w:rPr>
              <w:tab/>
            </w:r>
            <w:r>
              <w:fldChar w:fldCharType="end"/>
            </w:r>
          </w:hyperlink>
          <w:r/>
          <w:hyperlink w:tooltip="#_Toc54643702" w:anchor="_Toc54643702" w:history="1">
            <w:r>
              <w:fldChar w:fldCharType="begin"/>
            </w:r>
            <w:r>
              <w:instrText xml:space="preserve">PAGEREF _Toc54643702 \h</w:instrText>
            </w:r>
            <w:r>
              <w:fldChar w:fldCharType="separate"/>
            </w:r>
            <w:r>
              <w:rPr>
                <w:rStyle w:val="765"/>
                <w:iCs/>
              </w:rPr>
              <w:t xml:space="preserve">Требования к продукции</w:t>
            </w:r>
            <w:r>
              <w:fldChar w:fldCharType="end"/>
            </w:r>
          </w:hyperlink>
          <w:r/>
          <w:hyperlink w:tooltip="#_Toc54643702" w:anchor="_Toc54643702" w:history="1">
            <w:r>
              <w:fldChar w:fldCharType="begin"/>
            </w:r>
            <w:r>
              <w:instrText xml:space="preserve">PAGEREF _Toc54643702 \h</w:instrText>
            </w:r>
            <w:r>
              <w:fldChar w:fldCharType="separate"/>
            </w:r>
            <w:r>
              <w:rPr>
                <w:rStyle w:val="765"/>
              </w:rPr>
              <w:tab/>
              <w:t xml:space="preserve">4</w:t>
            </w:r>
            <w:r>
              <w:fldChar w:fldCharType="end"/>
            </w:r>
          </w:hyperlink>
          <w:r/>
          <w:r>
            <w:rPr>
              <w:sz w:val="26"/>
              <w:szCs w:val="26"/>
            </w:rPr>
          </w:r>
        </w:p>
        <w:p>
          <w:pPr>
            <w:pStyle w:val="804"/>
            <w:pBdr/>
            <w:spacing/>
            <w:ind/>
            <w:rPr>
              <w:sz w:val="26"/>
              <w:szCs w:val="26"/>
            </w:rPr>
          </w:pPr>
          <w:r/>
          <w:hyperlink w:tooltip="#_Toc54643703" w:anchor="_Toc54643703" w:history="1">
            <w:r>
              <w:rPr>
                <w:rStyle w:val="765"/>
                <w:iCs/>
                <w:sz w:val="24"/>
                <w:szCs w:val="24"/>
              </w:rPr>
              <w:t xml:space="preserve">2.1.</w:t>
            </w:r>
          </w:hyperlink>
          <w:r/>
          <w:hyperlink w:tooltip="#_Toc54643703" w:anchor="_Toc54643703" w:history="1">
            <w:r>
              <w:fldChar w:fldCharType="begin"/>
            </w:r>
            <w:r>
              <w:instrText xml:space="preserve">PAGEREF _Toc54643703 \h</w:instrText>
            </w:r>
            <w:r>
              <w:fldChar w:fldCharType="separate"/>
            </w:r>
            <w:r>
              <w:rPr>
                <w:rStyle w:val="765"/>
                <w:sz w:val="24"/>
                <w:szCs w:val="24"/>
              </w:rPr>
              <w:tab/>
            </w:r>
            <w:r>
              <w:fldChar w:fldCharType="end"/>
            </w:r>
          </w:hyperlink>
          <w:r/>
          <w:hyperlink w:tooltip="#_Toc54643703" w:anchor="_Toc54643703" w:history="1">
            <w:r>
              <w:fldChar w:fldCharType="begin"/>
            </w:r>
            <w:r>
              <w:instrText xml:space="preserve">PAGEREF _Toc54643703 \h</w:instrText>
            </w:r>
            <w:r>
              <w:fldChar w:fldCharType="separate"/>
            </w:r>
            <w:r>
              <w:rPr>
                <w:rStyle w:val="765"/>
                <w:sz w:val="24"/>
                <w:szCs w:val="24"/>
              </w:rPr>
              <w:t xml:space="preserve">Требования к объемам и срокам оказания услуг</w:t>
            </w:r>
            <w:r>
              <w:fldChar w:fldCharType="end"/>
            </w:r>
          </w:hyperlink>
          <w:r/>
          <w:hyperlink w:tooltip="#_Toc54643703" w:anchor="_Toc54643703" w:history="1">
            <w:r>
              <w:fldChar w:fldCharType="begin"/>
            </w:r>
            <w:r>
              <w:instrText xml:space="preserve">PAGEREF _Toc54643703 \h</w:instrText>
            </w:r>
            <w:r>
              <w:fldChar w:fldCharType="separate"/>
            </w:r>
            <w:r>
              <w:rPr>
                <w:rStyle w:val="765"/>
                <w:sz w:val="24"/>
                <w:szCs w:val="24"/>
              </w:rPr>
              <w:tab/>
              <w:t xml:space="preserve">4</w:t>
            </w:r>
            <w:r>
              <w:fldChar w:fldCharType="end"/>
            </w:r>
          </w:hyperlink>
          <w:r/>
          <w:r>
            <w:rPr>
              <w:sz w:val="26"/>
              <w:szCs w:val="26"/>
            </w:rPr>
          </w:r>
        </w:p>
        <w:p>
          <w:pPr>
            <w:pStyle w:val="793"/>
            <w:pBdr/>
            <w:spacing/>
            <w:ind/>
            <w:rPr>
              <w:sz w:val="26"/>
              <w:szCs w:val="26"/>
            </w:rPr>
          </w:pPr>
          <w:r>
            <w:t xml:space="preserve">Таблица 1. Перечень и объем оказываемых услуг. Требования к срокам оказания услуг</w:t>
            <w:tab/>
            <w:t xml:space="preserve">4</w:t>
          </w:r>
          <w:r>
            <w:rPr>
              <w:sz w:val="26"/>
              <w:szCs w:val="26"/>
            </w:rPr>
          </w:r>
        </w:p>
        <w:p>
          <w:pPr>
            <w:pStyle w:val="793"/>
            <w:pBdr/>
            <w:tabs>
              <w:tab w:val="left" w:leader="none" w:pos="560"/>
              <w:tab w:val="clear" w:leader="none" w:pos="708"/>
              <w:tab w:val="right" w:leader="dot" w:pos="9911"/>
            </w:tabs>
            <w:spacing/>
            <w:ind/>
            <w:rPr>
              <w:sz w:val="26"/>
              <w:szCs w:val="26"/>
            </w:rPr>
          </w:pPr>
          <w:r/>
          <w:hyperlink w:tooltip="#_Toc54643710" w:anchor="_Toc54643710" w:history="1">
            <w:r>
              <w:rPr>
                <w:rStyle w:val="765"/>
              </w:rPr>
              <w:t xml:space="preserve">3.</w:t>
            </w:r>
          </w:hyperlink>
          <w:r/>
          <w:hyperlink w:tooltip="#_Toc54643710" w:anchor="_Toc54643710" w:history="1">
            <w:r>
              <w:fldChar w:fldCharType="begin"/>
            </w:r>
            <w:r>
              <w:instrText xml:space="preserve">PAGEREF _Toc54643710 \h</w:instrText>
            </w:r>
            <w:r>
              <w:fldChar w:fldCharType="separate"/>
            </w:r>
            <w:r>
              <w:rPr>
                <w:rStyle w:val="765"/>
                <w:b w:val="0"/>
                <w:bCs w:val="0"/>
              </w:rPr>
              <w:tab/>
            </w:r>
            <w:r>
              <w:fldChar w:fldCharType="end"/>
            </w:r>
          </w:hyperlink>
          <w:r/>
          <w:hyperlink w:tooltip="#_Toc54643710" w:anchor="_Toc54643710" w:history="1">
            <w:r>
              <w:fldChar w:fldCharType="begin"/>
            </w:r>
            <w:r>
              <w:instrText xml:space="preserve">PAGEREF _Toc54643710 \h</w:instrText>
            </w:r>
            <w:r>
              <w:fldChar w:fldCharType="separate"/>
            </w:r>
            <w:r>
              <w:rPr>
                <w:rStyle w:val="765"/>
              </w:rPr>
              <w:t xml:space="preserve">Требования к участнику. Требования к документации по ценообразованию на этапе закупки</w:t>
            </w:r>
            <w:r>
              <w:fldChar w:fldCharType="end"/>
            </w:r>
          </w:hyperlink>
          <w:r/>
          <w:hyperlink w:tooltip="#_Toc54643710" w:anchor="_Toc54643710" w:history="1">
            <w:r>
              <w:fldChar w:fldCharType="begin"/>
            </w:r>
            <w:r>
              <w:instrText xml:space="preserve">PAGEREF _Toc54643710 \h</w:instrText>
            </w:r>
            <w:r>
              <w:fldChar w:fldCharType="separate"/>
            </w:r>
            <w:r>
              <w:rPr>
                <w:rStyle w:val="765"/>
              </w:rPr>
              <w:tab/>
              <w:t xml:space="preserve">5</w:t>
            </w:r>
            <w:r>
              <w:fldChar w:fldCharType="end"/>
            </w:r>
          </w:hyperlink>
          <w:r/>
          <w:r>
            <w:rPr>
              <w:sz w:val="26"/>
              <w:szCs w:val="26"/>
            </w:rPr>
          </w:r>
        </w:p>
        <w:p>
          <w:pPr>
            <w:pStyle w:val="793"/>
            <w:pBdr/>
            <w:tabs>
              <w:tab w:val="left" w:leader="none" w:pos="560"/>
              <w:tab w:val="clear" w:leader="none" w:pos="708"/>
              <w:tab w:val="right" w:leader="dot" w:pos="9911"/>
            </w:tabs>
            <w:spacing/>
            <w:ind/>
            <w:rPr>
              <w:sz w:val="26"/>
              <w:szCs w:val="26"/>
            </w:rPr>
          </w:pPr>
          <w:r/>
          <w:hyperlink w:tooltip="#_Toc54643711" w:anchor="_Toc54643711" w:history="1">
            <w:r>
              <w:rPr>
                <w:rStyle w:val="765"/>
              </w:rPr>
              <w:t xml:space="preserve">4.</w:t>
            </w:r>
          </w:hyperlink>
          <w:r/>
          <w:hyperlink w:tooltip="#_Toc54643711" w:anchor="_Toc54643711" w:history="1">
            <w:r>
              <w:fldChar w:fldCharType="begin"/>
            </w:r>
            <w:r>
              <w:instrText xml:space="preserve">PAGEREF _Toc54643711 \h</w:instrText>
            </w:r>
            <w:r>
              <w:fldChar w:fldCharType="separate"/>
            </w:r>
            <w:r>
              <w:rPr>
                <w:rStyle w:val="765"/>
                <w:b w:val="0"/>
                <w:bCs w:val="0"/>
              </w:rPr>
              <w:tab/>
            </w:r>
            <w:r>
              <w:fldChar w:fldCharType="end"/>
            </w:r>
          </w:hyperlink>
          <w:r/>
          <w:hyperlink w:tooltip="#_Toc54643711" w:anchor="_Toc54643711" w:history="1">
            <w:r>
              <w:fldChar w:fldCharType="begin"/>
            </w:r>
            <w:r>
              <w:instrText xml:space="preserve">PAGEREF _Toc54643711 \h</w:instrText>
            </w:r>
            <w:r>
              <w:fldChar w:fldCharType="separate"/>
            </w:r>
            <w:r>
              <w:rPr>
                <w:rStyle w:val="765"/>
                <w:rFonts w:eastAsia="PMingLiU" w:cs="Arial"/>
                <w:color w:val="000000"/>
              </w:rPr>
              <w:t xml:space="preserve">Характеристика перевозимого груза</w:t>
            </w:r>
            <w:r>
              <w:fldChar w:fldCharType="end"/>
            </w:r>
          </w:hyperlink>
          <w:r/>
          <w:hyperlink w:tooltip="#_Toc54643711" w:anchor="_Toc54643711" w:history="1">
            <w:r>
              <w:fldChar w:fldCharType="begin"/>
            </w:r>
            <w:r>
              <w:instrText xml:space="preserve">PAGEREF _Toc54643711 \h</w:instrText>
            </w:r>
            <w:r>
              <w:fldChar w:fldCharType="separate"/>
            </w:r>
            <w:r>
              <w:rPr>
                <w:rStyle w:val="765"/>
              </w:rPr>
              <w:tab/>
            </w:r>
            <w:r>
              <w:fldChar w:fldCharType="end"/>
            </w:r>
          </w:hyperlink>
          <w:r>
            <w:t xml:space="preserve">7</w:t>
          </w:r>
          <w:r>
            <w:rPr>
              <w:sz w:val="26"/>
              <w:szCs w:val="26"/>
            </w:rPr>
          </w:r>
        </w:p>
        <w:p>
          <w:pPr>
            <w:pStyle w:val="793"/>
            <w:pBdr/>
            <w:tabs>
              <w:tab w:val="left" w:leader="none" w:pos="560"/>
              <w:tab w:val="clear" w:leader="none" w:pos="708"/>
              <w:tab w:val="right" w:leader="dot" w:pos="9911"/>
            </w:tabs>
            <w:spacing/>
            <w:ind/>
            <w:rPr>
              <w:sz w:val="26"/>
              <w:szCs w:val="26"/>
            </w:rPr>
          </w:pPr>
          <w:r/>
          <w:hyperlink w:tooltip="#_Toc54643712" w:anchor="_Toc54643712" w:history="1">
            <w:r>
              <w:rPr>
                <w:rStyle w:val="765"/>
              </w:rPr>
              <w:t xml:space="preserve">5.</w:t>
            </w:r>
          </w:hyperlink>
          <w:r/>
          <w:hyperlink w:tooltip="#_Toc54643712" w:anchor="_Toc54643712" w:history="1">
            <w:r>
              <w:fldChar w:fldCharType="begin"/>
            </w:r>
            <w:r>
              <w:instrText xml:space="preserve">PAGEREF _Toc54643712 \h</w:instrText>
            </w:r>
            <w:r>
              <w:fldChar w:fldCharType="separate"/>
            </w:r>
            <w:r>
              <w:rPr>
                <w:rStyle w:val="765"/>
                <w:b w:val="0"/>
                <w:bCs w:val="0"/>
              </w:rPr>
              <w:tab/>
            </w:r>
            <w:r>
              <w:fldChar w:fldCharType="end"/>
            </w:r>
          </w:hyperlink>
          <w:r/>
          <w:hyperlink w:tooltip="#_Toc54643712" w:anchor="_Toc54643712" w:history="1">
            <w:r>
              <w:fldChar w:fldCharType="begin"/>
            </w:r>
            <w:r>
              <w:instrText xml:space="preserve">PAGEREF _Toc54643712 \h</w:instrText>
            </w:r>
            <w:r>
              <w:fldChar w:fldCharType="separate"/>
            </w:r>
            <w:r>
              <w:rPr>
                <w:rStyle w:val="765"/>
                <w:rFonts w:eastAsia="PMingLiU" w:cs="Arial"/>
                <w:color w:val="000000"/>
              </w:rPr>
              <w:t xml:space="preserve">Требования к Исполнителю оказания услуг</w:t>
              <w:tab/>
            </w:r>
            <w:r>
              <w:fldChar w:fldCharType="end"/>
            </w:r>
          </w:hyperlink>
          <w:r/>
          <w:hyperlink w:tooltip="#_Toc54643712" w:anchor="_Toc54643712" w:history="1">
            <w:r>
              <w:fldChar w:fldCharType="begin"/>
            </w:r>
            <w:r>
              <w:instrText xml:space="preserve">PAGEREF _Toc54643712 \h</w:instrText>
            </w:r>
            <w:r>
              <w:fldChar w:fldCharType="separate"/>
            </w:r>
            <w:r>
              <w:rPr>
                <w:rStyle w:val="765"/>
              </w:rPr>
              <w:t xml:space="preserve">7</w:t>
            </w:r>
            <w:r>
              <w:fldChar w:fldCharType="end"/>
            </w:r>
          </w:hyperlink>
          <w:r/>
          <w:r>
            <w:rPr>
              <w:sz w:val="26"/>
              <w:szCs w:val="26"/>
            </w:rPr>
          </w:r>
        </w:p>
        <w:p>
          <w:pPr>
            <w:pStyle w:val="693"/>
            <w:pBdr/>
            <w:tabs>
              <w:tab w:val="left" w:leader="none" w:pos="560"/>
              <w:tab w:val="clear" w:leader="none" w:pos="708"/>
              <w:tab w:val="right" w:leader="dot" w:pos="9911"/>
            </w:tabs>
            <w:spacing/>
            <w:ind/>
            <w:rPr>
              <w:sz w:val="24"/>
              <w:szCs w:val="24"/>
            </w:rPr>
          </w:pPr>
          <w:r>
            <w:rPr>
              <w:sz w:val="24"/>
              <w:szCs w:val="24"/>
            </w:rPr>
          </w:r>
          <w:r>
            <w:rPr>
              <w:sz w:val="24"/>
              <w:szCs w:val="24"/>
            </w:rPr>
          </w:r>
        </w:p>
        <w:p>
          <w:pPr>
            <w:pStyle w:val="693"/>
            <w:pBdr/>
            <w:tabs>
              <w:tab w:val="left" w:leader="none" w:pos="560"/>
              <w:tab w:val="clear" w:leader="none" w:pos="708"/>
              <w:tab w:val="right" w:leader="dot" w:pos="9911"/>
            </w:tabs>
            <w:spacing/>
            <w:ind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6.  </w:t>
          </w:r>
          <w:r>
            <w:rPr>
              <w:b/>
              <w:bCs/>
              <w:color w:val="000000"/>
              <w:sz w:val="24"/>
              <w:szCs w:val="24"/>
            </w:rPr>
            <w:t xml:space="preserve">Требования к безопасности при оказании услуги…………………………………….....7-8</w:t>
          </w:r>
          <w:r>
            <w:rPr>
              <w:sz w:val="24"/>
              <w:szCs w:val="24"/>
            </w:rPr>
          </w:r>
        </w:p>
        <w:p>
          <w:pPr>
            <w:pStyle w:val="693"/>
            <w:pBdr/>
            <w:tabs>
              <w:tab w:val="left" w:leader="none" w:pos="560"/>
              <w:tab w:val="clear" w:leader="none" w:pos="708"/>
              <w:tab w:val="right" w:leader="dot" w:pos="9911"/>
            </w:tabs>
            <w:spacing/>
            <w:ind/>
            <w:rPr>
              <w:sz w:val="24"/>
              <w:szCs w:val="24"/>
            </w:rPr>
          </w:pPr>
          <w:r>
            <w:rPr>
              <w:sz w:val="24"/>
              <w:szCs w:val="24"/>
            </w:rPr>
          </w:r>
          <w:r>
            <w:rPr>
              <w:sz w:val="24"/>
              <w:szCs w:val="24"/>
            </w:rPr>
          </w:r>
        </w:p>
        <w:p>
          <w:pPr>
            <w:pStyle w:val="693"/>
            <w:pBdr/>
            <w:tabs>
              <w:tab w:val="left" w:leader="none" w:pos="560"/>
              <w:tab w:val="clear" w:leader="none" w:pos="708"/>
              <w:tab w:val="right" w:leader="dot" w:pos="9911"/>
            </w:tabs>
            <w:spacing/>
            <w:ind/>
            <w:rPr>
              <w:b/>
              <w:bCs/>
              <w:color w:val="000000"/>
              <w:sz w:val="24"/>
              <w:szCs w:val="24"/>
            </w:rPr>
          </w:pPr>
          <w:r>
            <w:rPr>
              <w:b/>
              <w:bCs/>
              <w:color w:val="000000"/>
              <w:sz w:val="24"/>
              <w:szCs w:val="24"/>
            </w:rPr>
            <w:t xml:space="preserve">7.   Требования к гарантийному сроку и (или) объему предоставления гарантий качества услуги…………………………………………………………………………………………………..8</w:t>
          </w:r>
          <w:r>
            <w:rPr>
              <w:b/>
              <w:bCs/>
              <w:color w:val="000000"/>
              <w:sz w:val="24"/>
              <w:szCs w:val="24"/>
            </w:rPr>
            <w:fldChar w:fldCharType="end"/>
          </w:r>
          <w:r>
            <w:rPr>
              <w:b/>
              <w:bCs/>
              <w:color w:val="000000"/>
              <w:sz w:val="24"/>
              <w:szCs w:val="24"/>
            </w:rPr>
          </w:r>
        </w:p>
      </w:sdtContent>
    </w:sdt>
    <w:p>
      <w:pPr>
        <w:pStyle w:val="793"/>
        <w:pBdr/>
        <w:tabs>
          <w:tab w:val="clear" w:leader="none" w:pos="708"/>
          <w:tab w:val="right" w:leader="dot" w:pos="9911"/>
        </w:tabs>
        <w:spacing/>
        <w:ind/>
        <w:rPr>
          <w:rFonts w:eastAsia="Calibri"/>
          <w:i/>
        </w:rPr>
      </w:pPr>
      <w:r>
        <w:rPr>
          <w:rFonts w:eastAsia="Calibri"/>
          <w:i/>
        </w:rPr>
      </w:r>
      <w:r>
        <w:br w:type="page" w:clear="all"/>
      </w:r>
      <w:r>
        <w:rPr>
          <w:rFonts w:eastAsia="Calibri"/>
          <w:i/>
        </w:rPr>
      </w:r>
    </w:p>
    <w:p>
      <w:pPr>
        <w:pStyle w:val="694"/>
        <w:keepLines w:val="true"/>
        <w:pBdr/>
        <w:tabs>
          <w:tab w:val="clear" w:leader="none" w:pos="0"/>
        </w:tabs>
        <w:spacing/>
        <w:ind w:firstLine="0" w:left="0"/>
        <w:jc w:val="center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1. </w:t>
      </w:r>
      <w:bookmarkStart w:id="0" w:name="_Toc54643694"/>
      <w:r>
        <w:rPr>
          <w:sz w:val="26"/>
          <w:szCs w:val="26"/>
          <w:lang w:val="ru-RU"/>
        </w:rPr>
        <w:t xml:space="preserve">Общие сведения</w:t>
      </w:r>
      <w:bookmarkEnd w:id="0"/>
      <w:r/>
      <w:r>
        <w:rPr>
          <w:sz w:val="26"/>
          <w:szCs w:val="26"/>
        </w:rPr>
      </w:r>
    </w:p>
    <w:p>
      <w:pPr>
        <w:pStyle w:val="697"/>
        <w:numPr>
          <w:ilvl w:val="1"/>
          <w:numId w:val="3"/>
        </w:numPr>
        <w:pBdr/>
        <w:spacing/>
        <w:ind/>
        <w:rPr/>
      </w:pPr>
      <w:r/>
      <w:bookmarkStart w:id="1" w:name="_Toc46743505"/>
      <w:r/>
      <w:bookmarkStart w:id="2" w:name="_Toc54643695"/>
      <w:r>
        <w:t xml:space="preserve">Обозначения и сокращения</w:t>
      </w:r>
      <w:bookmarkEnd w:id="1"/>
      <w:r/>
      <w:bookmarkEnd w:id="2"/>
      <w:r/>
      <w:r/>
    </w:p>
    <w:tbl>
      <w:tblPr>
        <w:tblW w:w="9855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085"/>
        <w:gridCol w:w="7769"/>
      </w:tblGrid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 (населенный пункт)</w:t>
            </w:r>
            <w:r>
              <w:rPr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Поселок (населенный пункт)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Ед. изм.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Единица измерения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Тн.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Тонн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Год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ПБ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Производственная база АО «Сахаэнерго»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53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ПРР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Погрузо-разгрузочные работы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93"/>
        <w:keepNext w:val="true"/>
        <w:keepLines w:val="true"/>
        <w:pBdr/>
        <w:spacing w:line="276" w:lineRule="auto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97"/>
        <w:numPr>
          <w:ilvl w:val="1"/>
          <w:numId w:val="3"/>
        </w:numPr>
        <w:pBdr/>
        <w:spacing w:line="276" w:lineRule="auto"/>
        <w:ind/>
        <w:rPr/>
      </w:pPr>
      <w:r/>
      <w:bookmarkStart w:id="3" w:name="_Toc54643696"/>
      <w:r>
        <w:t xml:space="preserve">Наименование закупаемой продукции</w:t>
      </w:r>
      <w:bookmarkEnd w:id="3"/>
      <w:r/>
      <w:r/>
    </w:p>
    <w:p>
      <w:pPr>
        <w:pStyle w:val="693"/>
        <w:widowControl w:val="false"/>
        <w:pBdr/>
        <w:tabs>
          <w:tab w:val="left" w:leader="none" w:pos="426"/>
          <w:tab w:val="clear" w:leader="none" w:pos="708"/>
        </w:tabs>
        <w:spacing w:after="120" w:before="120" w:line="276" w:lineRule="auto"/>
        <w:ind/>
        <w:jc w:val="both"/>
        <w:rPr/>
      </w:pPr>
      <w:r>
        <w:rPr>
          <w:rFonts w:eastAsia="Calibri"/>
          <w:sz w:val="24"/>
          <w:szCs w:val="24"/>
        </w:rPr>
        <w:t xml:space="preserve">Перевозка груза водным видом транспорта по маршруту </w:t>
      </w:r>
      <w:r>
        <w:rPr>
          <w:rFonts w:eastAsia="Calibri"/>
          <w:sz w:val="24"/>
          <w:szCs w:val="24"/>
        </w:rPr>
        <w:t xml:space="preserve">п.Усть-Куйга</w:t>
      </w:r>
      <w:r>
        <w:rPr>
          <w:rFonts w:eastAsia="Calibri"/>
          <w:sz w:val="24"/>
          <w:szCs w:val="24"/>
        </w:rPr>
        <w:t xml:space="preserve"> — </w:t>
      </w:r>
      <w:r>
        <w:rPr>
          <w:rFonts w:eastAsia="Calibri"/>
          <w:sz w:val="24"/>
          <w:szCs w:val="24"/>
        </w:rPr>
        <w:t xml:space="preserve">г.Якутск</w:t>
      </w:r>
      <w:r>
        <w:rPr>
          <w:rFonts w:eastAsia="Calibri"/>
          <w:sz w:val="24"/>
          <w:szCs w:val="24"/>
        </w:rPr>
        <w:t xml:space="preserve"> для нужд </w:t>
      </w:r>
      <w:r>
        <w:rPr>
          <w:rFonts w:eastAsia="Calibri"/>
          <w:sz w:val="24"/>
          <w:szCs w:val="24"/>
        </w:rPr>
        <w:t xml:space="preserve">АО «Сахаэнерго».</w:t>
      </w:r>
      <w:bookmarkStart w:id="4" w:name="_Toc46743507"/>
      <w:r/>
      <w:r/>
    </w:p>
    <w:p>
      <w:pPr>
        <w:pStyle w:val="697"/>
        <w:numPr>
          <w:ilvl w:val="1"/>
          <w:numId w:val="3"/>
        </w:numPr>
        <w:pBdr/>
        <w:spacing w:after="60" w:before="240" w:line="276" w:lineRule="auto"/>
        <w:ind w:hanging="431" w:left="431"/>
        <w:rPr/>
      </w:pPr>
      <w:r/>
      <w:bookmarkStart w:id="5" w:name="_Toc54643697"/>
      <w:r>
        <w:t xml:space="preserve">Цель </w:t>
      </w:r>
      <w:bookmarkEnd w:id="4"/>
      <w:r>
        <w:rPr>
          <w:lang w:val="ru-RU"/>
        </w:rPr>
        <w:t xml:space="preserve">оказания услуг</w:t>
      </w:r>
      <w:r>
        <w:t xml:space="preserve"> </w:t>
      </w:r>
      <w:bookmarkEnd w:id="5"/>
      <w:r/>
      <w:r/>
    </w:p>
    <w:p>
      <w:pPr>
        <w:pStyle w:val="693"/>
        <w:pBdr/>
        <w:spacing w:line="276" w:lineRule="auto"/>
        <w:ind/>
        <w:jc w:val="both"/>
        <w:rPr/>
      </w:pPr>
      <w:r>
        <w:rPr>
          <w:sz w:val="24"/>
        </w:rPr>
        <w:t xml:space="preserve">Выполнение перевозки </w:t>
      </w:r>
      <w:r>
        <w:rPr>
          <w:rFonts w:eastAsia="Calibri"/>
          <w:sz w:val="24"/>
          <w:szCs w:val="24"/>
        </w:rPr>
        <w:t xml:space="preserve">груза</w:t>
      </w:r>
      <w:r>
        <w:rPr>
          <w:sz w:val="24"/>
        </w:rPr>
        <w:t xml:space="preserve"> (с учетом погрузо-разгрузочных работ) водным видом транспорта с </w:t>
      </w:r>
      <w:r>
        <w:rPr>
          <w:rFonts w:eastAsia="Calibri"/>
          <w:sz w:val="24"/>
          <w:szCs w:val="24"/>
        </w:rPr>
        <w:t xml:space="preserve">п.Усть-Куйга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до</w:t>
      </w:r>
      <w:r>
        <w:rPr>
          <w:rFonts w:eastAsia="Calibri"/>
          <w:sz w:val="24"/>
          <w:szCs w:val="24"/>
        </w:rPr>
        <w:t xml:space="preserve"> г</w:t>
      </w:r>
      <w:r>
        <w:rPr>
          <w:rFonts w:eastAsia="Calibri"/>
          <w:sz w:val="24"/>
          <w:szCs w:val="24"/>
        </w:rPr>
        <w:t xml:space="preserve">.Якутск</w:t>
      </w:r>
      <w:r>
        <w:rPr>
          <w:sz w:val="24"/>
        </w:rPr>
        <w:t xml:space="preserve">.</w:t>
      </w:r>
      <w:r/>
    </w:p>
    <w:p>
      <w:pPr>
        <w:pStyle w:val="693"/>
        <w:pBdr/>
        <w:spacing w:line="276" w:lineRule="auto"/>
        <w:ind/>
        <w:jc w:val="both"/>
        <w:rPr/>
      </w:pPr>
      <w:r>
        <w:rPr>
          <w:sz w:val="24"/>
        </w:rPr>
        <w:t xml:space="preserve">Перевозка осуществляется по Заявке отправителя в период навигации 2026г.</w:t>
      </w:r>
      <w:r/>
    </w:p>
    <w:p>
      <w:pPr>
        <w:pStyle w:val="693"/>
        <w:pBdr/>
        <w:spacing w:line="276" w:lineRule="auto"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4"/>
        <w:keepLines w:val="true"/>
        <w:pBdr/>
        <w:tabs>
          <w:tab w:val="clear" w:leader="none" w:pos="0"/>
        </w:tabs>
        <w:spacing w:line="276" w:lineRule="auto"/>
        <w:ind w:firstLine="0" w:left="0"/>
        <w:jc w:val="center"/>
        <w:rPr/>
      </w:pPr>
      <w:r/>
      <w:bookmarkStart w:id="6" w:name="_Toc50125126"/>
      <w:r/>
      <w:bookmarkStart w:id="7" w:name="_Toc46743510"/>
      <w:r/>
      <w:bookmarkEnd w:id="6"/>
      <w:r/>
      <w:bookmarkEnd w:id="7"/>
      <w:r>
        <w:rPr>
          <w:iCs/>
          <w:sz w:val="26"/>
          <w:szCs w:val="26"/>
          <w:lang w:val="ru-RU"/>
        </w:rPr>
        <w:t xml:space="preserve">2. </w:t>
      </w:r>
      <w:bookmarkStart w:id="8" w:name="_Toc54643702"/>
      <w:r/>
      <w:bookmarkStart w:id="9" w:name="_Toc51339693"/>
      <w:r>
        <w:rPr>
          <w:iCs/>
          <w:sz w:val="26"/>
          <w:szCs w:val="26"/>
          <w:lang w:val="ru-RU"/>
        </w:rPr>
        <w:t xml:space="preserve">Требования</w:t>
      </w:r>
      <w:r>
        <w:rPr>
          <w:iCs/>
          <w:sz w:val="26"/>
          <w:szCs w:val="26"/>
        </w:rPr>
        <w:t xml:space="preserve"> к продукции</w:t>
      </w:r>
      <w:bookmarkEnd w:id="8"/>
      <w:r/>
      <w:bookmarkEnd w:id="9"/>
      <w:r/>
      <w:r/>
    </w:p>
    <w:p>
      <w:pPr>
        <w:pStyle w:val="809"/>
        <w:keepNext w:val="true"/>
        <w:numPr>
          <w:ilvl w:val="0"/>
          <w:numId w:val="3"/>
        </w:numPr>
        <w:pBdr/>
        <w:spacing w:after="60" w:before="120" w:line="276" w:lineRule="auto"/>
        <w:ind/>
        <w:contextualSpacing w:val="false"/>
        <w:outlineLvl w:val="3"/>
        <w:rPr>
          <w:b/>
          <w:bCs/>
          <w:vanish/>
        </w:rPr>
      </w:pPr>
      <w:r>
        <w:rPr>
          <w:b/>
          <w:bCs/>
          <w:vanish/>
        </w:rPr>
      </w:r>
      <w:r/>
      <w:bookmarkStart w:id="11" w:name="_Toc54643703"/>
      <w:r/>
      <w:r>
        <w:rPr>
          <w:b/>
          <w:bCs/>
          <w:vanish/>
        </w:rPr>
      </w:r>
    </w:p>
    <w:p>
      <w:pPr>
        <w:pStyle w:val="697"/>
        <w:numPr>
          <w:ilvl w:val="1"/>
          <w:numId w:val="3"/>
        </w:numPr>
        <w:pBdr/>
        <w:spacing w:line="276" w:lineRule="auto"/>
        <w:ind/>
        <w:rPr/>
      </w:pPr>
      <w:r>
        <w:t xml:space="preserve">Требования к объемам и срокам </w:t>
      </w:r>
      <w:r>
        <w:rPr>
          <w:lang w:val="ru-RU"/>
        </w:rPr>
        <w:t xml:space="preserve">оказания услуг</w:t>
      </w:r>
      <w:bookmarkEnd w:id="11"/>
      <w:r/>
      <w:r/>
    </w:p>
    <w:p>
      <w:pPr>
        <w:pStyle w:val="693"/>
        <w:pBdr/>
        <w:spacing w:line="276" w:lineRule="auto"/>
        <w:ind/>
        <w:jc w:val="both"/>
        <w:rPr/>
      </w:pPr>
      <w:r>
        <w:rPr>
          <w:b w:val="0"/>
          <w:bCs w:val="0"/>
          <w:i/>
          <w:iCs/>
          <w:sz w:val="24"/>
          <w:szCs w:val="24"/>
        </w:rPr>
        <w:t xml:space="preserve">«ОКПД2 50.40.19.900 Перевозка груза по маршруту </w:t>
      </w:r>
      <w:r>
        <w:rPr>
          <w:rFonts w:eastAsia="Calibri"/>
          <w:b w:val="0"/>
          <w:bCs w:val="0"/>
          <w:i/>
          <w:iCs/>
          <w:sz w:val="24"/>
          <w:szCs w:val="24"/>
        </w:rPr>
        <w:t xml:space="preserve">п.Усть-Куйга</w:t>
      </w:r>
      <w:r>
        <w:rPr>
          <w:rFonts w:eastAsia="Calibri"/>
          <w:b w:val="0"/>
          <w:bCs w:val="0"/>
          <w:i/>
          <w:iCs/>
          <w:sz w:val="24"/>
          <w:szCs w:val="24"/>
        </w:rPr>
        <w:t xml:space="preserve"> — </w:t>
      </w:r>
      <w:r>
        <w:rPr>
          <w:rFonts w:eastAsia="Calibri"/>
          <w:b w:val="0"/>
          <w:bCs w:val="0"/>
          <w:i/>
          <w:iCs/>
          <w:sz w:val="24"/>
          <w:szCs w:val="24"/>
        </w:rPr>
        <w:t xml:space="preserve">г.Якутск</w:t>
      </w:r>
      <w:r>
        <w:rPr>
          <w:rFonts w:eastAsia="Calibri"/>
          <w:b w:val="0"/>
          <w:bCs w:val="0"/>
          <w:i/>
          <w:iCs/>
          <w:sz w:val="24"/>
          <w:szCs w:val="24"/>
        </w:rPr>
        <w:t xml:space="preserve"> </w:t>
      </w:r>
      <w:r>
        <w:rPr>
          <w:rFonts w:eastAsia="Calibri"/>
          <w:b w:val="0"/>
          <w:bCs w:val="0"/>
          <w:i/>
          <w:iCs/>
          <w:sz w:val="24"/>
          <w:szCs w:val="24"/>
        </w:rPr>
        <w:t xml:space="preserve">АО «Сахаэнерго».</w:t>
      </w:r>
      <w:r/>
    </w:p>
    <w:p>
      <w:pPr>
        <w:pStyle w:val="693"/>
        <w:keepNext w:val="true"/>
        <w:numPr>
          <w:ilvl w:val="0"/>
          <w:numId w:val="0"/>
        </w:numPr>
        <w:pBdr/>
        <w:spacing w:after="60" w:before="120" w:line="276" w:lineRule="auto"/>
        <w:ind w:firstLine="0" w:left="0"/>
        <w:outlineLvl w:val="2"/>
        <w:rPr/>
      </w:pPr>
      <w:r/>
      <w:bookmarkStart w:id="12" w:name="_Toc54643705"/>
      <w:r/>
      <w:bookmarkStart w:id="13" w:name="_Toc51339695"/>
      <w:r>
        <w:rPr>
          <w:rFonts w:eastAsia="Calibri"/>
          <w:b/>
          <w:sz w:val="24"/>
          <w:szCs w:val="24"/>
        </w:rPr>
        <w:t xml:space="preserve">Таблица 1. Перечень </w:t>
      </w:r>
      <w:bookmarkEnd w:id="13"/>
      <w:r>
        <w:rPr>
          <w:rFonts w:eastAsia="Calibri"/>
          <w:b/>
          <w:sz w:val="24"/>
          <w:szCs w:val="24"/>
        </w:rPr>
        <w:t xml:space="preserve">и объем оказываемых услуг</w:t>
      </w:r>
      <w:bookmarkEnd w:id="12"/>
      <w:r>
        <w:rPr>
          <w:rFonts w:eastAsia="Calibri"/>
          <w:b/>
          <w:sz w:val="24"/>
          <w:szCs w:val="24"/>
        </w:rPr>
        <w:t xml:space="preserve">.</w:t>
      </w:r>
      <w:r/>
    </w:p>
    <w:tbl>
      <w:tblPr>
        <w:tblW w:w="9855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2"/>
        <w:gridCol w:w="1415"/>
        <w:gridCol w:w="2248"/>
        <w:gridCol w:w="918"/>
        <w:gridCol w:w="1230"/>
        <w:gridCol w:w="2035"/>
        <w:gridCol w:w="150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Маршрут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4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Наименование груза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1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Е</w:t>
            </w:r>
            <w:r>
              <w:rPr>
                <w:sz w:val="24"/>
                <w:szCs w:val="24"/>
              </w:rPr>
              <w:t xml:space="preserve">д. изм.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3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Кол-во, тн.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Требования к началу срока доставки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Требования к окончанию срока доставки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2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48" w:type="dxa"/>
            <w:textDirection w:val="lrTb"/>
            <w:noWrap w:val="false"/>
          </w:tcPr>
          <w:p>
            <w:pPr>
              <w:pStyle w:val="825"/>
              <w:keepNext w:val="false"/>
              <w:widowControl w:val="false"/>
              <w:pBdr/>
              <w:spacing w:after="40" w:before="40" w:line="276" w:lineRule="auto"/>
              <w:ind/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18" w:type="dxa"/>
            <w:textDirection w:val="lrTb"/>
            <w:noWrap w:val="false"/>
          </w:tcPr>
          <w:p>
            <w:pPr>
              <w:pStyle w:val="825"/>
              <w:keepNext w:val="false"/>
              <w:widowControl w:val="false"/>
              <w:pBdr/>
              <w:spacing w:after="40" w:before="40" w:line="276" w:lineRule="auto"/>
              <w:ind/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30" w:type="dxa"/>
            <w:textDirection w:val="lrTb"/>
            <w:noWrap w:val="false"/>
          </w:tcPr>
          <w:p>
            <w:pPr>
              <w:pStyle w:val="825"/>
              <w:keepNext w:val="false"/>
              <w:widowControl w:val="false"/>
              <w:pBdr/>
              <w:spacing w:after="40" w:before="40" w:line="276" w:lineRule="auto"/>
              <w:ind/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 w:val="false"/>
          </w:tcPr>
          <w:p>
            <w:pPr>
              <w:pStyle w:val="825"/>
              <w:keepNext w:val="false"/>
              <w:widowControl w:val="false"/>
              <w:pBdr/>
              <w:spacing w:after="40" w:before="40" w:line="276" w:lineRule="auto"/>
              <w:ind/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5" w:type="dxa"/>
            <w:textDirection w:val="lrTb"/>
            <w:noWrap w:val="false"/>
          </w:tcPr>
          <w:p>
            <w:pPr>
              <w:pStyle w:val="825"/>
              <w:keepNext w:val="false"/>
              <w:widowControl w:val="false"/>
              <w:pBdr/>
              <w:spacing w:after="40" w:before="40" w:line="276" w:lineRule="auto"/>
              <w:ind/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8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2" w:type="dxa"/>
            <w:vAlign w:val="center"/>
            <w:textDirection w:val="lrTb"/>
            <w:noWrap w:val="false"/>
          </w:tcPr>
          <w:p>
            <w:pPr>
              <w:pStyle w:val="809"/>
              <w:widowControl w:val="false"/>
              <w:numPr>
                <w:ilvl w:val="0"/>
                <w:numId w:val="6"/>
              </w:numPr>
              <w:pBdr/>
              <w:spacing w:line="276" w:lineRule="auto"/>
              <w:ind/>
              <w:jc w:val="right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Усть-Куйга - Якутск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4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color w:val="000000"/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  <w:t xml:space="preserve">20-тонный контейнер (содержимое: эталонные гири, редуктор</w:t>
            </w:r>
            <w:r/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1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color w:val="000000"/>
                <w:sz w:val="24"/>
                <w:szCs w:val="24"/>
              </w:rPr>
              <w:t xml:space="preserve">тн.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3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color w:val="000000"/>
                <w:sz w:val="24"/>
                <w:szCs w:val="24"/>
              </w:rPr>
              <w:t xml:space="preserve">20</w:t>
            </w:r>
            <w:r>
              <w:rPr>
                <w:color w:val="000000"/>
                <w:sz w:val="24"/>
                <w:szCs w:val="24"/>
              </w:rPr>
              <w:t xml:space="preserve">,600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С даты заключения договора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  <w:t xml:space="preserve">.2026</w:t>
            </w:r>
            <w:r/>
          </w:p>
        </w:tc>
      </w:tr>
    </w:tbl>
    <w:p>
      <w:pPr>
        <w:pStyle w:val="693"/>
        <w:pBdr/>
        <w:spacing w:line="276" w:lineRule="auto"/>
        <w:ind/>
        <w:jc w:val="both"/>
        <w:rPr/>
        <w:sectPr>
          <w:headerReference w:type="default" r:id="rId10"/>
          <w:headerReference w:type="first" r:id="rId11"/>
          <w:footnotePr/>
          <w:endnotePr/>
          <w:type w:val="nextPage"/>
          <w:pgSz w:h="16838" w:orient="portrait" w:w="11906"/>
          <w:pgMar w:top="1134" w:right="902" w:bottom="992" w:left="1134" w:header="680" w:footer="0" w:gutter="0"/>
          <w:cols w:num="1" w:sep="0" w:space="1701" w:equalWidth="1"/>
        </w:sectPr>
      </w:pPr>
      <w:r>
        <w:rPr>
          <w:sz w:val="24"/>
          <w:szCs w:val="24"/>
        </w:rPr>
        <w:t xml:space="preserve">(*) с учетом переходящих запасов и производственной программы Отправитель вправе скорректировать количество груза подлежащего к пе</w:t>
      </w:r>
      <w:bookmarkStart w:id="14" w:name="_Toc50125131"/>
      <w:r/>
      <w:bookmarkStart w:id="15" w:name="_Toc501251261"/>
      <w:r/>
      <w:bookmarkStart w:id="16" w:name="_Toc467435101"/>
      <w:r/>
      <w:bookmarkEnd w:id="14"/>
      <w:r/>
      <w:bookmarkEnd w:id="15"/>
      <w:r/>
      <w:bookmarkEnd w:id="16"/>
      <w:r>
        <w:rPr>
          <w:sz w:val="24"/>
          <w:szCs w:val="24"/>
        </w:rPr>
        <w:t xml:space="preserve">ревозке.</w:t>
      </w:r>
      <w:r>
        <w:br w:type="page" w:clear="all"/>
      </w:r>
      <w:r/>
    </w:p>
    <w:p>
      <w:pPr>
        <w:pStyle w:val="694"/>
        <w:keepLines w:val="true"/>
        <w:pBdr/>
        <w:tabs>
          <w:tab w:val="clear" w:leader="none" w:pos="0"/>
        </w:tabs>
        <w:spacing w:line="276" w:lineRule="auto"/>
        <w:ind w:firstLine="0" w:left="0"/>
        <w:jc w:val="center"/>
        <w:rPr/>
      </w:pPr>
      <w:r>
        <w:rPr>
          <w:sz w:val="26"/>
          <w:szCs w:val="26"/>
          <w:lang w:val="ru-RU"/>
        </w:rPr>
        <w:t xml:space="preserve">3. Требование к оказанию услуг</w:t>
      </w:r>
      <w:r/>
    </w:p>
    <w:p>
      <w:pPr>
        <w:pStyle w:val="694"/>
        <w:pBdr/>
        <w:tabs>
          <w:tab w:val="clear" w:leader="none" w:pos="0"/>
        </w:tabs>
        <w:spacing w:line="276" w:lineRule="auto"/>
        <w:ind w:firstLine="0" w:left="0"/>
        <w:rPr/>
      </w:pPr>
      <w:r/>
      <w:bookmarkStart w:id="17" w:name="_Toc156219791"/>
      <w:r/>
      <w:bookmarkStart w:id="18" w:name="_Toc124506712"/>
      <w:r/>
      <w:bookmarkStart w:id="19" w:name="_Toc124506432"/>
      <w:r/>
      <w:bookmarkStart w:id="20" w:name="_Toc124505114"/>
      <w:r/>
      <w:bookmarkStart w:id="21" w:name="_Toc124501370"/>
      <w:r>
        <w:rPr>
          <w:sz w:val="24"/>
          <w:szCs w:val="24"/>
        </w:rPr>
        <w:t xml:space="preserve">Таблица </w:t>
      </w:r>
      <w:r>
        <w:rPr>
          <w:sz w:val="24"/>
          <w:szCs w:val="24"/>
          <w:lang w:val="ru-RU"/>
        </w:rPr>
        <w:t xml:space="preserve">2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 xml:space="preserve">оказанию услуг</w:t>
      </w:r>
      <w:bookmarkEnd w:id="17"/>
      <w:r/>
      <w:bookmarkEnd w:id="18"/>
      <w:r/>
      <w:bookmarkEnd w:id="19"/>
      <w:r/>
      <w:bookmarkEnd w:id="20"/>
      <w:r/>
      <w:bookmarkEnd w:id="21"/>
      <w:r/>
      <w:r/>
    </w:p>
    <w:p>
      <w:pPr>
        <w:pStyle w:val="693"/>
        <w:pBdr/>
        <w:spacing w:line="276" w:lineRule="auto"/>
        <w:ind/>
        <w:jc w:val="both"/>
        <w:rPr/>
      </w:pPr>
      <w:r>
        <w:rPr>
          <w:b/>
          <w:bCs/>
          <w:iCs/>
          <w:sz w:val="24"/>
          <w:szCs w:val="24"/>
        </w:rPr>
        <w:t xml:space="preserve">Наименование продукции (позиция №1-3 Таблицы 1.): </w:t>
      </w:r>
      <w:r>
        <w:rPr>
          <w:b w:val="0"/>
          <w:bCs w:val="0"/>
          <w:i/>
          <w:iCs/>
          <w:sz w:val="24"/>
          <w:szCs w:val="24"/>
        </w:rPr>
      </w:r>
      <w:r>
        <w:rPr>
          <w:b w:val="0"/>
          <w:bCs w:val="0"/>
          <w:i/>
          <w:iCs/>
          <w:sz w:val="24"/>
          <w:szCs w:val="24"/>
        </w:rPr>
        <w:t xml:space="preserve">«ОКПД2 50.40.19.900 Перевозка груза по маршруту </w:t>
      </w:r>
      <w:r>
        <w:rPr>
          <w:rFonts w:eastAsia="Calibri"/>
          <w:b w:val="0"/>
          <w:bCs w:val="0"/>
          <w:i/>
          <w:iCs/>
          <w:sz w:val="24"/>
          <w:szCs w:val="24"/>
        </w:rPr>
        <w:t xml:space="preserve">п.Усть-Куйга</w:t>
      </w:r>
      <w:r>
        <w:rPr>
          <w:rFonts w:eastAsia="Calibri"/>
          <w:b w:val="0"/>
          <w:bCs w:val="0"/>
          <w:i/>
          <w:iCs/>
          <w:sz w:val="24"/>
          <w:szCs w:val="24"/>
        </w:rPr>
        <w:t xml:space="preserve"> — </w:t>
      </w:r>
      <w:r>
        <w:rPr>
          <w:rFonts w:eastAsia="Calibri"/>
          <w:b w:val="0"/>
          <w:bCs w:val="0"/>
          <w:i/>
          <w:iCs/>
          <w:sz w:val="24"/>
          <w:szCs w:val="24"/>
        </w:rPr>
        <w:t xml:space="preserve">г.Якутск</w:t>
      </w:r>
      <w:r>
        <w:rPr>
          <w:rFonts w:eastAsia="Calibri"/>
          <w:b w:val="0"/>
          <w:bCs w:val="0"/>
          <w:i/>
          <w:iCs/>
          <w:sz w:val="24"/>
          <w:szCs w:val="24"/>
        </w:rPr>
        <w:t xml:space="preserve"> </w:t>
      </w:r>
      <w:r>
        <w:rPr>
          <w:rFonts w:eastAsia="Calibri"/>
          <w:b w:val="0"/>
          <w:bCs w:val="0"/>
          <w:i/>
          <w:iCs/>
          <w:sz w:val="24"/>
          <w:szCs w:val="24"/>
        </w:rPr>
        <w:t xml:space="preserve">АО «Сахаэнерго»</w:t>
      </w:r>
      <w:r/>
      <w:r>
        <w:rPr>
          <w:b w:val="0"/>
          <w:bCs w:val="0"/>
          <w:i/>
          <w:iCs/>
          <w:sz w:val="24"/>
          <w:szCs w:val="24"/>
        </w:rPr>
      </w:r>
      <w:r>
        <w:rPr>
          <w:rFonts w:eastAsia="Calibri"/>
          <w:b w:val="0"/>
          <w:bCs w:val="0"/>
          <w:i/>
          <w:iCs/>
          <w:sz w:val="24"/>
          <w:szCs w:val="24"/>
        </w:rPr>
        <w:t xml:space="preserve">.</w:t>
      </w:r>
      <w:r/>
    </w:p>
    <w:tbl>
      <w:tblPr>
        <w:tblW w:w="14715" w:type="dxa"/>
        <w:tblInd w:w="-5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565"/>
        <w:gridCol w:w="2411"/>
        <w:gridCol w:w="4678"/>
        <w:gridCol w:w="2693"/>
        <w:gridCol w:w="2410"/>
        <w:gridCol w:w="1957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restart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 xml:space="preserve">№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restart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 xml:space="preserve">Наименование параметра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vMerge w:val="restart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 xml:space="preserve">Требование заказчика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 xml:space="preserve">Способ подтверждения участником соответствия требованиям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 xml:space="preserve">Согласие с требованием/ указание характеристик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 xml:space="preserve">Предоставление подтверждающего документа или иной способ подтверждения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 xml:space="preserve">Предложение участника по характеристикам и параметрам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 xml:space="preserve">6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b/>
                <w:color w:val="000000"/>
                <w:sz w:val="24"/>
                <w:szCs w:val="24"/>
              </w:rPr>
              <w:t xml:space="preserve">Требования к техническим и функциональным характеристикам: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sz w:val="24"/>
                <w:szCs w:val="24"/>
              </w:rPr>
              <w:t xml:space="preserve">-//-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sz w:val="24"/>
                <w:szCs w:val="24"/>
              </w:rPr>
              <w:t xml:space="preserve">-//-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sz w:val="24"/>
                <w:szCs w:val="24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1.1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rPr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Вид водного транспорта для организации доставки грузов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both"/>
              <w:rPr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-Водный транспорт смешанного «река – море» плавания с крановой установкой для погрузо-разгрузчных работ.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1.2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color w:val="000000"/>
                <w:sz w:val="24"/>
                <w:szCs w:val="24"/>
              </w:rPr>
              <w:t xml:space="preserve">Подача транспорта и груза к перевозке: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both"/>
              <w:rPr/>
            </w:pPr>
            <w:r>
              <w:rPr>
                <w:color w:val="000000"/>
                <w:sz w:val="24"/>
                <w:szCs w:val="24"/>
              </w:rPr>
              <w:t xml:space="preserve">По заявке Заказчика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1.3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color w:val="000000"/>
                <w:sz w:val="24"/>
                <w:szCs w:val="24"/>
              </w:rPr>
              <w:t xml:space="preserve">Маршрут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both"/>
              <w:rPr/>
            </w:pPr>
            <w:r>
              <w:rPr>
                <w:sz w:val="24"/>
                <w:szCs w:val="24"/>
              </w:rPr>
              <w:t xml:space="preserve">Усть-Куйга - Якутск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1.4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color w:val="000000"/>
                <w:sz w:val="24"/>
                <w:szCs w:val="24"/>
              </w:rPr>
              <w:t xml:space="preserve">Перечень груза (ТМЦ) к перевозке: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both"/>
              <w:rPr/>
            </w:pPr>
            <w:r>
              <w:rPr>
                <w:color w:val="000000"/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  <w:t xml:space="preserve">20-тонный контейнер (содержимое: эталонные гири, редуктор)</w:t>
            </w:r>
            <w:r/>
            <w:r>
              <w:rPr>
                <w:color w:val="000000"/>
                <w:sz w:val="24"/>
                <w:szCs w:val="24"/>
              </w:rPr>
            </w:r>
            <w:r/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1.5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color w:val="000000"/>
                <w:sz w:val="24"/>
                <w:szCs w:val="24"/>
              </w:rPr>
              <w:t xml:space="preserve">Погрузо-разгрузочные работы в пунктах погрузки и доставки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both"/>
              <w:rPr/>
            </w:pPr>
            <w:r>
              <w:rPr>
                <w:color w:val="000000"/>
                <w:sz w:val="24"/>
                <w:szCs w:val="24"/>
              </w:rPr>
              <w:t xml:space="preserve">п.Усть-Куйга, г.Якутск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груза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</w:t>
            </w:r>
            <w:r>
              <w:rPr>
                <w:color w:val="000000"/>
                <w:sz w:val="24"/>
                <w:szCs w:val="24"/>
              </w:rPr>
              <w:t xml:space="preserve">.Якутск Республика Саха (Якутия)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Передача груза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both"/>
              <w:rPr/>
            </w:pPr>
            <w:r>
              <w:rPr>
                <w:color w:val="000000"/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г</w:t>
            </w:r>
            <w:r>
              <w:rPr>
                <w:color w:val="000000"/>
                <w:sz w:val="24"/>
                <w:szCs w:val="24"/>
              </w:rPr>
              <w:t xml:space="preserve">.Якутск Республика Саха (Якутия)</w:t>
            </w:r>
            <w:r/>
            <w:r>
              <w:rPr>
                <w:color w:val="000000"/>
                <w:sz w:val="24"/>
                <w:szCs w:val="24"/>
              </w:rPr>
              <w:t xml:space="preserve"> - берег</w:t>
            </w: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1.8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color w:val="000000"/>
                <w:sz w:val="24"/>
                <w:szCs w:val="24"/>
              </w:rPr>
              <w:t xml:space="preserve">Сроки обязательной доставки груза в пункты назначения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both"/>
              <w:rPr/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 xml:space="preserve">25</w:t>
            </w:r>
            <w:r>
              <w:rPr>
                <w:color w:val="000000"/>
                <w:sz w:val="24"/>
                <w:szCs w:val="24"/>
              </w:rPr>
              <w:t xml:space="preserve"> сентября 2026г.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b/>
                <w:bCs/>
                <w:sz w:val="24"/>
                <w:szCs w:val="24"/>
              </w:rPr>
              <w:t xml:space="preserve">Требования к доставке, маркировке, упаковке, транспортировке, перемещению, условиям хранения, приемке: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sz w:val="24"/>
                <w:szCs w:val="24"/>
              </w:rPr>
              <w:t xml:space="preserve">-//-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sz w:val="24"/>
                <w:szCs w:val="24"/>
              </w:rPr>
              <w:t xml:space="preserve">-//-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b/>
                <w:sz w:val="24"/>
                <w:szCs w:val="24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2.1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color w:val="000000"/>
                <w:sz w:val="24"/>
                <w:szCs w:val="24"/>
              </w:rPr>
              <w:t xml:space="preserve">Организация доставки грузов водным видом транспорта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both"/>
              <w:rPr/>
            </w:pPr>
            <w:r>
              <w:rPr>
                <w:color w:val="000000"/>
                <w:sz w:val="24"/>
                <w:szCs w:val="24"/>
              </w:rPr>
              <w:t xml:space="preserve">В соответствии с </w:t>
            </w:r>
            <w:r>
              <w:rPr>
                <w:bCs/>
                <w:color w:val="000000"/>
                <w:sz w:val="24"/>
                <w:szCs w:val="24"/>
              </w:rPr>
              <w:t xml:space="preserve">Кодексом внутреннего водного транспорта российской федерации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2.2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bCs/>
                <w:color w:val="000000"/>
                <w:sz w:val="24"/>
                <w:szCs w:val="24"/>
              </w:rPr>
              <w:t xml:space="preserve">Требования к приемке-передаче груза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jc w:val="both"/>
              <w:rPr/>
            </w:pPr>
            <w:r>
              <w:rPr>
                <w:color w:val="000000"/>
                <w:sz w:val="24"/>
                <w:szCs w:val="24"/>
              </w:rPr>
              <w:t xml:space="preserve">В соответствии с "Инструкцией о порядке приемки продукции производственно-технического назначения и товаров народного потребления по количеству" (утв. постановлением Госарбитража СССР от 15.06.1965 N П-6) (ред. от 23.07.1975, с изм. от 22.10.1997) и</w:t>
            </w:r>
            <w:r/>
          </w:p>
          <w:p>
            <w:pPr>
              <w:pStyle w:val="693"/>
              <w:widowControl w:val="false"/>
              <w:pBdr/>
              <w:spacing w:line="276" w:lineRule="auto"/>
              <w:ind/>
              <w:jc w:val="both"/>
              <w:rPr/>
            </w:pPr>
            <w:r>
              <w:rPr>
                <w:color w:val="000000"/>
                <w:sz w:val="24"/>
                <w:szCs w:val="24"/>
              </w:rPr>
              <w:t xml:space="preserve">"Инструкцией о порядке приемки продукции производственно-технического назначения и товаров народного потребления по качеству" (утв. Постановлением Госарбитража СССР от 25.04.1966 N П-7) (ред. от 23.07.1975, с изм. от 22.10.1997)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restart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2.3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restart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Требования к Исполнителю оказания услуг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Подача водного транспорта под погрузку по заявке «Отправителя».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Водный транспорт должен быть в исправном техническом состоянии, соответствующий всем установленным для него техническим требованиям, своевременного прохождения технического осмотра с оформлением всех установленных документов.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Возможность корректировки маршрута и графика движения водного транспорта в связи с изменениями в производственном цикле.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Срок принятия заявки на перевозку грузов и ее рассмотрения не должен превышать 48 часов (от подачи заявки Заказчиком).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Исполнитель организует подачу водного транспорта в пункт погрузки на дату и в часы, указанные в заявке.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Исполнитель обязан сообщить Заказчику не поз</w:t>
            </w:r>
            <w:r>
              <w:rPr>
                <w:sz w:val="24"/>
                <w:szCs w:val="24"/>
              </w:rPr>
              <w:t xml:space="preserve">днее 14:00 часов дня, текущего дня загрузки, информацию о водном транспорте, что подтверждается Исполнителем посредством отправки Заказчику факсимильной связью заявки, скрепленной печатью Исполнителя. С этого момента заявка считается принятой к исполнению.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В случае отказа (срыва) от подтвержденной Исполнителем заявки на перевозку Исполнитель выплачивает неустойку согласно условиям Договора.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Обеспечение своевременными средствами связи для контроля за работой техники и перевозкой грузов, с предоставлением ежедневных сводок по движению водного транспорта на электронную почту.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Исполнитель ежесуточно (не позднее 10:00 часов) предоставляет Заказчику и его Представителям информацию о фактах передвижения, погрузки (выгрузки) всего водного транспорта находящихся с грузом/ без груза, на электронную почту – </w:t>
            </w:r>
            <w:hyperlink r:id="rId14" w:tooltip="mailto:mail@sakhaenergo.ru" w:history="1">
              <w:r>
                <w:rPr>
                  <w:rStyle w:val="725"/>
                  <w:sz w:val="24"/>
                  <w:szCs w:val="24"/>
                </w:rPr>
                <w:t xml:space="preserve">mail@sakhaenergo.ru</w:t>
              </w:r>
            </w:hyperlink>
            <w:r>
              <w:rPr>
                <w:sz w:val="24"/>
                <w:szCs w:val="24"/>
              </w:rPr>
              <w:t xml:space="preserve"> копию </w:t>
            </w:r>
            <w:hyperlink r:id="rId15" w:tooltip="mailto:petrovas@rushydro.ru" w:history="1">
              <w:r>
                <w:rPr>
                  <w:rStyle w:val="725"/>
                  <w:sz w:val="24"/>
                  <w:szCs w:val="24"/>
                </w:rPr>
                <w:t xml:space="preserve">petrovas@rushydro.ru</w:t>
              </w:r>
            </w:hyperlink>
            <w:r>
              <w:rPr>
                <w:sz w:val="24"/>
                <w:szCs w:val="24"/>
              </w:rPr>
              <w:t xml:space="preserve">, </w:t>
            </w:r>
            <w:hyperlink r:id="rId16" w:tooltip="mailto:nikolaevka@rushydro.ru" w:history="1">
              <w:r>
                <w:rPr>
                  <w:rStyle w:val="725"/>
                  <w:sz w:val="24"/>
                  <w:szCs w:val="24"/>
                </w:rPr>
                <w:t xml:space="preserve">nikolaevka@rushydro.ru</w:t>
              </w:r>
            </w:hyperlink>
            <w:r>
              <w:rPr>
                <w:sz w:val="24"/>
                <w:szCs w:val="24"/>
              </w:rPr>
              <w:t xml:space="preserve">, или факсимильной связи (4112) 49-72-49.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restart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2.4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restart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Требования к безопасности при оказании услуги: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Заказчик определяет тип и количество водного транспорта, необходимых для выполнения заявок.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Исполнитель своевременно обеспечивает в соответствии с заявками «Заказчика», подачу под погрузку водный транспорт.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Исполнитель осуществляет контроль (капитана судна): за процессом погрузки (выгрузки), внешнего состояния упаковки, порядка погрузки (выгрузки), надежности крепления и правильности размещения груза.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Исполнитель обязан обеспечить соблюдение и неукоснительное выполнение требований техники безопасности при перевозке грузов водным видом транспорта.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restart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2.5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restart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Требования к гарантийному сроку и (или) объему предоставления гарантий качества услуги: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Исполнитель отвечает за сохранность груза с момента принятия груза к перевозке от Заказчика до момента сдачи груза грузополучателю.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Исполнитель несет полную материальную ответственность за сохранность/порчу/утрату грузов во время перевозки согласно договору.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Стоимость утраченных или поврежденных грузов определяется на основании отгрузочных документов (водная накладная ГУ-1).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Исполнитель обязан обеспечить диспетчерский контроль за доставкой груза, при возникновении нештатной ситуации, немедленно принять меры для устранения факторов способных повлиять на не своевременную доставку </w:t>
            </w:r>
            <w:r>
              <w:rPr>
                <w:sz w:val="24"/>
                <w:szCs w:val="24"/>
              </w:rPr>
              <w:t xml:space="preserve">груза в пункт назначения, незамедлительно информировать Заказчика обо всех случаях задержки водного транспорта, которые повлекли или могут повлечь за собой нарушение срока доставки груза, или не обеспечение его сохранности с указанием причин возникновения.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Исполнитель обязан обеспечить возможность оперативной замены водного транспорта другим в случае неисправности или повреждения.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/>
              <w:rPr/>
            </w:pPr>
            <w:r>
              <w:rPr>
                <w:sz w:val="24"/>
                <w:szCs w:val="24"/>
              </w:rPr>
              <w:t xml:space="preserve">А также иные требования, предусмотренные действующим законодательством РФ.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hd w:val="clear" w:color="auto" w:fill="ffffff"/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/>
          </w:p>
        </w:tc>
      </w:tr>
    </w:tbl>
    <w:p>
      <w:pPr>
        <w:pStyle w:val="694"/>
        <w:pBdr/>
        <w:tabs>
          <w:tab w:val="clear" w:leader="none" w:pos="0"/>
        </w:tabs>
        <w:spacing w:line="276" w:lineRule="auto"/>
        <w:ind w:firstLine="0" w:left="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94"/>
        <w:pBdr/>
        <w:tabs>
          <w:tab w:val="clear" w:leader="none" w:pos="0"/>
        </w:tabs>
        <w:spacing w:line="276" w:lineRule="auto"/>
        <w:ind w:firstLine="0" w:left="0"/>
        <w:jc w:val="center"/>
        <w:rPr/>
      </w:pPr>
      <w:r>
        <w:rPr>
          <w:sz w:val="26"/>
          <w:szCs w:val="26"/>
          <w:lang w:val="ru-RU"/>
        </w:rPr>
        <w:t xml:space="preserve">4. </w:t>
      </w:r>
      <w:bookmarkStart w:id="22" w:name="_Toc54643710"/>
      <w:r/>
      <w:bookmarkStart w:id="23" w:name="_Toc53395937"/>
      <w:r/>
      <w:bookmarkStart w:id="24" w:name="_Toc53393312"/>
      <w:r>
        <w:rPr>
          <w:sz w:val="26"/>
          <w:szCs w:val="26"/>
        </w:rPr>
        <w:t xml:space="preserve">Требования к </w:t>
      </w:r>
      <w:r>
        <w:rPr>
          <w:sz w:val="26"/>
          <w:szCs w:val="26"/>
          <w:lang w:val="ru-RU"/>
        </w:rPr>
        <w:t xml:space="preserve">У</w:t>
      </w:r>
      <w:r>
        <w:rPr>
          <w:sz w:val="26"/>
          <w:szCs w:val="26"/>
        </w:rPr>
        <w:t xml:space="preserve">частник</w:t>
      </w:r>
      <w:bookmarkEnd w:id="22"/>
      <w:r/>
      <w:bookmarkEnd w:id="23"/>
      <w:r/>
      <w:bookmarkEnd w:id="24"/>
      <w:r>
        <w:rPr>
          <w:sz w:val="26"/>
          <w:szCs w:val="26"/>
        </w:rPr>
        <w:t xml:space="preserve">ам закупки</w:t>
      </w:r>
      <w:r/>
    </w:p>
    <w:tbl>
      <w:tblPr>
        <w:tblW w:w="14685" w:type="dxa"/>
        <w:tblInd w:w="-5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6"/>
        <w:gridCol w:w="6949"/>
        <w:gridCol w:w="703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textDirection w:val="lrTb"/>
            <w:noWrap w:val="false"/>
          </w:tcPr>
          <w:p>
            <w:pPr>
              <w:pStyle w:val="693"/>
              <w:keepNext w:val="true"/>
              <w:widowControl w:val="false"/>
              <w:pBdr/>
              <w:spacing w:after="60" w:before="60"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9" w:type="dxa"/>
            <w:vAlign w:val="center"/>
            <w:textDirection w:val="lrTb"/>
            <w:noWrap w:val="false"/>
          </w:tcPr>
          <w:p>
            <w:pPr>
              <w:pStyle w:val="693"/>
              <w:keepNext w:val="true"/>
              <w:widowControl w:val="false"/>
              <w:pBdr/>
              <w:spacing w:after="60" w:before="60" w:line="276" w:lineRule="auto"/>
              <w:ind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 xml:space="preserve">Наименование требования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0" w:type="dxa"/>
            <w:vAlign w:val="center"/>
            <w:textDirection w:val="lrTb"/>
            <w:noWrap w:val="false"/>
          </w:tcPr>
          <w:p>
            <w:pPr>
              <w:pStyle w:val="693"/>
              <w:keepNext w:val="true"/>
              <w:widowControl w:val="false"/>
              <w:pBdr/>
              <w:spacing w:after="60" w:before="60" w:line="276" w:lineRule="auto"/>
              <w:ind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 xml:space="preserve">Требования к документам, подтверждающим соответствие Участника установленным требованиям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tabs>
                <w:tab w:val="left" w:leader="none" w:pos="0"/>
                <w:tab w:val="clear" w:leader="none" w:pos="708"/>
              </w:tabs>
              <w:spacing w:line="276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9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after="0" w:before="60" w:line="276" w:lineRule="auto"/>
              <w:ind/>
              <w:jc w:val="both"/>
              <w:rPr/>
            </w:pPr>
            <w:r>
              <w:rPr>
                <w:sz w:val="24"/>
                <w:szCs w:val="24"/>
              </w:rPr>
              <w:t xml:space="preserve">В составе заявки Участник должен предоставить документ, подтверждающий соответствие требованиям на оказание услуг, установленным в Таблице 2. настоящих Технических требований.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0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 w:firstLine="0" w:left="28"/>
              <w:rPr/>
            </w:pPr>
            <w:r>
              <w:rPr>
                <w:rFonts w:eastAsia="Calibri"/>
                <w:bCs/>
                <w:iCs/>
                <w:sz w:val="24"/>
                <w:szCs w:val="24"/>
              </w:rPr>
              <w:t xml:space="preserve">1. Копию диплома судоводителя (согласно Постановлению от 31 мая 2005 года «Об утверждении положения о дипломированных членов экипажей судов внутреннего плавания»).</w:t>
            </w:r>
            <w:r/>
          </w:p>
          <w:p>
            <w:pPr>
              <w:pStyle w:val="693"/>
              <w:widowControl w:val="false"/>
              <w:pBdr/>
              <w:spacing w:line="276" w:lineRule="auto"/>
              <w:ind w:firstLine="0" w:left="28"/>
              <w:rPr/>
            </w:pPr>
            <w:r>
              <w:rPr>
                <w:rFonts w:eastAsia="Calibri"/>
                <w:bCs/>
                <w:iCs/>
                <w:sz w:val="24"/>
                <w:szCs w:val="24"/>
              </w:rPr>
              <w:t xml:space="preserve">2. Копию свидетельства о праве собственности на судна (согласно ст. 15 Кодекса внутреннего водного транспорта Российской Федерации) – в соответствии с пунктом разделом 3 Таблицы №2 пунктом 1.1 ТТ.</w:t>
            </w:r>
            <w:r/>
          </w:p>
          <w:p>
            <w:pPr>
              <w:pStyle w:val="693"/>
              <w:widowControl w:val="false"/>
              <w:pBdr/>
              <w:spacing w:line="276" w:lineRule="auto"/>
              <w:ind w:firstLine="0" w:left="28"/>
              <w:rPr/>
            </w:pPr>
            <w:r>
              <w:rPr>
                <w:rFonts w:eastAsia="Calibri"/>
                <w:bCs/>
                <w:iCs/>
                <w:sz w:val="24"/>
                <w:szCs w:val="24"/>
              </w:rPr>
              <w:t xml:space="preserve">*В случае отсутствия собственных судов с экипажем, Участник должен представить заверенные копии:</w:t>
            </w:r>
            <w:r/>
          </w:p>
          <w:p>
            <w:pPr>
              <w:pStyle w:val="693"/>
              <w:widowControl w:val="false"/>
              <w:pBdr/>
              <w:spacing w:line="276" w:lineRule="auto"/>
              <w:ind w:firstLine="0" w:left="28"/>
              <w:rPr/>
            </w:pPr>
            <w:r>
              <w:rPr>
                <w:rFonts w:eastAsia="Calibri"/>
                <w:bCs/>
                <w:iCs/>
                <w:sz w:val="24"/>
                <w:szCs w:val="24"/>
              </w:rPr>
              <w:t xml:space="preserve">- Договор аренды водного транспорта – в соответствии с </w:t>
            </w:r>
            <w:r>
              <w:rPr>
                <w:rFonts w:eastAsia="Calibri"/>
                <w:bCs/>
                <w:iCs/>
                <w:sz w:val="24"/>
                <w:szCs w:val="24"/>
              </w:rPr>
              <w:t xml:space="preserve">разделом 3 Таблицы №2 пунктом 1.1 ТТ</w:t>
            </w:r>
            <w:r/>
            <w:r>
              <w:rPr>
                <w:rFonts w:eastAsia="Calibri"/>
                <w:bCs/>
                <w:iCs/>
                <w:sz w:val="24"/>
                <w:szCs w:val="24"/>
              </w:rPr>
              <w:t xml:space="preserve">;</w:t>
            </w:r>
            <w:r/>
            <w:r>
              <w:rPr>
                <w:b/>
                <w:sz w:val="24"/>
                <w:szCs w:val="24"/>
              </w:rPr>
            </w:r>
            <w:r/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tabs>
                <w:tab w:val="left" w:leader="none" w:pos="0"/>
                <w:tab w:val="clear" w:leader="none" w:pos="708"/>
              </w:tabs>
              <w:spacing w:line="276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9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after="0" w:before="60" w:line="276" w:lineRule="auto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у Участни</w:t>
            </w:r>
            <w:r>
              <w:rPr>
                <w:sz w:val="24"/>
                <w:szCs w:val="24"/>
              </w:rPr>
              <w:t xml:space="preserve">ка опыта оказания услуг договоров (не менее одного) аналогичных данной закупке за последние 3 (три) года, предшествующие дате подачи заявок Участников на участие в настоящей закупочной процедуре. При этом учитываются только выполненные Участником договоры.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0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line="276" w:lineRule="auto"/>
              <w:ind w:firstLine="0"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«Справка об опыт</w:t>
            </w:r>
            <w:r>
              <w:rPr>
                <w:sz w:val="24"/>
                <w:szCs w:val="24"/>
              </w:rPr>
              <w:t xml:space="preserve">е Участника», приведенной в Документации о закупке, с обязательным приложением копий следующих документов, подписанных с обеих сторон и оформленных, в том числе в соответствии с условиями заключенного договора, подтверждающих представленные в форме данные:</w:t>
            </w:r>
            <w:r>
              <w:rPr>
                <w:sz w:val="24"/>
                <w:szCs w:val="24"/>
              </w:rPr>
            </w:r>
          </w:p>
          <w:p>
            <w:pPr>
              <w:pStyle w:val="693"/>
              <w:widowControl w:val="false"/>
              <w:pBdr/>
              <w:spacing w:line="276" w:lineRule="auto"/>
              <w:ind w:firstLine="0"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скан – копий договоров либо их частей;</w:t>
            </w:r>
            <w:r>
              <w:rPr>
                <w:sz w:val="24"/>
                <w:szCs w:val="24"/>
              </w:rPr>
            </w:r>
          </w:p>
          <w:p>
            <w:pPr>
              <w:pStyle w:val="693"/>
              <w:widowControl w:val="false"/>
              <w:pBdr/>
              <w:spacing w:line="276" w:lineRule="auto"/>
              <w:ind w:firstLine="0"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документов, предусмотренных требованиями договоров, подтверждающих факт исполнения.</w:t>
            </w:r>
            <w:r>
              <w:rPr>
                <w:sz w:val="24"/>
                <w:szCs w:val="24"/>
              </w:rPr>
            </w:r>
          </w:p>
          <w:p>
            <w:pPr>
              <w:pStyle w:val="693"/>
              <w:widowControl w:val="false"/>
              <w:pBdr/>
              <w:spacing w:line="276" w:lineRule="auto"/>
              <w:ind w:firstLine="0"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рассмотрении заявок Участников будут учитываться только те сведения, указанные в справке, которые подтверждены документами, указанными выше.</w:t>
            </w:r>
            <w:r>
              <w:rPr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09"/>
        <w:pBdr/>
        <w:shd w:val="clear" w:color="auto" w:fill="ffffff"/>
        <w:spacing w:line="276" w:lineRule="auto"/>
        <w:ind w:firstLine="0" w:left="0"/>
        <w:rPr/>
      </w:pPr>
      <w:r/>
      <w:r/>
    </w:p>
    <w:sectPr>
      <w:headerReference w:type="default" r:id="rId12"/>
      <w:headerReference w:type="first" r:id="rId13"/>
      <w:footnotePr/>
      <w:endnotePr/>
      <w:type w:val="nextPage"/>
      <w:pgSz w:h="11906" w:orient="landscape" w:w="16838"/>
      <w:pgMar w:top="1134" w:right="1134" w:bottom="851" w:left="992" w:header="68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MingLiU">
    <w:panose1 w:val="020405030504060A0204"/>
  </w:font>
  <w:font w:name="Symbol">
    <w:panose1 w:val="05010000000000000000"/>
  </w:font>
  <w:font w:name="Garamond">
    <w:panose1 w:val="02020603050405020304"/>
  </w:font>
  <w:font w:name="Calibri Light (Заголовки)">
    <w:panose1 w:val="020F0502020204030204"/>
  </w:font>
  <w:font w:name="Verdana">
    <w:panose1 w:val="020B0604030504040204"/>
  </w:font>
  <w:font w:name="Liberation Sans">
    <w:panose1 w:val="020B0604020202020204"/>
  </w:font>
  <w:font w:name="Wingdings">
    <w:panose1 w:val="05010000000000000000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  <w:font w:name="Calibri">
    <w:panose1 w:val="020F0502020204030204"/>
  </w:font>
  <w:font w:name="Tahoma">
    <w:panose1 w:val="020B0604030504040204"/>
  </w:font>
  <w:font w:name="Lohit Devanagari">
    <w:panose1 w:val="020B06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Microsoft YaHei">
    <w:panose1 w:val="020B0503020204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3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3"/>
      <w:pBdr/>
      <w:spacing/>
      <w:ind/>
      <w:jc w:val="center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3"/>
      <w:pBdr/>
      <w:spacing/>
      <w:ind/>
      <w:jc w:val="center"/>
      <w:rPr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3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775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776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-207"/>
      </w:pPr>
      <w:pStyle w:val="817"/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513"/>
        </w:tabs>
        <w:spacing/>
        <w:ind w:hanging="360" w:left="513"/>
      </w:pPr>
      <w:pStyle w:val="818"/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233"/>
        </w:tabs>
        <w:spacing/>
        <w:ind w:hanging="360" w:left="1233"/>
      </w:pPr>
      <w:pStyle w:val="816"/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953"/>
        </w:tabs>
        <w:spacing/>
        <w:ind w:hanging="360" w:left="1953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2673"/>
        </w:tabs>
        <w:spacing/>
        <w:ind w:hanging="360" w:left="267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393"/>
        </w:tabs>
        <w:spacing/>
        <w:ind w:hanging="360" w:left="3393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113"/>
        </w:tabs>
        <w:spacing/>
        <w:ind w:hanging="360" w:left="4113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4833"/>
        </w:tabs>
        <w:spacing/>
        <w:ind w:hanging="360" w:left="483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5553"/>
        </w:tabs>
        <w:spacing/>
        <w:ind w:hanging="360" w:left="5553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038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rPr>
        <w:b/>
        <w:bCs w:val="0"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3">
      <w:isLgl w:val="false"/>
      <w:lvlJc w:val="left"/>
      <w:lvlText w:val="(%4)"/>
      <w:numFmt w:val="russianLower"/>
      <w:pPr>
        <w:pBdr/>
        <w:tabs>
          <w:tab w:val="num" w:leader="none" w:pos="0"/>
        </w:tabs>
        <w:spacing/>
        <w:ind w:hanging="567" w:left="1985"/>
      </w:pPr>
      <w:pStyle w:val="827"/>
      <w:rPr/>
      <w:start w:val="1"/>
      <w:suff w:val="tab"/>
    </w:lvl>
    <w:lvl w:ilvl="4">
      <w:isLgl w:val="false"/>
      <w:lvlJc w:val="left"/>
      <w:lvlText w:val="–"/>
      <w:numFmt w:val="bullet"/>
      <w:pPr>
        <w:pBdr/>
        <w:tabs>
          <w:tab w:val="num" w:leader="none" w:pos="0"/>
        </w:tabs>
        <w:spacing/>
        <w:ind w:hanging="567" w:left="2268"/>
      </w:pPr>
      <w:pStyle w:val="828"/>
      <w:rPr>
        <w:rFonts w:hint="default" w:ascii="Times New Roman" w:hAnsi="Times New Roman" w:cs="Times New Roman"/>
      </w:rPr>
      <w:start w:val="1"/>
      <w:suff w:val="tab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pStyle w:val="831"/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701"/>
      </w:pPr>
      <w:pStyle w:val="829"/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830"/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rPr/>
      <w:start w:val="1"/>
      <w:suff w:val="nothing"/>
    </w:lvl>
  </w:abstractNum>
  <w:abstractNum w:abstractNumId="4">
    <w:lvl w:ilvl="0">
      <w:isLgl w:val="false"/>
      <w:lvlJc w:val="left"/>
      <w:lvlText w:val="1.%1"/>
      <w:numFmt w:val="decimal"/>
      <w:pPr>
        <w:pBdr/>
        <w:tabs>
          <w:tab w:val="num" w:leader="none" w:pos="0"/>
        </w:tabs>
        <w:spacing/>
        <w:ind w:hanging="360" w:left="1429"/>
      </w:pPr>
      <w:pStyle w:val="834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6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3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694">
    <w:name w:val="Heading 1"/>
    <w:basedOn w:val="696"/>
    <w:next w:val="693"/>
    <w:link w:val="735"/>
    <w:qFormat/>
    <w:pPr>
      <w:pBdr/>
      <w:spacing/>
      <w:ind/>
      <w:outlineLvl w:val="0"/>
    </w:pPr>
    <w:rPr>
      <w:sz w:val="28"/>
      <w:szCs w:val="28"/>
    </w:rPr>
  </w:style>
  <w:style w:type="paragraph" w:styleId="695">
    <w:name w:val="Heading 2"/>
    <w:basedOn w:val="697"/>
    <w:next w:val="693"/>
    <w:link w:val="736"/>
    <w:qFormat/>
    <w:pPr>
      <w:pBdr/>
      <w:spacing/>
      <w:ind/>
      <w:outlineLvl w:val="1"/>
    </w:pPr>
  </w:style>
  <w:style w:type="paragraph" w:styleId="696">
    <w:name w:val="Heading 3"/>
    <w:basedOn w:val="693"/>
    <w:next w:val="693"/>
    <w:link w:val="737"/>
    <w:qFormat/>
    <w:pPr>
      <w:keepNext w:val="true"/>
      <w:pBdr/>
      <w:tabs>
        <w:tab w:val="left" w:leader="none" w:pos="0"/>
        <w:tab w:val="clear" w:leader="none" w:pos="708"/>
      </w:tabs>
      <w:spacing w:after="60" w:before="120"/>
      <w:ind w:hanging="504" w:left="1224"/>
      <w:outlineLvl w:val="2"/>
    </w:pPr>
    <w:rPr>
      <w:rFonts w:eastAsia="Calibri"/>
      <w:b/>
      <w:sz w:val="24"/>
      <w:szCs w:val="24"/>
    </w:rPr>
  </w:style>
  <w:style w:type="paragraph" w:styleId="697">
    <w:name w:val="Heading 4"/>
    <w:basedOn w:val="696"/>
    <w:next w:val="693"/>
    <w:link w:val="738"/>
    <w:qFormat/>
    <w:pPr>
      <w:pBdr/>
      <w:spacing/>
      <w:ind/>
      <w:outlineLvl w:val="3"/>
    </w:pPr>
    <w:rPr>
      <w:bCs/>
    </w:rPr>
  </w:style>
  <w:style w:type="paragraph" w:styleId="698">
    <w:name w:val="Heading 5"/>
    <w:basedOn w:val="693"/>
    <w:next w:val="693"/>
    <w:link w:val="739"/>
    <w:qFormat/>
    <w:p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699">
    <w:name w:val="Heading 6"/>
    <w:basedOn w:val="693"/>
    <w:next w:val="693"/>
    <w:link w:val="732"/>
    <w:qFormat/>
    <w:pPr>
      <w:keepNext w:val="true"/>
      <w:keepLines w:val="true"/>
      <w:pBdr/>
      <w:spacing w:after="0" w:before="200"/>
      <w:ind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00">
    <w:name w:val="Heading 7"/>
    <w:basedOn w:val="693"/>
    <w:next w:val="693"/>
    <w:link w:val="733"/>
    <w:qFormat/>
    <w:pPr>
      <w:keepNext w:val="true"/>
      <w:keepLines w:val="true"/>
      <w:pBdr/>
      <w:spacing w:after="0" w:before="200"/>
      <w:ind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701">
    <w:name w:val="Heading 8"/>
    <w:basedOn w:val="693"/>
    <w:next w:val="693"/>
    <w:link w:val="734"/>
    <w:qFormat/>
    <w:pPr>
      <w:keepNext w:val="true"/>
      <w:keepLines w:val="true"/>
      <w:pBdr/>
      <w:spacing w:after="0" w:before="200"/>
      <w:ind/>
      <w:outlineLvl w:val="7"/>
    </w:pPr>
    <w:rPr>
      <w:rFonts w:ascii="Cambria" w:hAnsi="Cambria"/>
      <w:color w:val="4f81bd"/>
      <w:sz w:val="20"/>
      <w:szCs w:val="20"/>
    </w:rPr>
  </w:style>
  <w:style w:type="paragraph" w:styleId="702">
    <w:name w:val="Heading 9"/>
    <w:basedOn w:val="693"/>
    <w:next w:val="693"/>
    <w:link w:val="740"/>
    <w:qFormat/>
    <w:pPr>
      <w:pBdr/>
      <w:spacing w:after="60" w:before="240"/>
      <w:ind/>
      <w:outlineLvl w:val="8"/>
    </w:pPr>
    <w:rPr>
      <w:rFonts w:ascii="Arial" w:hAnsi="Arial"/>
      <w:sz w:val="22"/>
      <w:szCs w:val="22"/>
    </w:rPr>
  </w:style>
  <w:style w:type="character" w:styleId="703">
    <w:name w:val="Heading 1 Char"/>
    <w:basedOn w:val="72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04">
    <w:name w:val="Heading 2 Char"/>
    <w:basedOn w:val="72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05">
    <w:name w:val="Heading 3 Char"/>
    <w:basedOn w:val="72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06">
    <w:name w:val="Heading 4 Char"/>
    <w:basedOn w:val="727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07">
    <w:name w:val="Heading 5 Char"/>
    <w:basedOn w:val="72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08">
    <w:name w:val="Heading 6 Char"/>
    <w:basedOn w:val="727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09">
    <w:name w:val="Heading 7 Char"/>
    <w:basedOn w:val="727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0">
    <w:name w:val="Heading 8 Char"/>
    <w:basedOn w:val="72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1">
    <w:name w:val="Heading 9 Char"/>
    <w:basedOn w:val="72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2">
    <w:name w:val="Title Char"/>
    <w:basedOn w:val="727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3">
    <w:name w:val="Subtitle Char"/>
    <w:basedOn w:val="727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4">
    <w:name w:val="Quote Char"/>
    <w:basedOn w:val="727"/>
    <w:link w:val="810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15">
    <w:name w:val="Intense Quote Char"/>
    <w:basedOn w:val="727"/>
    <w:link w:val="811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Emphasis"/>
    <w:basedOn w:val="727"/>
    <w:qFormat/>
    <w:pPr>
      <w:pBdr/>
      <w:spacing/>
      <w:ind/>
    </w:pPr>
    <w:rPr>
      <w:i/>
      <w:iCs/>
    </w:rPr>
  </w:style>
  <w:style w:type="character" w:styleId="717">
    <w:name w:val="Header Char"/>
    <w:basedOn w:val="727"/>
    <w:uiPriority w:val="99"/>
    <w:qFormat/>
    <w:pPr>
      <w:pBdr/>
      <w:spacing/>
      <w:ind/>
    </w:pPr>
  </w:style>
  <w:style w:type="character" w:styleId="718">
    <w:name w:val="Footer Char"/>
    <w:basedOn w:val="727"/>
    <w:uiPriority w:val="99"/>
    <w:qFormat/>
    <w:pPr>
      <w:pBdr/>
      <w:spacing/>
      <w:ind/>
    </w:pPr>
  </w:style>
  <w:style w:type="character" w:styleId="719">
    <w:name w:val="Footnote Text Char"/>
    <w:basedOn w:val="727"/>
    <w:uiPriority w:val="99"/>
    <w:semiHidden/>
    <w:qFormat/>
    <w:pPr>
      <w:pBdr/>
      <w:spacing/>
      <w:ind/>
    </w:pPr>
    <w:rPr>
      <w:sz w:val="20"/>
      <w:szCs w:val="20"/>
    </w:rPr>
  </w:style>
  <w:style w:type="character" w:styleId="720" w:customStyle="1">
    <w:name w:val="Символ сноски"/>
    <w:basedOn w:val="727"/>
    <w:qFormat/>
    <w:pPr>
      <w:pBdr/>
      <w:spacing/>
      <w:ind/>
    </w:pPr>
    <w:rPr>
      <w:vertAlign w:val="superscript"/>
    </w:rPr>
  </w:style>
  <w:style w:type="character" w:styleId="721">
    <w:name w:val="footnote reference"/>
    <w:pPr>
      <w:pBdr/>
      <w:spacing/>
      <w:ind/>
    </w:pPr>
    <w:rPr>
      <w:vertAlign w:val="superscript"/>
    </w:rPr>
  </w:style>
  <w:style w:type="character" w:styleId="722">
    <w:name w:val="Endnote Text Char"/>
    <w:basedOn w:val="727"/>
    <w:uiPriority w:val="99"/>
    <w:semiHidden/>
    <w:qFormat/>
    <w:pPr>
      <w:pBdr/>
      <w:spacing/>
      <w:ind/>
    </w:pPr>
    <w:rPr>
      <w:sz w:val="20"/>
      <w:szCs w:val="20"/>
    </w:rPr>
  </w:style>
  <w:style w:type="character" w:styleId="723" w:customStyle="1">
    <w:name w:val="Символ концевой сноски"/>
    <w:basedOn w:val="727"/>
    <w:qFormat/>
    <w:pPr>
      <w:pBdr/>
      <w:spacing/>
      <w:ind/>
    </w:pPr>
    <w:rPr>
      <w:vertAlign w:val="superscript"/>
    </w:rPr>
  </w:style>
  <w:style w:type="character" w:styleId="724">
    <w:name w:val="endnote reference"/>
    <w:pPr>
      <w:pBdr/>
      <w:spacing/>
      <w:ind/>
    </w:pPr>
    <w:rPr>
      <w:vertAlign w:val="superscript"/>
    </w:rPr>
  </w:style>
  <w:style w:type="character" w:styleId="725" w:customStyle="1">
    <w:name w:val="Hyperlink"/>
    <w:basedOn w:val="727"/>
    <w:pPr>
      <w:pBdr/>
      <w:spacing/>
      <w:ind/>
    </w:pPr>
    <w:rPr>
      <w:color w:val="0000ff"/>
      <w:u w:val="single"/>
    </w:rPr>
  </w:style>
  <w:style w:type="character" w:styleId="726">
    <w:name w:val="FollowedHyperlink"/>
    <w:basedOn w:val="72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7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28" w:customStyle="1">
    <w:name w:val="Footnote Characters"/>
    <w:qFormat/>
    <w:pPr>
      <w:pBdr/>
      <w:spacing/>
      <w:ind/>
    </w:pPr>
    <w:rPr>
      <w:vertAlign w:val="superscript"/>
    </w:rPr>
  </w:style>
  <w:style w:type="character" w:styleId="729">
    <w:name w:val="page number"/>
    <w:basedOn w:val="727"/>
    <w:qFormat/>
    <w:pPr>
      <w:pBdr/>
      <w:spacing/>
      <w:ind/>
    </w:pPr>
  </w:style>
  <w:style w:type="character" w:styleId="730">
    <w:name w:val="annotation reference"/>
    <w:qFormat/>
    <w:pPr>
      <w:pBdr/>
      <w:spacing/>
      <w:ind/>
    </w:pPr>
    <w:rPr>
      <w:sz w:val="16"/>
      <w:szCs w:val="16"/>
    </w:rPr>
  </w:style>
  <w:style w:type="character" w:styleId="731">
    <w:name w:val="Strong"/>
    <w:qFormat/>
    <w:pPr>
      <w:pBdr/>
      <w:spacing/>
      <w:ind/>
    </w:pPr>
    <w:rPr>
      <w:b/>
      <w:bCs/>
    </w:rPr>
  </w:style>
  <w:style w:type="character" w:styleId="732" w:customStyle="1">
    <w:name w:val="Заголовок 6 Знак"/>
    <w:qFormat/>
    <w:pPr>
      <w:pBdr/>
      <w:spacing/>
      <w:ind/>
    </w:pPr>
    <w:rPr>
      <w:rFonts w:ascii="Cambria" w:hAnsi="Cambria"/>
      <w:i/>
      <w:iCs/>
      <w:color w:val="243f60"/>
    </w:rPr>
  </w:style>
  <w:style w:type="character" w:styleId="733" w:customStyle="1">
    <w:name w:val="Заголовок 7 Знак"/>
    <w:qFormat/>
    <w:pPr>
      <w:pBdr/>
      <w:spacing/>
      <w:ind/>
    </w:pPr>
    <w:rPr>
      <w:rFonts w:ascii="Cambria" w:hAnsi="Cambria"/>
      <w:i/>
      <w:iCs/>
      <w:color w:val="404040"/>
    </w:rPr>
  </w:style>
  <w:style w:type="character" w:styleId="734" w:customStyle="1">
    <w:name w:val="Заголовок 8 Знак"/>
    <w:qFormat/>
    <w:pPr>
      <w:pBdr/>
      <w:spacing/>
      <w:ind/>
    </w:pPr>
    <w:rPr>
      <w:rFonts w:ascii="Cambria" w:hAnsi="Cambria"/>
      <w:color w:val="4f81bd"/>
    </w:rPr>
  </w:style>
  <w:style w:type="character" w:styleId="735" w:customStyle="1">
    <w:name w:val="Заголовок 1 Знак"/>
    <w:qFormat/>
    <w:pPr>
      <w:pBdr/>
      <w:spacing/>
      <w:ind/>
    </w:pPr>
    <w:rPr>
      <w:rFonts w:eastAsia="Calibri"/>
      <w:b/>
      <w:sz w:val="28"/>
      <w:szCs w:val="28"/>
    </w:rPr>
  </w:style>
  <w:style w:type="character" w:styleId="736" w:customStyle="1">
    <w:name w:val="Заголовок 2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737" w:customStyle="1">
    <w:name w:val="Заголовок 3 Знак"/>
    <w:qFormat/>
    <w:pPr>
      <w:pBdr/>
      <w:spacing/>
      <w:ind/>
    </w:pPr>
    <w:rPr>
      <w:rFonts w:eastAsia="Calibri"/>
      <w:b/>
      <w:sz w:val="24"/>
      <w:szCs w:val="24"/>
    </w:rPr>
  </w:style>
  <w:style w:type="character" w:styleId="738" w:customStyle="1">
    <w:name w:val="Заголовок 4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739" w:customStyle="1">
    <w:name w:val="Заголовок 5 Знак"/>
    <w:qFormat/>
    <w:pPr>
      <w:pBdr/>
      <w:spacing/>
      <w:ind/>
    </w:pPr>
    <w:rPr>
      <w:b/>
      <w:bCs/>
      <w:i/>
      <w:iCs/>
      <w:sz w:val="26"/>
      <w:szCs w:val="26"/>
    </w:rPr>
  </w:style>
  <w:style w:type="character" w:styleId="740" w:customStyle="1">
    <w:name w:val="Заголовок 9 Знак"/>
    <w:qFormat/>
    <w:pPr>
      <w:pBdr/>
      <w:spacing/>
      <w:ind/>
    </w:pPr>
    <w:rPr>
      <w:rFonts w:ascii="Arial" w:hAnsi="Arial" w:cs="Arial"/>
      <w:sz w:val="22"/>
      <w:szCs w:val="22"/>
    </w:rPr>
  </w:style>
  <w:style w:type="character" w:styleId="741" w:customStyle="1">
    <w:name w:val="Название Знак"/>
    <w:link w:val="781"/>
    <w:qFormat/>
    <w:pPr>
      <w:pBdr/>
      <w:spacing/>
      <w:ind/>
    </w:pPr>
    <w:rPr>
      <w:sz w:val="28"/>
    </w:rPr>
  </w:style>
  <w:style w:type="character" w:styleId="742" w:customStyle="1">
    <w:name w:val="Подзаголовок Знак"/>
    <w:qFormat/>
    <w:pPr>
      <w:pBdr/>
      <w:spacing/>
      <w:ind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styleId="743" w:customStyle="1">
    <w:name w:val="Цитата 2 Знак"/>
    <w:link w:val="810"/>
    <w:qFormat/>
    <w:pPr>
      <w:pBdr/>
      <w:spacing/>
      <w:ind/>
    </w:pPr>
    <w:rPr>
      <w:rFonts w:ascii="Calibri" w:hAnsi="Calibri" w:eastAsia="Calibri"/>
      <w:i/>
      <w:iCs/>
      <w:color w:val="000000"/>
    </w:rPr>
  </w:style>
  <w:style w:type="character" w:styleId="744" w:customStyle="1">
    <w:name w:val="Выделенная цитата Знак"/>
    <w:link w:val="811"/>
    <w:qFormat/>
    <w:pPr>
      <w:pBdr/>
      <w:spacing/>
      <w:ind/>
    </w:pPr>
    <w:rPr>
      <w:rFonts w:ascii="Calibri" w:hAnsi="Calibri" w:eastAsia="Calibri"/>
      <w:b/>
      <w:bCs/>
      <w:i/>
      <w:iCs/>
      <w:color w:val="4f81bd"/>
    </w:rPr>
  </w:style>
  <w:style w:type="character" w:styleId="745">
    <w:name w:val="Subtle Emphasis"/>
    <w:qFormat/>
    <w:pPr>
      <w:pBdr/>
      <w:spacing/>
      <w:ind/>
    </w:pPr>
    <w:rPr>
      <w:i/>
      <w:iCs/>
      <w:color w:val="808080"/>
    </w:rPr>
  </w:style>
  <w:style w:type="character" w:styleId="746">
    <w:name w:val="Intense Emphasis"/>
    <w:qFormat/>
    <w:pPr>
      <w:pBdr/>
      <w:spacing/>
      <w:ind/>
    </w:pPr>
    <w:rPr>
      <w:b/>
      <w:bCs/>
      <w:i/>
      <w:iCs/>
      <w:color w:val="4f81bd"/>
    </w:rPr>
  </w:style>
  <w:style w:type="character" w:styleId="747">
    <w:name w:val="Subtle Reference"/>
    <w:qFormat/>
    <w:pPr>
      <w:pBdr/>
      <w:spacing/>
      <w:ind/>
    </w:pPr>
    <w:rPr>
      <w:smallCaps/>
      <w:color w:val="c0504d"/>
      <w:u w:val="single"/>
    </w:rPr>
  </w:style>
  <w:style w:type="character" w:styleId="748">
    <w:name w:val="Intense Reference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749">
    <w:name w:val="Book Title"/>
    <w:qFormat/>
    <w:pPr>
      <w:pBdr/>
      <w:spacing/>
      <w:ind/>
    </w:pPr>
    <w:rPr>
      <w:b/>
      <w:bCs/>
      <w:smallCaps/>
      <w:spacing w:val="5"/>
    </w:rPr>
  </w:style>
  <w:style w:type="character" w:styleId="750" w:customStyle="1">
    <w:name w:val="Электронная подпись Знак"/>
    <w:link w:val="814"/>
    <w:qFormat/>
    <w:pPr>
      <w:pBdr/>
      <w:spacing/>
      <w:ind/>
    </w:pPr>
    <w:rPr>
      <w:rFonts w:eastAsia="Calibri"/>
      <w:sz w:val="24"/>
      <w:szCs w:val="24"/>
    </w:rPr>
  </w:style>
  <w:style w:type="character" w:styleId="751" w:customStyle="1">
    <w:name w:val="Подпункт Знак1"/>
    <w:link w:val="791"/>
    <w:qFormat/>
    <w:pPr>
      <w:pBdr/>
      <w:spacing/>
      <w:ind/>
    </w:pPr>
    <w:rPr>
      <w:sz w:val="28"/>
    </w:rPr>
  </w:style>
  <w:style w:type="character" w:styleId="752" w:customStyle="1">
    <w:name w:val="Текст сноски Знак"/>
    <w:qFormat/>
    <w:pPr>
      <w:pBdr/>
      <w:spacing/>
      <w:ind/>
    </w:pPr>
  </w:style>
  <w:style w:type="character" w:styleId="753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754" w:customStyle="1">
    <w:name w:val="blk"/>
    <w:qFormat/>
    <w:pPr>
      <w:pBdr/>
      <w:spacing/>
      <w:ind/>
    </w:pPr>
  </w:style>
  <w:style w:type="character" w:styleId="755" w:customStyle="1">
    <w:name w:val="Абзац списка Знак"/>
    <w:link w:val="809"/>
    <w:qFormat/>
    <w:pPr>
      <w:pBdr/>
      <w:spacing/>
      <w:ind/>
    </w:pPr>
    <w:rPr>
      <w:rFonts w:eastAsia="Calibri"/>
      <w:sz w:val="24"/>
      <w:szCs w:val="24"/>
    </w:rPr>
  </w:style>
  <w:style w:type="character" w:styleId="756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757" w:customStyle="1">
    <w:name w:val="Подподпункт Знак"/>
    <w:link w:val="826"/>
    <w:qFormat/>
    <w:pPr>
      <w:pBdr/>
      <w:spacing/>
      <w:ind/>
    </w:pPr>
    <w:rPr>
      <w:sz w:val="26"/>
      <w:szCs w:val="26"/>
    </w:rPr>
  </w:style>
  <w:style w:type="character" w:styleId="758" w:customStyle="1">
    <w:name w:val="УРОВЕНЬ_Абзац_тип3 Знак"/>
    <w:link w:val="830"/>
    <w:qFormat/>
    <w:pPr>
      <w:pBdr/>
      <w:spacing/>
      <w:ind/>
    </w:pPr>
    <w:rPr>
      <w:rFonts w:eastAsia="Calibri"/>
      <w:sz w:val="26"/>
      <w:szCs w:val="28"/>
      <w:lang w:eastAsia="en-US"/>
    </w:rPr>
  </w:style>
  <w:style w:type="character" w:styleId="759" w:customStyle="1">
    <w:name w:val="Верхний колонтитул Знак"/>
    <w:qFormat/>
    <w:pPr>
      <w:pBdr/>
      <w:spacing/>
      <w:ind/>
    </w:pPr>
    <w:rPr>
      <w:sz w:val="24"/>
      <w:szCs w:val="24"/>
    </w:rPr>
  </w:style>
  <w:style w:type="character" w:styleId="760" w:customStyle="1">
    <w:name w:val="Текст примечания Знак"/>
    <w:link w:val="799"/>
    <w:qFormat/>
    <w:pPr>
      <w:pBdr/>
      <w:spacing/>
      <w:ind/>
    </w:pPr>
  </w:style>
  <w:style w:type="character" w:styleId="761" w:customStyle="1">
    <w:name w:val="Текст концевой сноски Знак"/>
    <w:basedOn w:val="727"/>
    <w:qFormat/>
    <w:pPr>
      <w:pBdr/>
      <w:spacing/>
      <w:ind/>
    </w:pPr>
  </w:style>
  <w:style w:type="character" w:styleId="762" w:customStyle="1">
    <w:name w:val="Endnote Characters"/>
    <w:basedOn w:val="727"/>
    <w:qFormat/>
    <w:pPr>
      <w:pBdr/>
      <w:spacing/>
      <w:ind/>
    </w:pPr>
    <w:rPr>
      <w:vertAlign w:val="superscript"/>
    </w:rPr>
  </w:style>
  <w:style w:type="character" w:styleId="763" w:customStyle="1">
    <w:name w:val="Пункт2 Знак"/>
    <w:link w:val="792"/>
    <w:qFormat/>
    <w:pPr>
      <w:pBdr/>
      <w:spacing/>
      <w:ind/>
    </w:pPr>
    <w:rPr>
      <w:b/>
      <w:sz w:val="28"/>
    </w:rPr>
  </w:style>
  <w:style w:type="character" w:styleId="764" w:customStyle="1">
    <w:name w:val="УРОВЕНЬ_1. Знак"/>
    <w:link w:val="837"/>
    <w:qFormat/>
    <w:pPr>
      <w:pBdr/>
      <w:spacing/>
      <w:ind/>
    </w:pPr>
    <w:rPr>
      <w:rFonts w:eastAsia="Calibri"/>
      <w:caps/>
      <w:sz w:val="28"/>
      <w:szCs w:val="28"/>
      <w:lang w:eastAsia="en-US"/>
    </w:rPr>
  </w:style>
  <w:style w:type="character" w:styleId="765" w:customStyle="1">
    <w:name w:val="Ссылка указателя"/>
    <w:qFormat/>
    <w:pPr>
      <w:pBdr/>
      <w:spacing/>
      <w:ind/>
    </w:pPr>
  </w:style>
  <w:style w:type="paragraph" w:styleId="766" w:customStyle="1">
    <w:name w:val="Заголовок"/>
    <w:basedOn w:val="693"/>
    <w:next w:val="767"/>
    <w:qFormat/>
    <w:pPr>
      <w:keepNext w:val="true"/>
      <w:pBdr/>
      <w:spacing w:after="120" w:before="240"/>
      <w:ind/>
    </w:pPr>
    <w:rPr>
      <w:rFonts w:ascii="Liberation Sans" w:hAnsi="Liberation Sans" w:eastAsia="Microsoft YaHei" w:cs="Mangal"/>
    </w:rPr>
  </w:style>
  <w:style w:type="paragraph" w:styleId="767">
    <w:name w:val="Body Text"/>
    <w:basedOn w:val="693"/>
    <w:link w:val="753"/>
    <w:pPr>
      <w:pBdr/>
      <w:spacing w:after="120" w:before="0"/>
      <w:ind/>
    </w:pPr>
  </w:style>
  <w:style w:type="paragraph" w:styleId="768">
    <w:name w:val="List"/>
    <w:basedOn w:val="767"/>
    <w:pPr>
      <w:pBdr/>
      <w:spacing/>
      <w:ind/>
    </w:pPr>
    <w:rPr>
      <w:rFonts w:cs="Mangal"/>
    </w:rPr>
  </w:style>
  <w:style w:type="paragraph" w:styleId="769">
    <w:name w:val="Caption"/>
    <w:basedOn w:val="693"/>
    <w:next w:val="693"/>
    <w:qFormat/>
    <w:pPr>
      <w:pBdr/>
      <w:spacing/>
      <w:ind/>
    </w:pPr>
    <w:rPr>
      <w:rFonts w:eastAsia="Calibri"/>
      <w:b/>
      <w:bCs/>
      <w:color w:val="4f81bd"/>
      <w:sz w:val="18"/>
      <w:szCs w:val="18"/>
    </w:rPr>
  </w:style>
  <w:style w:type="paragraph" w:styleId="770">
    <w:name w:val="Указатель"/>
    <w:basedOn w:val="693"/>
    <w:qFormat/>
    <w:pPr>
      <w:suppressLineNumbers w:val="true"/>
      <w:pBdr/>
      <w:spacing/>
      <w:ind/>
    </w:pPr>
    <w:rPr>
      <w:rFonts w:cs="Mangal"/>
    </w:rPr>
  </w:style>
  <w:style w:type="paragraph" w:styleId="771">
    <w:name w:val="Title"/>
    <w:basedOn w:val="693"/>
    <w:next w:val="693"/>
    <w:link w:val="712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72">
    <w:name w:val="table of figures"/>
    <w:basedOn w:val="693"/>
    <w:next w:val="693"/>
    <w:uiPriority w:val="99"/>
    <w:unhideWhenUsed/>
    <w:qFormat/>
    <w:pPr>
      <w:pBdr/>
      <w:spacing w:after="0" w:afterAutospacing="0" w:before="0"/>
      <w:ind/>
    </w:pPr>
  </w:style>
  <w:style w:type="paragraph" w:styleId="773">
    <w:name w:val="index heading1"/>
    <w:basedOn w:val="766"/>
    <w:qFormat/>
    <w:pPr>
      <w:pBdr/>
      <w:spacing/>
      <w:ind/>
    </w:pPr>
  </w:style>
  <w:style w:type="paragraph" w:styleId="774" w:customStyle="1">
    <w:name w:val="Название раздела инструкции"/>
    <w:basedOn w:val="693"/>
    <w:qFormat/>
    <w:pPr>
      <w:pBdr/>
      <w:spacing/>
      <w:ind/>
      <w:jc w:val="center"/>
    </w:pPr>
    <w:rPr>
      <w:b/>
    </w:rPr>
  </w:style>
  <w:style w:type="paragraph" w:styleId="775" w:customStyle="1">
    <w:name w:val="Раздел положения"/>
    <w:basedOn w:val="693"/>
    <w:qFormat/>
    <w:pPr>
      <w:numPr>
        <w:ilvl w:val="0"/>
        <w:numId w:val="1"/>
      </w:numPr>
      <w:pBdr/>
      <w:spacing w:after="80" w:before="80"/>
      <w:ind/>
      <w:jc w:val="center"/>
    </w:pPr>
    <w:rPr>
      <w:b/>
      <w:sz w:val="32"/>
      <w:szCs w:val="32"/>
    </w:rPr>
  </w:style>
  <w:style w:type="paragraph" w:styleId="776" w:customStyle="1">
    <w:name w:val="Подраздел раздела положения"/>
    <w:basedOn w:val="693"/>
    <w:qFormat/>
    <w:pPr>
      <w:numPr>
        <w:ilvl w:val="1"/>
        <w:numId w:val="1"/>
      </w:numPr>
      <w:pBdr/>
      <w:spacing w:after="80" w:before="80"/>
      <w:ind/>
      <w:jc w:val="both"/>
    </w:pPr>
  </w:style>
  <w:style w:type="paragraph" w:styleId="777">
    <w:name w:val="footnote text"/>
    <w:basedOn w:val="693"/>
    <w:link w:val="752"/>
    <w:pPr>
      <w:pBdr/>
      <w:spacing/>
      <w:ind/>
    </w:pPr>
    <w:rPr>
      <w:sz w:val="20"/>
      <w:szCs w:val="20"/>
    </w:rPr>
  </w:style>
  <w:style w:type="paragraph" w:styleId="778" w:customStyle="1">
    <w:name w:val="Шапка 1"/>
    <w:basedOn w:val="693"/>
    <w:qFormat/>
    <w:pPr>
      <w:pBdr>
        <w:bottom w:val="single" w:color="000000" w:sz="24" w:space="1"/>
      </w:pBdr>
      <w:spacing w:after="240" w:before="0"/>
      <w:ind/>
      <w:jc w:val="center"/>
    </w:pPr>
    <w:rPr>
      <w:sz w:val="22"/>
      <w:szCs w:val="22"/>
    </w:rPr>
  </w:style>
  <w:style w:type="paragraph" w:styleId="779" w:customStyle="1">
    <w:name w:val="Шапка 2"/>
    <w:basedOn w:val="693"/>
    <w:qFormat/>
    <w:pPr>
      <w:pBdr>
        <w:bottom w:val="single" w:color="000000" w:sz="24" w:space="1"/>
      </w:pBdr>
      <w:spacing w:after="120" w:before="0"/>
      <w:ind/>
      <w:jc w:val="center"/>
    </w:pPr>
    <w:rPr>
      <w:b/>
      <w:sz w:val="22"/>
      <w:szCs w:val="22"/>
    </w:rPr>
  </w:style>
  <w:style w:type="paragraph" w:styleId="780" w:customStyle="1">
    <w:name w:val="Шапка 3"/>
    <w:basedOn w:val="693"/>
    <w:qFormat/>
    <w:pPr>
      <w:pBdr>
        <w:bottom w:val="single" w:color="000000" w:sz="24" w:space="1"/>
      </w:pBdr>
      <w:spacing w:after="360" w:before="240"/>
      <w:ind/>
      <w:jc w:val="center"/>
    </w:pPr>
    <w:rPr>
      <w:b/>
      <w:sz w:val="24"/>
      <w:szCs w:val="24"/>
    </w:rPr>
  </w:style>
  <w:style w:type="paragraph" w:styleId="781" w:customStyle="1">
    <w:name w:val="Название1"/>
    <w:basedOn w:val="693"/>
    <w:link w:val="741"/>
    <w:qFormat/>
    <w:pPr>
      <w:pBdr/>
      <w:spacing/>
      <w:ind/>
      <w:jc w:val="center"/>
    </w:pPr>
    <w:rPr>
      <w:szCs w:val="20"/>
    </w:rPr>
  </w:style>
  <w:style w:type="paragraph" w:styleId="782" w:customStyle="1">
    <w:name w:val="Колонтитул"/>
    <w:basedOn w:val="693"/>
    <w:qFormat/>
    <w:pPr>
      <w:pBdr/>
      <w:spacing/>
      <w:ind/>
    </w:pPr>
  </w:style>
  <w:style w:type="paragraph" w:styleId="783">
    <w:name w:val="Header"/>
    <w:basedOn w:val="693"/>
    <w:link w:val="759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784">
    <w:name w:val="Body Text Indent"/>
    <w:basedOn w:val="693"/>
    <w:pPr>
      <w:pBdr/>
      <w:spacing/>
      <w:ind w:firstLine="0" w:left="360"/>
    </w:pPr>
    <w:rPr>
      <w:sz w:val="24"/>
      <w:szCs w:val="24"/>
    </w:rPr>
  </w:style>
  <w:style w:type="paragraph" w:styleId="785">
    <w:name w:val="Footer"/>
    <w:basedOn w:val="693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786">
    <w:name w:val="Body Text Indent 2"/>
    <w:basedOn w:val="693"/>
    <w:qFormat/>
    <w:pPr>
      <w:pBdr/>
      <w:spacing w:after="120" w:before="0" w:line="480" w:lineRule="auto"/>
      <w:ind w:firstLine="0" w:left="283"/>
    </w:pPr>
  </w:style>
  <w:style w:type="paragraph" w:styleId="787">
    <w:name w:val="Body Text 3"/>
    <w:basedOn w:val="693"/>
    <w:qFormat/>
    <w:pPr>
      <w:pBdr/>
      <w:spacing w:after="120" w:before="0"/>
      <w:ind/>
    </w:pPr>
    <w:rPr>
      <w:sz w:val="16"/>
      <w:szCs w:val="16"/>
    </w:rPr>
  </w:style>
  <w:style w:type="paragraph" w:styleId="788">
    <w:name w:val="Body Text Indent 3"/>
    <w:basedOn w:val="693"/>
    <w:qFormat/>
    <w:pPr>
      <w:pBdr/>
      <w:spacing w:after="120" w:before="0"/>
      <w:ind w:firstLine="0" w:left="283"/>
    </w:pPr>
    <w:rPr>
      <w:sz w:val="16"/>
      <w:szCs w:val="16"/>
    </w:rPr>
  </w:style>
  <w:style w:type="paragraph" w:styleId="789">
    <w:name w:val="Body Text 2"/>
    <w:basedOn w:val="693"/>
    <w:qFormat/>
    <w:pPr>
      <w:pBdr/>
      <w:spacing w:after="120" w:before="0" w:line="480" w:lineRule="auto"/>
      <w:ind/>
    </w:pPr>
  </w:style>
  <w:style w:type="paragraph" w:styleId="790">
    <w:name w:val="Block Text"/>
    <w:basedOn w:val="693"/>
    <w:qFormat/>
    <w:pPr>
      <w:pBdr/>
      <w:spacing/>
      <w:ind w:right="-766" w:firstLine="0" w:left="-567"/>
      <w:jc w:val="center"/>
    </w:pPr>
    <w:rPr>
      <w:b/>
      <w:bCs/>
      <w:sz w:val="24"/>
      <w:szCs w:val="20"/>
    </w:rPr>
  </w:style>
  <w:style w:type="paragraph" w:styleId="791" w:customStyle="1">
    <w:name w:val="Подпункт"/>
    <w:basedOn w:val="693"/>
    <w:link w:val="751"/>
    <w:qFormat/>
    <w:pPr>
      <w:pBdr/>
      <w:tabs>
        <w:tab w:val="clear" w:leader="none" w:pos="708"/>
        <w:tab w:val="left" w:leader="none" w:pos="1134"/>
      </w:tabs>
      <w:spacing w:line="360" w:lineRule="auto"/>
      <w:ind w:hanging="1134" w:left="1134"/>
      <w:jc w:val="both"/>
    </w:pPr>
    <w:rPr>
      <w:szCs w:val="20"/>
    </w:rPr>
  </w:style>
  <w:style w:type="paragraph" w:styleId="792" w:customStyle="1">
    <w:name w:val="Пункт2"/>
    <w:basedOn w:val="693"/>
    <w:link w:val="763"/>
    <w:qFormat/>
    <w:pPr>
      <w:keepNext w:val="true"/>
      <w:pBdr/>
      <w:tabs>
        <w:tab w:val="clear" w:leader="none" w:pos="708"/>
        <w:tab w:val="left" w:leader="none" w:pos="1134"/>
      </w:tabs>
      <w:spacing w:after="120" w:before="240"/>
      <w:ind w:hanging="1134" w:left="1134"/>
      <w:outlineLvl w:val="2"/>
    </w:pPr>
    <w:rPr>
      <w:b/>
      <w:szCs w:val="20"/>
    </w:rPr>
  </w:style>
  <w:style w:type="paragraph" w:styleId="793">
    <w:name w:val="TOC 1"/>
    <w:basedOn w:val="693"/>
    <w:next w:val="693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794">
    <w:name w:val="TOC 3"/>
    <w:basedOn w:val="693"/>
    <w:next w:val="693"/>
    <w:pPr>
      <w:pBdr/>
      <w:spacing/>
      <w:ind w:firstLine="0" w:left="280"/>
    </w:pPr>
    <w:rPr>
      <w:rFonts w:cs="Calibri"/>
      <w:sz w:val="20"/>
      <w:szCs w:val="20"/>
    </w:rPr>
  </w:style>
  <w:style w:type="paragraph" w:styleId="795" w:customStyle="1">
    <w:name w:val="Раздел регламента"/>
    <w:basedOn w:val="693"/>
    <w:qFormat/>
    <w:pPr>
      <w:pBdr/>
      <w:spacing/>
      <w:ind/>
    </w:pPr>
  </w:style>
  <w:style w:type="paragraph" w:styleId="796" w:customStyle="1">
    <w:name w:val="Приложение к регламенту"/>
    <w:basedOn w:val="693"/>
    <w:qFormat/>
    <w:pPr>
      <w:pBdr/>
      <w:spacing/>
      <w:ind/>
      <w:jc w:val="right"/>
    </w:pPr>
  </w:style>
  <w:style w:type="paragraph" w:styleId="797">
    <w:name w:val="TOC 2"/>
    <w:basedOn w:val="693"/>
    <w:next w:val="693"/>
    <w:pPr>
      <w:pBdr/>
      <w:spacing w:after="0" w:before="240"/>
      <w:ind/>
    </w:pPr>
    <w:rPr>
      <w:rFonts w:cs="Calibri"/>
      <w:bCs/>
      <w:sz w:val="20"/>
      <w:szCs w:val="20"/>
    </w:rPr>
  </w:style>
  <w:style w:type="paragraph" w:styleId="798">
    <w:name w:val="Balloon Text"/>
    <w:basedOn w:val="693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799">
    <w:name w:val="annotation text"/>
    <w:basedOn w:val="693"/>
    <w:link w:val="760"/>
    <w:qFormat/>
    <w:pPr>
      <w:pBdr/>
      <w:spacing/>
      <w:ind/>
    </w:pPr>
    <w:rPr>
      <w:sz w:val="20"/>
      <w:szCs w:val="20"/>
    </w:rPr>
  </w:style>
  <w:style w:type="paragraph" w:styleId="800">
    <w:name w:val="annotation subject"/>
    <w:basedOn w:val="799"/>
    <w:next w:val="799"/>
    <w:qFormat/>
    <w:pPr>
      <w:pBdr/>
      <w:spacing/>
      <w:ind/>
    </w:pPr>
    <w:rPr>
      <w:b/>
      <w:bCs/>
    </w:rPr>
  </w:style>
  <w:style w:type="paragraph" w:styleId="801" w:customStyle="1">
    <w:name w:val="Обычный (веб)1"/>
    <w:basedOn w:val="693"/>
    <w:qFormat/>
    <w:pPr>
      <w:pBdr/>
      <w:spacing w:after="280" w:before="280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802">
    <w:name w:val="TOC 9"/>
    <w:basedOn w:val="693"/>
    <w:next w:val="693"/>
    <w:pPr>
      <w:pBdr/>
      <w:spacing/>
      <w:ind w:firstLine="0" w:left="1960"/>
    </w:pPr>
    <w:rPr>
      <w:rFonts w:ascii="Calibri" w:hAnsi="Calibri" w:cs="Calibri"/>
      <w:sz w:val="20"/>
      <w:szCs w:val="20"/>
    </w:rPr>
  </w:style>
  <w:style w:type="paragraph" w:styleId="803">
    <w:name w:val="TOC 5"/>
    <w:basedOn w:val="693"/>
    <w:next w:val="693"/>
    <w:pPr>
      <w:pBdr/>
      <w:spacing/>
      <w:ind w:firstLine="0" w:left="840"/>
    </w:pPr>
    <w:rPr>
      <w:rFonts w:ascii="Calibri" w:hAnsi="Calibri" w:cs="Calibri"/>
      <w:sz w:val="20"/>
      <w:szCs w:val="20"/>
    </w:rPr>
  </w:style>
  <w:style w:type="paragraph" w:styleId="804">
    <w:name w:val="TOC 4"/>
    <w:basedOn w:val="693"/>
    <w:next w:val="693"/>
    <w:pPr>
      <w:pBdr/>
      <w:tabs>
        <w:tab w:val="clear" w:leader="none" w:pos="708"/>
        <w:tab w:val="left" w:leader="none" w:pos="1120"/>
        <w:tab w:val="right" w:leader="none" w:pos="9911"/>
      </w:tabs>
      <w:spacing/>
      <w:ind w:firstLine="0" w:left="560"/>
    </w:pPr>
    <w:rPr>
      <w:rFonts w:cs="Calibri"/>
      <w:sz w:val="20"/>
      <w:szCs w:val="20"/>
    </w:rPr>
  </w:style>
  <w:style w:type="paragraph" w:styleId="805" w:customStyle="1">
    <w:name w:val="Раздел положения 2"/>
    <w:basedOn w:val="693"/>
    <w:qFormat/>
    <w:pPr>
      <w:pageBreakBefore w:val="true"/>
      <w:pBdr/>
      <w:spacing/>
      <w:ind/>
      <w:jc w:val="both"/>
      <w:outlineLvl w:val="0"/>
    </w:pPr>
    <w:rPr>
      <w:b/>
    </w:rPr>
  </w:style>
  <w:style w:type="paragraph" w:styleId="806" w:customStyle="1">
    <w:name w:val="Знак Знак Знак Знак Знак Знак Знак Знак Знак"/>
    <w:basedOn w:val="693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807">
    <w:name w:val="No Spacing"/>
    <w:basedOn w:val="693"/>
    <w:qFormat/>
    <w:pPr>
      <w:pBdr/>
      <w:spacing w:line="360" w:lineRule="auto"/>
      <w:ind/>
    </w:pPr>
    <w:rPr>
      <w:rFonts w:eastAsia="Calibri"/>
      <w:sz w:val="24"/>
      <w:szCs w:val="24"/>
    </w:rPr>
  </w:style>
  <w:style w:type="paragraph" w:styleId="808">
    <w:name w:val="Subtitle"/>
    <w:basedOn w:val="693"/>
    <w:next w:val="693"/>
    <w:link w:val="742"/>
    <w:qFormat/>
    <w:pPr>
      <w:pBdr/>
      <w:spacing/>
      <w:ind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809">
    <w:name w:val="List Paragraph"/>
    <w:basedOn w:val="693"/>
    <w:link w:val="755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810">
    <w:name w:val="Quote"/>
    <w:basedOn w:val="693"/>
    <w:next w:val="693"/>
    <w:link w:val="743"/>
    <w:qFormat/>
    <w:pPr>
      <w:pBdr/>
      <w:spacing/>
      <w:ind/>
    </w:pPr>
    <w:rPr>
      <w:rFonts w:ascii="Calibri" w:hAnsi="Calibri" w:eastAsia="Calibri"/>
      <w:i/>
      <w:iCs/>
      <w:color w:val="000000"/>
      <w:sz w:val="20"/>
      <w:szCs w:val="20"/>
    </w:rPr>
  </w:style>
  <w:style w:type="paragraph" w:styleId="811">
    <w:name w:val="Intense Quote"/>
    <w:basedOn w:val="693"/>
    <w:next w:val="693"/>
    <w:link w:val="744"/>
    <w:qFormat/>
    <w:pPr>
      <w:pBdr>
        <w:bottom w:val="single" w:color="4f81bd" w:sz="4" w:space="4"/>
      </w:pBdr>
      <w:spacing w:after="280" w:before="200"/>
      <w:ind w:right="936" w:firstLine="0" w:left="936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812">
    <w:name w:val="Index Heading"/>
    <w:basedOn w:val="766"/>
    <w:pPr>
      <w:pBdr/>
      <w:spacing/>
      <w:ind/>
    </w:pPr>
  </w:style>
  <w:style w:type="paragraph" w:styleId="813">
    <w:name w:val="TOC Heading"/>
    <w:basedOn w:val="694"/>
    <w:next w:val="693"/>
    <w:qFormat/>
    <w:pPr>
      <w:keepLines w:val="true"/>
      <w:pBdr/>
      <w:spacing w:after="60" w:before="480"/>
      <w:ind/>
      <w:outlineLvl w:val="9"/>
    </w:pPr>
    <w:rPr>
      <w:rFonts w:ascii="Cambria" w:hAnsi="Cambria"/>
      <w:bCs/>
      <w:color w:val="365f91"/>
    </w:rPr>
  </w:style>
  <w:style w:type="paragraph" w:styleId="814">
    <w:name w:val="E-mail Signature"/>
    <w:basedOn w:val="693"/>
    <w:link w:val="750"/>
    <w:qFormat/>
    <w:pPr>
      <w:pBdr/>
      <w:spacing/>
      <w:ind/>
    </w:pPr>
    <w:rPr>
      <w:rFonts w:eastAsia="Calibri"/>
      <w:sz w:val="24"/>
      <w:szCs w:val="24"/>
    </w:rPr>
  </w:style>
  <w:style w:type="paragraph" w:styleId="815" w:customStyle="1">
    <w:name w:val="Знак"/>
    <w:basedOn w:val="693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816" w:customStyle="1">
    <w:name w:val="Нумерованный список ур3"/>
    <w:basedOn w:val="693"/>
    <w:qFormat/>
    <w:pPr>
      <w:numPr>
        <w:ilvl w:val="2"/>
        <w:numId w:val="2"/>
      </w:numPr>
      <w:pBdr/>
      <w:spacing/>
      <w:ind/>
      <w:jc w:val="both"/>
    </w:pPr>
    <w:rPr>
      <w:rFonts w:ascii="Garamond" w:hAnsi="Garamond"/>
      <w:sz w:val="24"/>
      <w:szCs w:val="20"/>
    </w:rPr>
  </w:style>
  <w:style w:type="paragraph" w:styleId="817">
    <w:name w:val="List Bullet 4"/>
    <w:basedOn w:val="693"/>
    <w:qFormat/>
    <w:pPr>
      <w:numPr>
        <w:ilvl w:val="0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818" w:customStyle="1">
    <w:name w:val="Нумерованный список ур2"/>
    <w:basedOn w:val="693"/>
    <w:qFormat/>
    <w:pPr>
      <w:numPr>
        <w:ilvl w:val="1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819">
    <w:name w:val="Revision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auto"/>
      <w:sz w:val="24"/>
      <w:szCs w:val="24"/>
      <w:lang w:val="ru-RU" w:eastAsia="ru-RU" w:bidi="ar-SA"/>
    </w:rPr>
  </w:style>
  <w:style w:type="paragraph" w:styleId="820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821" w:customStyle="1">
    <w:name w:val="Знак Знак3 Знак Знак"/>
    <w:basedOn w:val="693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822" w:customStyle="1">
    <w:name w:val="Пункт"/>
    <w:basedOn w:val="693"/>
    <w:qFormat/>
    <w:pPr>
      <w:widowControl w:val="false"/>
      <w:pBdr/>
      <w:tabs>
        <w:tab w:val="clear" w:leader="none" w:pos="708"/>
        <w:tab w:val="left" w:leader="none" w:pos="1134"/>
      </w:tabs>
      <w:spacing w:after="0" w:before="120" w:line="360" w:lineRule="auto"/>
      <w:ind w:right="800" w:hanging="1134" w:left="1134"/>
      <w:jc w:val="both"/>
    </w:pPr>
    <w:rPr>
      <w:rFonts w:ascii="Arial" w:hAnsi="Arial"/>
      <w:b/>
      <w:i/>
      <w:szCs w:val="20"/>
    </w:rPr>
  </w:style>
  <w:style w:type="paragraph" w:styleId="823" w:customStyle="1">
    <w:name w:val="Абзац списка1"/>
    <w:basedOn w:val="693"/>
    <w:qFormat/>
    <w:pPr>
      <w:pBdr/>
      <w:spacing w:after="200" w:before="0" w:line="276" w:lineRule="auto"/>
      <w:ind w:firstLine="0"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824" w:customStyle="1">
    <w:name w:val="Таблица"/>
    <w:basedOn w:val="693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825" w:customStyle="1">
    <w:name w:val="Таблица шапка"/>
    <w:basedOn w:val="693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826" w:customStyle="1">
    <w:name w:val="Подподпункт"/>
    <w:basedOn w:val="791"/>
    <w:link w:val="757"/>
    <w:qFormat/>
    <w:pPr>
      <w:pBdr/>
      <w:tabs>
        <w:tab w:val="clear" w:leader="none" w:pos="1134"/>
        <w:tab w:val="left" w:leader="none" w:pos="5104"/>
      </w:tabs>
      <w:spacing w:after="0" w:before="120" w:line="240" w:lineRule="auto"/>
      <w:ind w:hanging="567" w:left="5104"/>
    </w:pPr>
    <w:rPr>
      <w:sz w:val="26"/>
      <w:szCs w:val="26"/>
      <w:lang w:val="ru-RU" w:eastAsia="ru-RU"/>
    </w:rPr>
  </w:style>
  <w:style w:type="paragraph" w:styleId="827" w:customStyle="1">
    <w:name w:val="УРОВЕНЬ_(а)"/>
    <w:basedOn w:val="809"/>
    <w:qFormat/>
    <w:pPr>
      <w:numPr>
        <w:ilvl w:val="3"/>
        <w:numId w:val="4"/>
      </w:numPr>
      <w:pBdr/>
      <w:spacing w:after="0" w:before="120" w:line="360" w:lineRule="exact"/>
      <w:ind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828" w:customStyle="1">
    <w:name w:val="УРОВЕНЬ_-"/>
    <w:basedOn w:val="809"/>
    <w:qFormat/>
    <w:pPr>
      <w:numPr>
        <w:ilvl w:val="4"/>
        <w:numId w:val="4"/>
      </w:numPr>
      <w:pBdr/>
      <w:spacing w:after="0" w:before="120" w:line="360" w:lineRule="exact"/>
      <w:ind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829" w:customStyle="1">
    <w:name w:val="УРОВЕНЬ_Абзац_тип2"/>
    <w:basedOn w:val="809"/>
    <w:qFormat/>
    <w:pPr>
      <w:numPr>
        <w:ilvl w:val="6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830" w:customStyle="1">
    <w:name w:val="УРОВЕНЬ_Абзац_тип3"/>
    <w:basedOn w:val="809"/>
    <w:link w:val="758"/>
    <w:qFormat/>
    <w:pPr>
      <w:numPr>
        <w:ilvl w:val="7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831" w:customStyle="1">
    <w:name w:val="УРОВЕНЬ_Подпись"/>
    <w:basedOn w:val="809"/>
    <w:qFormat/>
    <w:pPr>
      <w:keepNext w:val="true"/>
      <w:numPr>
        <w:ilvl w:val="5"/>
        <w:numId w:val="4"/>
      </w:numPr>
      <w:pBdr/>
      <w:spacing w:after="120" w:before="120" w:line="360" w:lineRule="exact"/>
      <w:ind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832" w:customStyle="1">
    <w:name w:val="Стиль Заголовок 1 + по ширине"/>
    <w:basedOn w:val="694"/>
    <w:qFormat/>
    <w:pPr>
      <w:keepLines w:val="true"/>
      <w:pBdr/>
      <w:tabs>
        <w:tab w:val="clear" w:leader="none" w:pos="0"/>
        <w:tab w:val="left" w:leader="none" w:pos="567"/>
      </w:tabs>
      <w:spacing w:after="240" w:before="480"/>
      <w:ind w:hanging="567" w:left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833">
    <w:name w:val="endnote text"/>
    <w:basedOn w:val="693"/>
    <w:link w:val="761"/>
    <w:pPr>
      <w:pBdr/>
      <w:spacing/>
      <w:ind/>
    </w:pPr>
    <w:rPr>
      <w:sz w:val="20"/>
      <w:szCs w:val="20"/>
    </w:rPr>
  </w:style>
  <w:style w:type="paragraph" w:styleId="834" w:customStyle="1">
    <w:name w:val="Заголовок 2 КВВ"/>
    <w:basedOn w:val="693"/>
    <w:qFormat/>
    <w:pPr>
      <w:keepNext w:val="true"/>
      <w:numPr>
        <w:ilvl w:val="0"/>
        <w:numId w:val="5"/>
      </w:numPr>
      <w:pBdr/>
      <w:spacing w:after="120" w:before="120"/>
      <w:ind/>
      <w:jc w:val="both"/>
      <w:outlineLvl w:val="0"/>
    </w:pPr>
    <w:rPr>
      <w:b/>
      <w:sz w:val="24"/>
      <w:szCs w:val="20"/>
    </w:rPr>
  </w:style>
  <w:style w:type="paragraph" w:styleId="835" w:customStyle="1">
    <w:name w:val="Таблица текст"/>
    <w:basedOn w:val="693"/>
    <w:qFormat/>
    <w:pPr>
      <w:pBdr/>
      <w:spacing w:after="40" w:before="40"/>
      <w:ind w:right="57" w:firstLine="0" w:left="57"/>
    </w:pPr>
    <w:rPr>
      <w:sz w:val="24"/>
      <w:szCs w:val="26"/>
    </w:rPr>
  </w:style>
  <w:style w:type="paragraph" w:styleId="836">
    <w:name w:val="Normal (Web)"/>
    <w:basedOn w:val="693"/>
    <w:qFormat/>
    <w:pPr>
      <w:pBdr/>
      <w:spacing w:after="280" w:before="280"/>
      <w:ind/>
    </w:pPr>
    <w:rPr>
      <w:sz w:val="24"/>
      <w:szCs w:val="24"/>
    </w:rPr>
  </w:style>
  <w:style w:type="paragraph" w:styleId="837" w:customStyle="1">
    <w:name w:val="УРОВЕНЬ_1."/>
    <w:basedOn w:val="809"/>
    <w:link w:val="764"/>
    <w:qFormat/>
    <w:pPr>
      <w:keepNext w:val="true"/>
      <w:keepLines w:val="true"/>
      <w:pBdr/>
      <w:spacing w:after="120" w:before="240" w:line="276" w:lineRule="auto"/>
      <w:ind w:firstLine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838">
    <w:name w:val="TOC 6"/>
    <w:basedOn w:val="693"/>
    <w:next w:val="693"/>
    <w:pPr>
      <w:pBdr/>
      <w:spacing/>
      <w:ind w:firstLine="0" w:left="1120"/>
    </w:pPr>
    <w:rPr>
      <w:rFonts w:ascii="Calibri" w:hAnsi="Calibri" w:cs="Calibri"/>
      <w:sz w:val="20"/>
      <w:szCs w:val="20"/>
    </w:rPr>
  </w:style>
  <w:style w:type="paragraph" w:styleId="839">
    <w:name w:val="TOC 7"/>
    <w:basedOn w:val="693"/>
    <w:next w:val="693"/>
    <w:pPr>
      <w:pBdr/>
      <w:spacing/>
      <w:ind w:firstLine="0" w:left="1400"/>
    </w:pPr>
    <w:rPr>
      <w:rFonts w:ascii="Calibri" w:hAnsi="Calibri" w:cs="Calibri"/>
      <w:sz w:val="20"/>
      <w:szCs w:val="20"/>
    </w:rPr>
  </w:style>
  <w:style w:type="paragraph" w:styleId="840">
    <w:name w:val="TOC 8"/>
    <w:basedOn w:val="693"/>
    <w:next w:val="693"/>
    <w:pPr>
      <w:pBdr/>
      <w:spacing/>
      <w:ind w:firstLine="0" w:left="1680"/>
    </w:pPr>
    <w:rPr>
      <w:rFonts w:ascii="Calibri" w:hAnsi="Calibri" w:cs="Calibri"/>
      <w:sz w:val="20"/>
      <w:szCs w:val="20"/>
    </w:rPr>
  </w:style>
  <w:style w:type="paragraph" w:styleId="841" w:customStyle="1">
    <w:name w:val="Содержимое врезки"/>
    <w:basedOn w:val="693"/>
    <w:qFormat/>
    <w:pPr>
      <w:pBdr/>
      <w:spacing/>
      <w:ind/>
    </w:pPr>
  </w:style>
  <w:style w:type="paragraph" w:styleId="842" w:customStyle="1">
    <w:name w:val="Содержимое таблицы"/>
    <w:basedOn w:val="693"/>
    <w:qFormat/>
    <w:pPr>
      <w:widowControl w:val="false"/>
      <w:suppressLineNumbers w:val="true"/>
      <w:pBdr/>
      <w:spacing/>
      <w:ind/>
    </w:pPr>
  </w:style>
  <w:style w:type="paragraph" w:styleId="843" w:customStyle="1">
    <w:name w:val="Заголовок таблицы"/>
    <w:basedOn w:val="842"/>
    <w:qFormat/>
    <w:pPr>
      <w:pBdr/>
      <w:spacing/>
      <w:ind/>
      <w:jc w:val="center"/>
    </w:pPr>
    <w:rPr>
      <w:b/>
      <w:bCs/>
    </w:rPr>
  </w:style>
  <w:style w:type="numbering" w:styleId="844" w:default="1">
    <w:name w:val="No List"/>
    <w:uiPriority w:val="99"/>
    <w:semiHidden/>
    <w:unhideWhenUsed/>
    <w:qFormat/>
    <w:pPr>
      <w:pBdr/>
      <w:spacing/>
      <w:ind/>
    </w:pPr>
  </w:style>
  <w:style w:type="numbering" w:styleId="845" w:customStyle="1">
    <w:name w:val="Стиль1"/>
    <w:qFormat/>
    <w:pPr>
      <w:pBdr/>
      <w:spacing/>
      <w:ind/>
    </w:pPr>
  </w:style>
  <w:style w:type="numbering" w:styleId="846" w:customStyle="1">
    <w:name w:val="Стиль2"/>
    <w:qFormat/>
    <w:pPr>
      <w:pBdr/>
      <w:spacing/>
      <w:ind/>
    </w:pPr>
  </w:style>
  <w:style w:type="table" w:styleId="847">
    <w:name w:val="Table Grid"/>
    <w:basedOn w:val="973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Table Grid Light"/>
    <w:basedOn w:val="973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Plain Table 1"/>
    <w:basedOn w:val="973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Plain Table 2"/>
    <w:basedOn w:val="97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Plain Table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Plain Table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Plain Table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1 Light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1 Light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1 Light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1 Light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1 Light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1 Light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1 Light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2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2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2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2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2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2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3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3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3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3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3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3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4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4 - Accent 1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4 - Accent 2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4 - Accent 3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4 - Accent 4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4 - Accent 5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4 - Accent 6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5 Dark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5 Dark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5 Dark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5 Dark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5 Dark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5 Dark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5 Dark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6 Colorful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6 Colorful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6 Colorful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6 Colorful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6 Colorful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6 Colorful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6 Colorful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7 Colorful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7 Colorful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7 Colorful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7 Colorful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7 Colorful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7 Colorful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7 Colorful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1 Light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1 Light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1 Light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1 Light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1 Light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1 Light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1 Light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2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2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2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2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2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2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3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3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3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3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3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3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4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4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4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4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4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4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5 Dark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5 Dark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5 Dark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5 Dark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5 Dark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5 Dark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5 Dark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6 Colorful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6 Colorful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6 Colorful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6 Colorful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6 Colorful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6 Colorful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6 Colorful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7 Colorful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7 Colorful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7 Colorful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7 Colorful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7 Colorful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7 Colorful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7 Colorful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ned - Accent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ned - Accent 1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ned - Accent 2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ned - Accent 3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ned - Accent 4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ned - Accent 5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ned - Accent 6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Bordered &amp; Lined - Accent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Bordered &amp; Lined - Accent 1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Bordered &amp; Lined - Accent 2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Bordered &amp; Lined - Accent 3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Bordered &amp; Lined - Accent 4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Bordered &amp; Lined - Accent 5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Bordered &amp; Lined - Accent 6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Bordered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Bordered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Bordered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Bordered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Bordered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Bordered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Bordered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yperlink" Target="mailto:mail@sakhaenergo.ru" TargetMode="External"/><Relationship Id="rId15" Type="http://schemas.openxmlformats.org/officeDocument/2006/relationships/hyperlink" Target="mailto:petrovas@rushydro.ru" TargetMode="External"/><Relationship Id="rId16" Type="http://schemas.openxmlformats.org/officeDocument/2006/relationships/hyperlink" Target="mailto:nikolaevka@rushydr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Microsoft</Company>
  <DocSecurity>4</DocSecurit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dc:language>ru-RU</dc:language>
  <cp:revision>26</cp:revision>
  <dcterms:created xsi:type="dcterms:W3CDTF">2024-03-28T07:01:00Z</dcterms:created>
  <dcterms:modified xsi:type="dcterms:W3CDTF">2026-09-11T03:48:19Z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