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3148" w:leader="none"/>
          <w:tab w:val="center" w:pos="4818" w:leader="none"/>
          <w:tab w:val="left" w:pos="6926" w:leader="none"/>
        </w:tabs>
        <w:spacing w:lineRule="auto" w:line="240"/>
        <w:ind w:hanging="0"/>
        <w:jc w:val="right"/>
        <w:rPr>
          <w:b/>
          <w:bCs/>
          <w:color w:val="000000"/>
          <w:sz w:val="24"/>
          <w:szCs w:val="24"/>
        </w:rPr>
      </w:pPr>
      <w:r>
        <w:rPr>
          <w:b/>
          <w:bCs/>
          <w:color w:val="000000"/>
          <w:sz w:val="24"/>
          <w:szCs w:val="24"/>
        </w:rPr>
      </w:r>
      <w:bookmarkStart w:id="0" w:name="_GoBack"/>
      <w:bookmarkStart w:id="1" w:name="_GoBack"/>
      <w:bookmarkEnd w:id="1"/>
    </w:p>
    <w:p>
      <w:pPr>
        <w:pStyle w:val="Normal"/>
        <w:shd w:val="clear" w:color="auto" w:fill="FFFFFF"/>
        <w:tabs>
          <w:tab w:val="clear" w:pos="709"/>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9"/>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9"/>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auto"/>
        </w:rPr>
      </w:pPr>
      <w:r>
        <w:rPr>
          <w:b/>
          <w:color w:val="auto"/>
          <w:lang w:val="ru-RU"/>
        </w:rPr>
        <w:t xml:space="preserve">Публичное </w:t>
      </w:r>
      <w:r>
        <w:rPr>
          <w:b/>
          <w:color w:val="auto"/>
        </w:rPr>
        <w:t xml:space="preserve">акционерное общество «Федеральная гидрогенерирующая компания </w:t>
      </w:r>
      <w:r>
        <w:rPr>
          <w:b/>
          <w:color w:val="auto"/>
          <w:lang w:val="ru-RU"/>
        </w:rPr>
        <w:t>–</w:t>
      </w:r>
      <w:r>
        <w:rPr>
          <w:b/>
          <w:color w:val="auto"/>
        </w:rPr>
        <w:t xml:space="preserve"> РусГидро» </w:t>
      </w:r>
      <w:r>
        <w:rPr>
          <w:color w:val="auto"/>
        </w:rPr>
        <w:t>(</w:t>
      </w:r>
      <w:r>
        <w:rPr>
          <w:color w:val="auto"/>
          <w:lang w:val="ru-RU"/>
        </w:rPr>
        <w:t>П</w:t>
      </w:r>
      <w:r>
        <w:rPr>
          <w:color w:val="auto"/>
        </w:rPr>
        <w:t xml:space="preserve">АО «РусГидро») (далее – «Заказчик»), в лице _______________ действующего на основании ______________, с одной стороны, и </w:t>
      </w:r>
    </w:p>
    <w:p>
      <w:pPr>
        <w:pStyle w:val="BodyText3"/>
        <w:ind w:firstLine="708"/>
        <w:rPr>
          <w:color w:val="auto"/>
        </w:rPr>
      </w:pPr>
      <w:r>
        <w:rPr>
          <w:color w:val="auto"/>
        </w:rPr>
        <w:t xml:space="preserve">________________________ (далее – «Подрядчик»), в лице ________________, действующего на основании ______________, с другой стороны, </w:t>
      </w:r>
    </w:p>
    <w:p>
      <w:pPr>
        <w:pStyle w:val="BodyText3"/>
        <w:ind w:firstLine="708"/>
        <w:rPr>
          <w:color w:val="auto"/>
        </w:rPr>
      </w:pPr>
      <w:r>
        <w:rPr>
          <w:color w:val="auto"/>
        </w:rPr>
        <w:t xml:space="preserve">совместно в дальнейшем именуемые «Стороны», а по отдельности – «Сторона», </w:t>
      </w:r>
    </w:p>
    <w:p>
      <w:pPr>
        <w:pStyle w:val="BodyText3"/>
        <w:ind w:firstLine="708"/>
        <w:rPr>
          <w:bCs/>
          <w:color w:val="auto"/>
          <w:lang w:val="ru-RU"/>
        </w:rPr>
      </w:pPr>
      <w:r>
        <w:rPr>
          <w:color w:val="auto"/>
          <w:highlight w:val="lightGray"/>
        </w:rPr>
        <w:t>по результатам проведенной Заказчиком конкурентной процедуры по лоту №_______</w:t>
      </w:r>
      <w:r>
        <w:rPr>
          <w:bCs/>
          <w:color w:val="auto"/>
          <w:highlight w:val="lightGray"/>
        </w:rPr>
        <w:t>,</w:t>
      </w:r>
      <w:r>
        <w:rPr>
          <w:highlight w:val="lightGray"/>
        </w:rPr>
        <w:t xml:space="preserve"> </w:t>
      </w:r>
      <w:r>
        <w:rPr>
          <w:color w:val="auto"/>
          <w:highlight w:val="lightGray"/>
          <w:lang w:val="ru-RU"/>
        </w:rPr>
        <w:t>и</w:t>
      </w:r>
      <w:r>
        <w:rPr>
          <w:highlight w:val="lightGray"/>
          <w:lang w:val="ru-RU"/>
        </w:rPr>
        <w:t xml:space="preserve"> </w:t>
      </w:r>
      <w:r>
        <w:rPr>
          <w:bCs/>
          <w:color w:val="auto"/>
          <w:highlight w:val="lightGray"/>
        </w:rPr>
        <w:t>на основании Протокола №_______ от «___»__________ года</w:t>
      </w:r>
      <w:r>
        <w:rPr>
          <w:bCs/>
          <w:color w:val="auto"/>
          <w:highlight w:val="lightGray"/>
          <w:lang w:val="ru-RU"/>
        </w:rPr>
        <w:t>,</w:t>
      </w:r>
    </w:p>
    <w:p>
      <w:pPr>
        <w:pStyle w:val="BodyText3"/>
        <w:ind w:firstLine="708"/>
        <w:rPr>
          <w:color w:val="auto"/>
          <w:lang w:val="ru-RU"/>
        </w:rPr>
      </w:pPr>
      <w:r>
        <w:rPr>
          <w:color w:val="auto"/>
        </w:rPr>
        <w:t>заключили настоящий договор (далее – «Договор») о нижеследующем:</w:t>
      </w:r>
    </w:p>
    <w:p>
      <w:pPr>
        <w:pStyle w:val="BodyText3"/>
        <w:ind w:firstLine="708"/>
        <w:rPr>
          <w:color w:val="auto"/>
          <w:lang w:val="ru-RU"/>
        </w:rPr>
      </w:pPr>
      <w:r>
        <w:rPr>
          <w:color w:val="auto"/>
          <w:lang w:val="ru-RU"/>
        </w:rPr>
      </w:r>
    </w:p>
    <w:p>
      <w:pPr>
        <w:pStyle w:val="ListParagraph"/>
        <w:shd w:val="clear" w:color="auto" w:fill="FFFFFF"/>
        <w:tabs>
          <w:tab w:val="clear" w:pos="709"/>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lang w:eastAsia="en-US"/>
        </w:rPr>
      </w:pPr>
      <w:r>
        <w:rPr>
          <w:b/>
          <w:lang w:eastAsia="en-US"/>
        </w:rPr>
        <w:t>«Акт КС-11»</w:t>
      </w:r>
      <w:r>
        <w:rPr>
          <w:lang w:eastAsia="en-US"/>
        </w:rPr>
        <w:t xml:space="preserve"> – документ, оформляемые по унифицированн</w:t>
      </w:r>
      <w:r>
        <w:rPr>
          <w:lang w:eastAsia="en-US"/>
        </w:rPr>
        <w:t>ой</w:t>
      </w:r>
      <w:r>
        <w:rPr>
          <w:lang w:eastAsia="en-US"/>
        </w:rPr>
        <w:t xml:space="preserve"> форм</w:t>
      </w:r>
      <w:r>
        <w:rPr>
          <w:lang w:eastAsia="en-US"/>
        </w:rPr>
        <w:t>е</w:t>
      </w:r>
      <w:r>
        <w:rPr>
          <w:lang w:eastAsia="en-US"/>
        </w:rPr>
        <w:t xml:space="preserve"> </w:t>
      </w:r>
      <w:r>
        <w:rPr>
          <w:lang w:eastAsia="en-US"/>
        </w:rPr>
        <w:t>№</w:t>
      </w:r>
      <w:r>
        <w:rPr>
          <w:lang w:eastAsia="en-US"/>
        </w:rPr>
        <w:t xml:space="preserve"> КС-11 «Акт приемки законченного строительством объекта»</w:t>
      </w:r>
      <w:r>
        <w:rPr/>
        <w:t>, утвержденны</w:t>
      </w:r>
      <w:r>
        <w:rPr/>
        <w:t>й</w:t>
      </w:r>
      <w:r>
        <w:rPr/>
        <w:t xml:space="preserve"> постановлением </w:t>
      </w:r>
      <w:r>
        <w:rPr>
          <w:lang w:eastAsia="en-US"/>
        </w:rPr>
        <w:t>Госкомстата РФ от 30.10.1997 № 71а, подписываемы</w:t>
      </w:r>
      <w:r>
        <w:rPr>
          <w:lang w:eastAsia="en-US"/>
        </w:rPr>
        <w:t>й</w:t>
      </w:r>
      <w:r>
        <w:rPr>
          <w:lang w:eastAsia="en-US"/>
        </w:rPr>
        <w:t xml:space="preserve"> Сторонами по окончании всех Работ по Объекту, предусмотренных Договором.</w:t>
      </w:r>
    </w:p>
    <w:p>
      <w:pPr>
        <w:pStyle w:val="ListParagraph"/>
        <w:widowControl w:val="false"/>
        <w:shd w:val="clear" w:color="auto" w:fill="FFFFFF"/>
        <w:tabs>
          <w:tab w:val="clear" w:pos="709"/>
          <w:tab w:val="left" w:pos="567" w:leader="none"/>
          <w:tab w:val="left" w:pos="1134" w:leader="none"/>
        </w:tabs>
        <w:ind w:left="0" w:firstLine="709"/>
        <w:jc w:val="both"/>
        <w:textAlignment w:val="baseline"/>
        <w:rPr>
          <w:lang w:eastAsia="en-US"/>
        </w:rPr>
      </w:pPr>
      <w:r>
        <w:rPr>
          <w:b/>
          <w:lang w:eastAsia="en-US"/>
        </w:rPr>
        <w:t>«Банковская гарантия»</w:t>
      </w:r>
      <w:r>
        <w:rP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w:t>
      </w:r>
      <w:r>
        <w:rPr/>
        <w:t xml:space="preserve"> </w:t>
      </w:r>
      <w:r>
        <w:rPr>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«Гарантийный срок»</w:t>
      </w:r>
      <w:r>
        <w:rPr/>
        <w:t xml:space="preserve"> </w:t>
      </w:r>
      <w:r>
        <w:rPr>
          <w:lang w:eastAsia="en-US"/>
        </w:rPr>
        <w:t xml:space="preserve">–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w:t>
      </w:r>
      <w:r>
        <w:rPr>
          <w:highlight w:val="lightGray"/>
          <w:lang w:eastAsia="en-US"/>
        </w:rPr>
        <w:t>Рабочей документации</w:t>
      </w:r>
      <w:r>
        <w:rPr>
          <w:lang w:eastAsia="en-US"/>
        </w:rPr>
        <w:t xml:space="preserve">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«Исполнительная документация» – </w:t>
      </w:r>
      <w:r>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«Материально-технические ресурсы и оборудование»</w:t>
      </w:r>
      <w:r>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bCs/>
          <w:lang w:eastAsia="en-US"/>
        </w:rPr>
        <w:t>«Национальный режим»</w:t>
      </w:r>
      <w:r>
        <w:rPr>
          <w:bCs/>
          <w:lang w:eastAsia="en-US"/>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«Обеспечительный платеж»</w:t>
      </w:r>
      <w:r>
        <w:rPr>
          <w:lang w:eastAsia="en-US"/>
        </w:rPr>
        <w:t xml:space="preserve"> – платеж в размере 10 (десяти) процентов от Цены Договора или суммарной стоимости Этапов Работ по соответствующему Объекту,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8"/>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8"/>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8"/>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clear" w:pos="709"/>
          <w:tab w:val="left" w:pos="567" w:leader="none"/>
          <w:tab w:val="left" w:pos="1134" w:leader="none"/>
        </w:tabs>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pPr>
        <w:pStyle w:val="Heading3"/>
        <w:keepNext w:val="false"/>
        <w:widowControl w:val="false"/>
        <w:tabs>
          <w:tab w:val="clear" w:pos="709"/>
          <w:tab w:val="left" w:pos="567" w:leader="none"/>
        </w:tabs>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в соответствии с условиями Договора, Проектной документацией, </w:t>
      </w:r>
      <w:r>
        <w:rPr>
          <w:b w:val="false"/>
          <w:sz w:val="24"/>
          <w:szCs w:val="24"/>
          <w:highlight w:val="lightGray"/>
          <w:lang w:val="ru-RU" w:eastAsia="en-US"/>
        </w:rPr>
        <w:t>Рабочей документацией</w:t>
      </w:r>
      <w:r>
        <w:rPr>
          <w:b w:val="false"/>
          <w:sz w:val="24"/>
          <w:szCs w:val="24"/>
          <w:lang w:val="ru-RU" w:eastAsia="en-US"/>
        </w:rPr>
        <w:t xml:space="preserve"> и Применимым правом работы, в том числе строительно-монтажные, пусконаладочные и прочие неразрывно связанные с ними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Результате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 и оборудования)</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9"/>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9"/>
          <w:tab w:val="left" w:pos="567" w:leader="none"/>
        </w:tabs>
        <w:spacing w:lineRule="auto" w:line="240"/>
        <w:ind w:firstLine="708"/>
        <w:rPr>
          <w:sz w:val="24"/>
          <w:szCs w:val="24"/>
          <w:highlight w:val="lightGray"/>
        </w:rPr>
      </w:pPr>
      <w:r>
        <w:rPr>
          <w:b/>
          <w:sz w:val="24"/>
          <w:szCs w:val="24"/>
          <w:highlight w:val="lightGray"/>
          <w:lang w:eastAsia="en-US"/>
        </w:rPr>
        <w:t xml:space="preserve">«Рабочая документация» – </w:t>
      </w:r>
      <w:r>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highlight w:val="lightGray"/>
        </w:rPr>
        <w:t xml:space="preserve">одержащая: </w:t>
      </w:r>
    </w:p>
    <w:p>
      <w:pPr>
        <w:pStyle w:val="ListParagraph"/>
        <w:widowControl w:val="false"/>
        <w:numPr>
          <w:ilvl w:val="0"/>
          <w:numId w:val="8"/>
        </w:numPr>
        <w:shd w:val="clear" w:color="auto" w:fill="FFFFFF"/>
        <w:tabs>
          <w:tab w:val="clear" w:pos="709"/>
          <w:tab w:val="left" w:pos="567" w:leader="none"/>
          <w:tab w:val="left" w:pos="1134" w:leader="none"/>
        </w:tabs>
        <w:ind w:left="0" w:firstLine="709"/>
        <w:jc w:val="both"/>
        <w:textAlignment w:val="baseline"/>
        <w:rPr>
          <w:highlight w:val="lightGray"/>
          <w:lang w:eastAsia="en-US"/>
        </w:rPr>
      </w:pPr>
      <w:r>
        <w:rPr>
          <w:highlight w:val="lightGray"/>
          <w:lang w:eastAsia="en-US"/>
        </w:rPr>
        <w:t>рабочие чертежи основного комплекта, спецификации оборудования и изделий;</w:t>
      </w:r>
    </w:p>
    <w:p>
      <w:pPr>
        <w:pStyle w:val="ListParagraph"/>
        <w:widowControl w:val="false"/>
        <w:numPr>
          <w:ilvl w:val="0"/>
          <w:numId w:val="8"/>
        </w:numPr>
        <w:shd w:val="clear" w:color="auto" w:fill="FFFFFF"/>
        <w:tabs>
          <w:tab w:val="clear" w:pos="709"/>
          <w:tab w:val="left" w:pos="567" w:leader="none"/>
          <w:tab w:val="left" w:pos="1134" w:leader="none"/>
        </w:tabs>
        <w:ind w:left="0" w:firstLine="709"/>
        <w:jc w:val="both"/>
        <w:textAlignment w:val="baseline"/>
        <w:rPr>
          <w:highlight w:val="lightGray"/>
          <w:lang w:eastAsia="en-US"/>
        </w:rPr>
      </w:pPr>
      <w:r>
        <w:rPr>
          <w:highlight w:val="lightGray"/>
          <w:lang w:eastAsia="en-US"/>
        </w:rPr>
        <w:t>документы, разработанные в дополнение к рабочим чертежам основного комплекта.</w:t>
      </w:r>
    </w:p>
    <w:p>
      <w:pPr>
        <w:pStyle w:val="Normal"/>
        <w:widowControl w:val="false"/>
        <w:tabs>
          <w:tab w:val="clear" w:pos="709"/>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готовый к эксплуатации Объект, принятый Заказчиком в Гарантийную эксплуатацию по Акту КС-11, соответствующий требованиям, изложенным в Техническом задании (Приложение № 1 к Договору).</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«Скрытые работы»</w:t>
      </w:r>
      <w:r>
        <w:rPr>
          <w:b w:val="false"/>
          <w:sz w:val="24"/>
          <w:szCs w:val="24"/>
          <w:lang w:val="ru-RU" w:eastAsia="en-US"/>
        </w:rPr>
        <w:t xml:space="preserve"> – отдельные виды работ, оказывающие влияние на безопасность объекта капитального строительства, которые недоступны для визуальной оценки при сдаче Подрядчиком Результата Работ или Этапа Работ Заказчику, поскольку в соответствии с технологией контроль их качество и точность невозможно определить после выполнения последующих Работ.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pPr>
        <w:pStyle w:val="Normal"/>
        <w:spacing w:lineRule="auto" w:line="240"/>
        <w:ind w:firstLine="709"/>
        <w:rPr>
          <w:sz w:val="24"/>
          <w:szCs w:val="24"/>
          <w:lang w:val="x-none" w:eastAsia="en-US"/>
        </w:rPr>
      </w:pPr>
      <w:r>
        <w:rPr>
          <w:b/>
          <w:sz w:val="24"/>
          <w:szCs w:val="24"/>
          <w:lang w:eastAsia="en-US"/>
        </w:rPr>
        <w:t>«Субъект 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w:t>
      </w:r>
      <w:r>
        <w:rPr>
          <w:b w:val="false"/>
          <w:sz w:val="24"/>
          <w:szCs w:val="24"/>
          <w:highlight w:val="lightGray"/>
          <w:lang w:val="ru-RU" w:eastAsia="en-US"/>
        </w:rPr>
        <w:t>______________________.</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keepNext w:val="false"/>
        <w:widowControl w:val="false"/>
        <w:tabs>
          <w:tab w:val="clear" w:pos="709"/>
          <w:tab w:val="left" w:pos="567" w:leader="none"/>
        </w:tabs>
        <w:overflowPunct w:val="true"/>
        <w:spacing w:before="0" w:after="0"/>
        <w:ind w:firstLine="708"/>
        <w:jc w:val="both"/>
        <w:textAlignment w:val="baseline"/>
        <w:rPr/>
      </w:pPr>
      <w:r>
        <w:rPr>
          <w:color w:val="000000"/>
          <w:sz w:val="24"/>
          <w:szCs w:val="24"/>
          <w:lang w:val="ru-RU" w:eastAsia="en-US"/>
        </w:rPr>
        <w:t xml:space="preserve">«Универсальный передаточный документ», «УПД» </w:t>
      </w:r>
      <w:r>
        <w:rPr>
          <w:b w:val="false"/>
          <w:color w:val="000000"/>
          <w:sz w:val="24"/>
          <w:szCs w:val="24"/>
          <w:lang w:val="ru-RU" w:eastAsia="en-US"/>
        </w:rPr>
        <w:t>–</w:t>
      </w:r>
      <w:r>
        <w:rPr>
          <w:color w:val="000000"/>
          <w:sz w:val="24"/>
          <w:szCs w:val="24"/>
          <w:lang w:val="ru-RU" w:eastAsia="en-US"/>
        </w:rPr>
        <w:t xml:space="preserve"> </w:t>
      </w:r>
      <w:r>
        <w:rPr>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Heading3"/>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9"/>
          <w:tab w:val="left" w:pos="567" w:leader="none"/>
        </w:tabs>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spacing w:lineRule="auto" w:line="240"/>
        <w:rPr>
          <w:sz w:val="24"/>
          <w:szCs w:val="24"/>
          <w:lang w:val="x-none" w:eastAsia="x-none"/>
        </w:rPr>
      </w:pPr>
      <w:r>
        <w:rPr>
          <w:sz w:val="24"/>
          <w:szCs w:val="24"/>
          <w:lang w:val="x-none" w:eastAsia="x-none"/>
        </w:rPr>
      </w:r>
    </w:p>
    <w:p>
      <w:pPr>
        <w:pStyle w:val="Normal"/>
        <w:spacing w:lineRule="auto" w:line="240"/>
        <w:rPr>
          <w:sz w:val="24"/>
          <w:szCs w:val="24"/>
          <w:lang w:val="x-none" w:eastAsia="x-none"/>
        </w:rPr>
      </w:pPr>
      <w:r>
        <w:rPr>
          <w:sz w:val="24"/>
          <w:szCs w:val="24"/>
          <w:lang w:val="x-none" w:eastAsia="x-none"/>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Предмет Договора</w:t>
      </w:r>
    </w:p>
    <w:p>
      <w:pPr>
        <w:pStyle w:val="ListParagraph"/>
        <w:numPr>
          <w:ilvl w:val="1"/>
          <w:numId w:val="4"/>
        </w:numPr>
        <w:shd w:val="clear" w:color="auto" w:fill="FFFFFF"/>
        <w:tabs>
          <w:tab w:val="clear" w:pos="709"/>
          <w:tab w:val="left" w:pos="1134" w:leader="none"/>
        </w:tabs>
        <w:ind w:left="0" w:firstLine="709"/>
        <w:jc w:val="both"/>
        <w:rPr>
          <w:bCs/>
        </w:rPr>
      </w:pPr>
      <w:bookmarkStart w:id="2" w:name="_Ref361410951"/>
      <w:r>
        <w:rPr>
          <w:bCs/>
        </w:rPr>
        <w:t xml:space="preserve">Подрядчик обязуется по заданию Заказчика в соответствии с Техническим заданием (Приложение № 1 к Договору) выполнить работы по </w:t>
      </w:r>
      <w:r>
        <w:rPr>
          <w:bCs/>
          <w:i/>
          <w:highlight w:val="lightGray"/>
        </w:rPr>
        <w:t>[модернизации / реконструкции / техническому перевооружению_____________]</w:t>
      </w:r>
      <w:r>
        <w:rPr>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2"/>
    </w:p>
    <w:p>
      <w:pPr>
        <w:pStyle w:val="ListParagraph"/>
        <w:numPr>
          <w:ilvl w:val="1"/>
          <w:numId w:val="4"/>
        </w:numPr>
        <w:shd w:val="clear" w:color="auto" w:fill="FFFFFF"/>
        <w:tabs>
          <w:tab w:val="clear" w:pos="709"/>
          <w:tab w:val="left" w:pos="1134" w:leader="none"/>
        </w:tabs>
        <w:ind w:left="0" w:firstLine="709"/>
        <w:jc w:val="both"/>
        <w:rPr>
          <w:bCs/>
        </w:rPr>
      </w:pPr>
      <w:r>
        <w:rPr>
          <w:bCs/>
        </w:rPr>
        <w:t>В состав Работ по Договору входят</w:t>
      </w:r>
      <w:r>
        <w:rPr>
          <w:rStyle w:val="FootnoteReference"/>
          <w:bCs/>
        </w:rPr>
        <w:footnoteReference w:id="2"/>
      </w:r>
      <w:r>
        <w:rPr>
          <w:bCs/>
        </w:rPr>
        <w:t>:</w:t>
      </w:r>
    </w:p>
    <w:p>
      <w:pPr>
        <w:pStyle w:val="ListParagraph"/>
        <w:numPr>
          <w:ilvl w:val="2"/>
          <w:numId w:val="4"/>
        </w:numPr>
        <w:shd w:val="clear" w:color="auto" w:fill="FFFFFF"/>
        <w:tabs>
          <w:tab w:val="clear" w:pos="709"/>
          <w:tab w:val="left" w:pos="1418" w:leader="none"/>
        </w:tabs>
        <w:ind w:left="0" w:firstLine="709"/>
        <w:jc w:val="both"/>
        <w:rPr>
          <w:bCs/>
          <w:highlight w:val="lightGray"/>
        </w:rPr>
      </w:pPr>
      <w:r>
        <w:rPr>
          <w:bCs/>
          <w:highlight w:val="lightGray"/>
        </w:rPr>
        <w:t>Пуско-наладочные работы, шеф-наладка.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w:t>
      </w:r>
      <w:r>
        <w:rPr>
          <w:bCs/>
          <w:highlight w:val="lightGray"/>
        </w:rPr>
        <w:t>и Рабочей</w:t>
      </w:r>
      <w:r>
        <w:rPr>
          <w:bCs/>
        </w:rPr>
        <w:t xml:space="preserve"> документацией, требованиями Применимого права и указаниями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Работы по Договору выполняются для нужд </w:t>
      </w:r>
      <w:r>
        <w:rPr>
          <w:bCs/>
          <w:highlight w:val="lightGray"/>
        </w:rPr>
        <w:t>_________________</w:t>
      </w:r>
      <w:r>
        <w:rPr>
          <w:bCs/>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Место выполнения Работ: </w:t>
      </w:r>
      <w:r>
        <w:rPr>
          <w:bCs/>
          <w:highlight w:val="lightGray"/>
        </w:rPr>
        <w:t>_______________</w:t>
      </w:r>
      <w:r>
        <w:rPr/>
        <w:t>.</w:t>
      </w:r>
    </w:p>
    <w:p>
      <w:pPr>
        <w:pStyle w:val="ListParagraph"/>
        <w:numPr>
          <w:ilvl w:val="1"/>
          <w:numId w:val="4"/>
        </w:numPr>
        <w:shd w:val="clear" w:color="auto" w:fill="FFFFFF"/>
        <w:tabs>
          <w:tab w:val="clear" w:pos="709"/>
          <w:tab w:val="left" w:pos="1134" w:leader="none"/>
        </w:tabs>
        <w:ind w:left="0" w:firstLine="709"/>
        <w:jc w:val="both"/>
        <w:rPr>
          <w:bCs/>
        </w:rPr>
      </w:pPr>
      <w:bookmarkStart w:id="3" w:name="_Ref361320424"/>
      <w:r>
        <w:rPr>
          <w:bCs/>
        </w:rPr>
        <w:t>Работы выполняются Подрядчиком в следующие сроки:</w:t>
      </w:r>
      <w:bookmarkEnd w:id="3"/>
    </w:p>
    <w:p>
      <w:pPr>
        <w:pStyle w:val="ListParagraph"/>
        <w:numPr>
          <w:ilvl w:val="2"/>
          <w:numId w:val="4"/>
        </w:numPr>
        <w:shd w:val="clear" w:color="auto" w:fill="FFFFFF"/>
        <w:tabs>
          <w:tab w:val="clear" w:pos="709"/>
          <w:tab w:val="left" w:pos="1418" w:leader="none"/>
        </w:tabs>
        <w:ind w:left="0" w:firstLine="709"/>
        <w:jc w:val="both"/>
        <w:rPr/>
      </w:pPr>
      <w:r>
        <w:rPr>
          <w:bCs/>
        </w:rPr>
        <w:t xml:space="preserve">начало выполнения Работ: </w:t>
      </w:r>
      <w:r>
        <w:rPr>
          <w:highlight w:val="lightGray"/>
        </w:rPr>
        <w:t>«_____» _________ 20 __ г. / с даты, следующей за датой заключения Договора</w:t>
      </w:r>
      <w:r>
        <w:rPr/>
        <w:t>;</w:t>
      </w:r>
    </w:p>
    <w:p>
      <w:pPr>
        <w:pStyle w:val="ListParagraph"/>
        <w:numPr>
          <w:ilvl w:val="2"/>
          <w:numId w:val="4"/>
        </w:numPr>
        <w:shd w:val="clear" w:color="auto" w:fill="FFFFFF"/>
        <w:tabs>
          <w:tab w:val="clear" w:pos="709"/>
          <w:tab w:val="left" w:pos="1418" w:leader="none"/>
        </w:tabs>
        <w:ind w:left="0" w:firstLine="709"/>
        <w:jc w:val="both"/>
        <w:rPr/>
      </w:pPr>
      <w:r>
        <w:rPr>
          <w:bCs/>
        </w:rPr>
        <w:t xml:space="preserve">окончание выполнения Работ: </w:t>
      </w:r>
      <w:r>
        <w:rPr>
          <w:highlight w:val="lightGray"/>
        </w:rPr>
        <w:t>«_____» _________ 20__ г. / __________________ месяцев с даты, следующей за датой начала выполнения Работ по Договору</w:t>
      </w:r>
      <w:r>
        <w:rPr/>
        <w:t>.</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Работы, указанные в </w:t>
      </w:r>
      <w:r>
        <w:rPr/>
        <w:t>пункте 1.1</w:t>
      </w:r>
      <w:r>
        <w:rPr>
          <w:bCs/>
        </w:rPr>
        <w:t xml:space="preserve"> Договора, подлежат выполнению в отношении Объектов, указанных в Приложении № 2 к Договору.</w:t>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4"/>
        </w:numPr>
        <w:shd w:val="clear" w:color="auto" w:fill="FFFFFF"/>
        <w:tabs>
          <w:tab w:val="clear" w:pos="709"/>
          <w:tab w:val="left" w:pos="284" w:leader="none"/>
        </w:tabs>
        <w:ind w:left="0" w:hanging="0"/>
        <w:jc w:val="center"/>
        <w:rPr>
          <w:b/>
          <w:bCs/>
        </w:rPr>
      </w:pPr>
      <w:r>
        <w:rPr>
          <w:b/>
          <w:bCs/>
        </w:rPr>
        <w:t xml:space="preserve">Права и обязанности Сторон </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обязан</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4"/>
        </w:numPr>
        <w:shd w:val="clear" w:color="auto" w:fill="FFFFFF"/>
        <w:tabs>
          <w:tab w:val="clear" w:pos="709"/>
          <w:tab w:val="left" w:pos="1418" w:leader="none"/>
        </w:tabs>
        <w:ind w:left="0" w:firstLine="709"/>
        <w:jc w:val="both"/>
        <w:rPr/>
      </w:pPr>
      <w:bookmarkStart w:id="4" w:name="_Ref361396847"/>
      <w:bookmarkStart w:id="5" w:name="_Ref361320734"/>
      <w:bookmarkStart w:id="6" w:name="_Ref361401696"/>
      <w:bookmarkEnd w:id="4"/>
      <w:bookmarkEnd w:id="5"/>
      <w:bookmarkEnd w:id="6"/>
      <w:r>
        <w:rPr>
          <w:bCs/>
        </w:rPr>
        <w:t xml:space="preserve">В течение </w:t>
      </w:r>
      <w:r>
        <w:rPr>
          <w:bCs/>
          <w:highlight w:val="lightGray"/>
        </w:rPr>
        <w:t>3 (трех)</w:t>
      </w:r>
      <w:r>
        <w:rPr>
          <w:bCs/>
        </w:rPr>
        <w:t xml:space="preserve">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9"/>
        </w:numPr>
        <w:shd w:val="clear" w:color="auto" w:fill="FFFFFF"/>
        <w:tabs>
          <w:tab w:val="left" w:pos="709" w:leader="none"/>
          <w:tab w:val="left" w:pos="1418" w:leader="none"/>
        </w:tabs>
        <w:ind w:left="0" w:firstLine="709"/>
        <w:jc w:val="both"/>
        <w:rPr/>
      </w:pPr>
      <w:r>
        <w:rPr/>
        <w:t>место производства Работ по соответствующим актам сдачи-приемки (Приложение № 5.1 к Договору);</w:t>
      </w:r>
    </w:p>
    <w:p>
      <w:pPr>
        <w:pStyle w:val="ListParagraph"/>
        <w:numPr>
          <w:ilvl w:val="0"/>
          <w:numId w:val="9"/>
        </w:numPr>
        <w:shd w:val="clear" w:color="auto" w:fill="FFFFFF"/>
        <w:tabs>
          <w:tab w:val="left" w:pos="709" w:leader="none"/>
          <w:tab w:val="left" w:pos="1418" w:leader="none"/>
        </w:tabs>
        <w:ind w:left="0" w:firstLine="709"/>
        <w:jc w:val="both"/>
        <w:rPr/>
      </w:pPr>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rPr/>
        <w:t xml:space="preserve"> </w:t>
      </w:r>
    </w:p>
    <w:p>
      <w:pPr>
        <w:pStyle w:val="PlainText"/>
        <w:numPr>
          <w:ilvl w:val="2"/>
          <w:numId w:val="4"/>
        </w:numPr>
        <w:ind w:left="0" w:firstLine="709"/>
        <w:jc w:val="both"/>
        <w:rPr>
          <w:rFonts w:ascii="Times New Roman" w:hAnsi="Times New Roman" w:cs="Times New Roman"/>
          <w:sz w:val="24"/>
          <w:szCs w:val="24"/>
        </w:rPr>
      </w:pPr>
      <w:bookmarkStart w:id="7" w:name="_Ref361396847"/>
      <w:bookmarkStart w:id="8" w:name="_Ref361320734"/>
      <w:bookmarkStart w:id="9" w:name="_Ref361401696"/>
      <w:bookmarkEnd w:id="7"/>
      <w:bookmarkEnd w:id="8"/>
      <w:bookmarkEnd w:id="9"/>
      <w:r>
        <w:rPr>
          <w:rFonts w:cs="Times New Roman" w:ascii="Times New Roman" w:hAnsi="Times New Roman"/>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shd w:val="clear" w:color="auto" w:fill="FFFFFF"/>
        <w:tabs>
          <w:tab w:val="left" w:pos="709" w:leader="none"/>
          <w:tab w:val="left" w:pos="1418" w:leader="none"/>
        </w:tabs>
        <w:spacing w:lineRule="auto" w:line="240"/>
        <w:ind w:firstLine="709"/>
        <w:rPr>
          <w:bCs/>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18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4"/>
        </w:numPr>
        <w:shd w:val="clear" w:color="auto" w:fill="FFFFFF"/>
        <w:tabs>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4"/>
        </w:numPr>
        <w:tabs>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4"/>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Normal"/>
        <w:tabs>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Круглосуточно осуществлять доступ к месту производства Работ, месту (помещению) для складирования Материально-технических ресурсов и оборудования</w:t>
      </w:r>
      <w:r>
        <w:rPr>
          <w:bCs/>
          <w:highlight w:val="lightGray"/>
        </w:rPr>
        <w:t>.</w:t>
      </w:r>
      <w:r>
        <w:rPr>
          <w:bCs/>
        </w:rPr>
        <w:t xml:space="preserve"> В случае предоставления Подрядчику отдельного помещения для складирования Материально-технических ресурсов и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4"/>
        </w:numPr>
        <w:shd w:val="clear" w:color="auto" w:fill="FFFFFF"/>
        <w:tabs>
          <w:tab w:val="clear" w:pos="709"/>
          <w:tab w:val="left" w:pos="1418" w:leader="none"/>
        </w:tabs>
        <w:ind w:left="0" w:firstLine="709"/>
        <w:jc w:val="both"/>
        <w:rPr>
          <w:bCs/>
        </w:rPr>
      </w:pPr>
      <w:bookmarkStart w:id="10" w:name="_Ref361334652"/>
      <w:r>
        <w:rPr>
          <w:bCs/>
        </w:rPr>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w:t>
      </w:r>
      <w:r>
        <w:rPr>
          <w:bCs/>
          <w:highlight w:val="lightGray"/>
        </w:rPr>
        <w:t>Рабочей</w:t>
      </w:r>
      <w:r>
        <w:rPr>
          <w:bCs/>
        </w:rPr>
        <w:t xml:space="preserve">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10"/>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bookmarkStart w:id="11"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11"/>
    </w:p>
    <w:p>
      <w:pPr>
        <w:pStyle w:val="ListParagraph"/>
        <w:numPr>
          <w:ilvl w:val="2"/>
          <w:numId w:val="4"/>
        </w:numPr>
        <w:shd w:val="clear" w:color="auto" w:fill="FFFFFF"/>
        <w:tabs>
          <w:tab w:val="clear" w:pos="709"/>
          <w:tab w:val="left" w:pos="1418" w:leader="none"/>
        </w:tabs>
        <w:ind w:left="0" w:firstLine="709"/>
        <w:jc w:val="both"/>
        <w:rPr>
          <w:bCs/>
        </w:rPr>
      </w:pPr>
      <w:bookmarkStart w:id="12"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12"/>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4"/>
        </w:numPr>
        <w:shd w:val="clear" w:color="auto" w:fill="FFFFFF"/>
        <w:tabs>
          <w:tab w:val="clear" w:pos="709"/>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4"/>
        </w:numPr>
        <w:shd w:val="clear" w:color="auto" w:fill="FFFFFF"/>
        <w:tabs>
          <w:tab w:val="clear" w:pos="709"/>
          <w:tab w:val="left" w:pos="567" w:leader="none"/>
          <w:tab w:val="left" w:pos="1418" w:leader="none"/>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clear" w:pos="709"/>
          <w:tab w:val="left" w:pos="567" w:leader="none"/>
          <w:tab w:val="left" w:pos="1418" w:leader="none"/>
        </w:tabs>
        <w:ind w:left="0" w:firstLine="709"/>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shd w:val="clear" w:color="auto" w:fill="FFFFFF"/>
        <w:tabs>
          <w:tab w:val="clear" w:pos="709"/>
          <w:tab w:val="left" w:pos="567" w:leader="none"/>
        </w:tabs>
        <w:ind w:left="0" w:firstLine="567"/>
        <w:jc w:val="both"/>
        <w:rPr>
          <w:bCs/>
          <w:color w:val="FF0000"/>
        </w:rPr>
      </w:pPr>
      <w:r>
        <w:rPr>
          <w:bCs/>
          <w:color w:val="FF0000"/>
        </w:rPr>
      </w:r>
    </w:p>
    <w:p>
      <w:pPr>
        <w:pStyle w:val="ListParagraph"/>
        <w:numPr>
          <w:ilvl w:val="1"/>
          <w:numId w:val="4"/>
        </w:numPr>
        <w:shd w:val="clear" w:color="auto" w:fill="FFFFFF"/>
        <w:tabs>
          <w:tab w:val="clear" w:pos="709"/>
          <w:tab w:val="left" w:pos="1134" w:leader="none"/>
        </w:tabs>
        <w:ind w:left="0" w:firstLine="567"/>
        <w:jc w:val="both"/>
        <w:rPr>
          <w:bCs/>
        </w:rPr>
      </w:pPr>
      <w:r>
        <w:rPr>
          <w:bCs/>
          <w:u w:val="single"/>
        </w:rPr>
        <w:t>Подрядчик обязан</w:t>
      </w:r>
      <w:r>
        <w:rPr>
          <w:bCs/>
        </w:rPr>
        <w:t>:</w:t>
      </w:r>
    </w:p>
    <w:p>
      <w:pPr>
        <w:pStyle w:val="ListParagraph"/>
        <w:numPr>
          <w:ilvl w:val="2"/>
          <w:numId w:val="4"/>
        </w:numPr>
        <w:shd w:val="clear" w:color="auto" w:fill="FFFFFF"/>
        <w:tabs>
          <w:tab w:val="clear" w:pos="709"/>
          <w:tab w:val="left" w:pos="1418" w:leader="none"/>
        </w:tabs>
        <w:ind w:left="0" w:firstLine="567"/>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4"/>
        </w:numPr>
        <w:shd w:val="clear" w:color="auto" w:fill="FFFFFF"/>
        <w:tabs>
          <w:tab w:val="clear" w:pos="709"/>
          <w:tab w:val="left" w:pos="1418" w:leader="none"/>
        </w:tabs>
        <w:ind w:left="0" w:firstLine="567"/>
        <w:jc w:val="both"/>
        <w:rPr>
          <w:bCs/>
        </w:rPr>
      </w:pPr>
      <w:r>
        <w:rPr>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20"/>
        </w:numPr>
        <w:shd w:val="clear" w:color="auto" w:fill="FFFFFF"/>
        <w:tabs>
          <w:tab w:val="clear" w:pos="709"/>
          <w:tab w:val="left" w:pos="1418" w:leader="none"/>
        </w:tabs>
        <w:ind w:left="0" w:firstLine="709"/>
        <w:jc w:val="both"/>
        <w:rPr>
          <w:bCs/>
        </w:rPr>
      </w:pPr>
      <w:r>
        <w:rPr>
          <w:bCs/>
        </w:rPr>
        <w:t>место производства Работ</w:t>
      </w:r>
      <w:r>
        <w:rPr>
          <w:bCs/>
          <w:color w:val="FF0000"/>
        </w:rPr>
        <w:t xml:space="preserve"> </w:t>
      </w:r>
      <w:r>
        <w:rPr>
          <w:bCs/>
        </w:rPr>
        <w:t>по соответствующим актам сдачи-приемки (Приложение № 5.1 к Договору);</w:t>
      </w:r>
    </w:p>
    <w:p>
      <w:pPr>
        <w:pStyle w:val="ListParagraph"/>
        <w:numPr>
          <w:ilvl w:val="0"/>
          <w:numId w:val="20"/>
        </w:numPr>
        <w:shd w:val="clear" w:color="auto" w:fill="FFFFFF"/>
        <w:tabs>
          <w:tab w:val="clear" w:pos="709"/>
          <w:tab w:val="left" w:pos="1418" w:leader="none"/>
        </w:tabs>
        <w:ind w:left="0" w:firstLine="709"/>
        <w:jc w:val="both"/>
        <w:rPr/>
      </w:pPr>
      <w:r>
        <w:rPr>
          <w:bCs/>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2"/>
          <w:numId w:val="4"/>
        </w:numPr>
        <w:shd w:val="clear" w:color="auto" w:fill="FFFFFF"/>
        <w:tabs>
          <w:tab w:val="clear" w:pos="709"/>
          <w:tab w:val="left" w:pos="1418" w:leader="none"/>
        </w:tabs>
        <w:ind w:left="0" w:firstLine="567"/>
        <w:jc w:val="both"/>
        <w:rPr>
          <w:bCs/>
        </w:rPr>
      </w:pPr>
      <w:r>
        <w:rPr>
          <w:bCs/>
        </w:rPr>
        <w:t xml:space="preserve">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w:t>
      </w:r>
    </w:p>
    <w:p>
      <w:pPr>
        <w:pStyle w:val="ListParagraph"/>
        <w:shd w:val="clear" w:color="auto" w:fill="FFFFFF"/>
        <w:tabs>
          <w:tab w:val="clear" w:pos="709"/>
          <w:tab w:val="left" w:pos="1418" w:leader="none"/>
        </w:tabs>
        <w:ind w:left="0" w:firstLine="567"/>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4"/>
        </w:numPr>
        <w:shd w:val="clear" w:color="auto" w:fill="FFFFFF"/>
        <w:tabs>
          <w:tab w:val="clear" w:pos="709"/>
          <w:tab w:val="left" w:pos="1418" w:leader="none"/>
        </w:tabs>
        <w:ind w:left="0" w:firstLine="567"/>
        <w:jc w:val="both"/>
        <w:rPr>
          <w:bCs/>
        </w:rPr>
      </w:pPr>
      <w:r>
        <w:rPr>
          <w:bCs/>
        </w:rPr>
        <w:t xml:space="preserve">Выдать замечания в отношении технической и иной документации, предоставленной Заказчиком, в течение </w:t>
      </w:r>
      <w:r>
        <w:rPr>
          <w:bCs/>
          <w:highlight w:val="lightGray"/>
        </w:rPr>
        <w:t>5 (пяти)</w:t>
      </w:r>
      <w:r>
        <w:rPr>
          <w:bCs/>
        </w:rPr>
        <w:t xml:space="preserve">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4"/>
        </w:numPr>
        <w:shd w:val="clear" w:color="auto" w:fill="FFFFFF"/>
        <w:tabs>
          <w:tab w:val="clear" w:pos="709"/>
          <w:tab w:val="left" w:pos="1418" w:leader="none"/>
        </w:tabs>
        <w:ind w:left="0" w:firstLine="709"/>
        <w:jc w:val="both"/>
        <w:rPr>
          <w:bCs/>
        </w:rPr>
      </w:pPr>
      <w:r>
        <w:rPr>
          <w:bCs/>
        </w:rPr>
        <w:t>До фактического начала выполнения Работ предоставить Заказчику:</w:t>
      </w:r>
    </w:p>
    <w:p>
      <w:pPr>
        <w:pStyle w:val="ListParagraph"/>
        <w:numPr>
          <w:ilvl w:val="0"/>
          <w:numId w:val="16"/>
        </w:numPr>
        <w:shd w:val="clear" w:color="auto" w:fill="FFFFFF"/>
        <w:tabs>
          <w:tab w:val="clear" w:pos="709"/>
          <w:tab w:val="left" w:pos="1418" w:leader="none"/>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6"/>
        </w:numPr>
        <w:shd w:val="clear" w:color="auto" w:fill="FFFFFF"/>
        <w:tabs>
          <w:tab w:val="left" w:pos="709"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6"/>
        </w:numPr>
        <w:shd w:val="clear" w:color="auto" w:fill="FFFFFF"/>
        <w:tabs>
          <w:tab w:val="left" w:pos="709" w:leader="none"/>
        </w:tabs>
        <w:ind w:left="0" w:firstLine="709"/>
        <w:jc w:val="both"/>
        <w:rPr>
          <w:bCs/>
        </w:rPr>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t>соответствующим актам сдачи-приемки (Приложение № 5.1 к Договору) в соответствии с пунктами 2.1.2 и 2.1.3 Договора.</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 не позднее 3 (трех) рабочих дней с даты получения соответствующего требования Заказчика. </w:t>
      </w:r>
    </w:p>
    <w:p>
      <w:pPr>
        <w:pStyle w:val="ListParagraph"/>
        <w:numPr>
          <w:ilvl w:val="2"/>
          <w:numId w:val="4"/>
        </w:numPr>
        <w:shd w:val="clear" w:color="auto" w:fill="FFFFFF"/>
        <w:tabs>
          <w:tab w:val="clear" w:pos="709"/>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9"/>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наступления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6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9"/>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9"/>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4"/>
        </w:numPr>
        <w:shd w:val="clear" w:color="auto" w:fill="FFFFFF"/>
        <w:tabs>
          <w:tab w:val="clear" w:pos="709"/>
          <w:tab w:val="left" w:pos="1418" w:leader="none"/>
        </w:tabs>
        <w:ind w:left="0" w:firstLine="709"/>
        <w:jc w:val="both"/>
        <w:rPr/>
      </w:pPr>
      <w:r>
        <w:rPr/>
        <w:t>Обеспечить:</w:t>
      </w:r>
    </w:p>
    <w:p>
      <w:pPr>
        <w:pStyle w:val="ListParagraph"/>
        <w:numPr>
          <w:ilvl w:val="0"/>
          <w:numId w:val="17"/>
        </w:numPr>
        <w:shd w:val="clear" w:color="auto" w:fill="FFFFFF"/>
        <w:tabs>
          <w:tab w:val="clear" w:pos="709"/>
          <w:tab w:val="left" w:pos="567" w:leader="none"/>
        </w:tabs>
        <w:ind w:left="0" w:firstLine="709"/>
        <w:jc w:val="both"/>
        <w:rPr>
          <w:bCs/>
        </w:rPr>
      </w:pPr>
      <w:r>
        <w:rPr>
          <w:bCs/>
        </w:rPr>
        <w:t xml:space="preserve">участие в саморегулируемой организации, основанной на членстве лиц, </w:t>
      </w:r>
      <w:r>
        <w:rPr>
          <w:highlight w:val="lightGray"/>
        </w:rPr>
        <w:t>осуществляющих строительство</w:t>
      </w:r>
      <w:r>
        <w:rPr>
          <w:bCs/>
        </w:rPr>
        <w:t xml:space="preserve"> (с учетом исключений, предусмотренных законодательством Российской Федерации</w:t>
      </w:r>
      <w:r>
        <w:rPr>
          <w:rStyle w:val="FootnoteReference"/>
          <w:bCs/>
        </w:rPr>
        <w:footnoteReference w:id="3"/>
      </w:r>
      <w:r>
        <w:rPr>
          <w:bCs/>
        </w:rPr>
        <w:t>);</w:t>
      </w:r>
    </w:p>
    <w:p>
      <w:pPr>
        <w:pStyle w:val="ListParagraph"/>
        <w:numPr>
          <w:ilvl w:val="0"/>
          <w:numId w:val="17"/>
        </w:numPr>
        <w:shd w:val="clear" w:color="auto" w:fill="FFFFFF"/>
        <w:tabs>
          <w:tab w:val="clear" w:pos="709"/>
          <w:tab w:val="left" w:pos="567" w:leader="none"/>
          <w:tab w:val="left" w:pos="1418"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7"/>
        </w:numPr>
        <w:tabs>
          <w:tab w:val="clear" w:pos="709"/>
          <w:tab w:val="left" w:pos="567" w:leader="none"/>
        </w:tabs>
        <w:ind w:left="0" w:firstLine="709"/>
        <w:jc w:val="both"/>
        <w:rPr>
          <w:bCs/>
        </w:rPr>
      </w:pPr>
      <w:r>
        <w:rPr>
          <w:bCs/>
        </w:rPr>
        <w:t xml:space="preserve">организацию выполнения Работ по Договору лицом (лицами), сведения о которых включены в </w:t>
      </w:r>
      <w:r>
        <w:rPr>
          <w:bCs/>
          <w:highlight w:val="lightGray"/>
        </w:rPr>
        <w:t>Национальный реестр специалистов в области строительства</w:t>
      </w:r>
      <w:r>
        <w:rPr>
          <w:bCs/>
        </w:rPr>
        <w:t>.</w:t>
      </w:r>
    </w:p>
    <w:p>
      <w:pPr>
        <w:pStyle w:val="ListParagraph"/>
        <w:numPr>
          <w:ilvl w:val="2"/>
          <w:numId w:val="4"/>
        </w:numPr>
        <w:shd w:val="clear" w:color="auto" w:fill="FFFFFF"/>
        <w:tabs>
          <w:tab w:val="clear" w:pos="709"/>
          <w:tab w:val="left" w:pos="1418" w:leader="none"/>
        </w:tabs>
        <w:ind w:left="0" w:firstLine="710"/>
        <w:jc w:val="both"/>
        <w:rPr>
          <w:bCs/>
        </w:rPr>
      </w:pPr>
      <w:r>
        <w:rPr/>
        <w:t>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4"/>
        </w:numPr>
        <w:shd w:val="clear" w:color="auto" w:fill="FFFFFF"/>
        <w:tabs>
          <w:tab w:val="clear" w:pos="709"/>
          <w:tab w:val="left" w:pos="1418" w:leader="none"/>
        </w:tabs>
        <w:ind w:left="0" w:firstLine="709"/>
        <w:jc w:val="both"/>
        <w:rPr>
          <w:bCs/>
        </w:rPr>
      </w:pPr>
      <w:r>
        <w:rPr>
          <w:bCs/>
        </w:rPr>
        <w:t>Обеспечить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4"/>
        </w:numPr>
        <w:shd w:val="clear" w:color="auto" w:fill="FFFFFF"/>
        <w:tabs>
          <w:tab w:val="clear" w:pos="709"/>
          <w:tab w:val="left" w:pos="1418" w:leader="none"/>
        </w:tabs>
        <w:ind w:left="0" w:firstLine="710"/>
        <w:jc w:val="both"/>
        <w:rPr>
          <w:bCs/>
        </w:rPr>
      </w:pPr>
      <w:r>
        <w:rPr>
          <w:bCs/>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9"/>
          <w:tab w:val="left" w:pos="1418" w:leader="none"/>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9"/>
          <w:tab w:val="left" w:pos="1418" w:leader="none"/>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4"/>
        </w:numPr>
        <w:shd w:val="clear" w:color="auto" w:fill="FFFFFF"/>
        <w:tabs>
          <w:tab w:val="clear" w:pos="709"/>
          <w:tab w:val="left" w:pos="1418" w:leader="none"/>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9"/>
          <w:tab w:val="left" w:pos="1418" w:leader="none"/>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w:t>
      </w:r>
      <w:r>
        <w:rPr>
          <w:bCs/>
        </w:rPr>
        <w:t>накопления</w:t>
      </w:r>
      <w:r>
        <w:rPr>
          <w:bCs/>
        </w:rPr>
        <w:t>.</w:t>
      </w:r>
    </w:p>
    <w:p>
      <w:pPr>
        <w:pStyle w:val="ListParagraph"/>
        <w:numPr>
          <w:ilvl w:val="2"/>
          <w:numId w:val="4"/>
        </w:numPr>
        <w:shd w:val="clear" w:color="auto" w:fill="FFFFFF"/>
        <w:tabs>
          <w:tab w:val="clear" w:pos="709"/>
          <w:tab w:val="left" w:pos="1418" w:leader="none"/>
        </w:tabs>
        <w:ind w:left="0" w:firstLine="710"/>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9"/>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w:t>
      </w:r>
      <w:r>
        <w:rPr>
          <w:bCs/>
          <w:sz w:val="24"/>
          <w:szCs w:val="24"/>
        </w:rPr>
        <w:t>0</w:t>
      </w:r>
      <w:r>
        <w:rPr>
          <w:bCs/>
          <w:sz w:val="24"/>
          <w:szCs w:val="24"/>
        </w:rPr>
        <w:t xml:space="preserve">.1 Договора. </w:t>
      </w:r>
    </w:p>
    <w:p>
      <w:pPr>
        <w:pStyle w:val="ListParagraph"/>
        <w:shd w:val="clear" w:color="auto" w:fill="FFFFFF"/>
        <w:tabs>
          <w:tab w:val="clear" w:pos="709"/>
          <w:tab w:val="left" w:pos="1418" w:leader="none"/>
        </w:tabs>
        <w:ind w:left="0" w:firstLine="709"/>
        <w:jc w:val="both"/>
        <w:rPr>
          <w:bCs/>
        </w:rPr>
      </w:pPr>
      <w:r>
        <w:rPr>
          <w:bCs/>
        </w:rPr>
        <w:t>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w:t>
      </w:r>
      <w:r>
        <w:rPr>
          <w:bCs/>
        </w:rPr>
        <w:t>0</w:t>
      </w:r>
      <w:r>
        <w:rPr>
          <w:bCs/>
        </w:rPr>
        <w:t xml:space="preserve">.1 Договора. </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4"/>
        </w:numPr>
        <w:shd w:val="clear" w:color="auto" w:fill="FFFFFF"/>
        <w:tabs>
          <w:tab w:val="clear" w:pos="709"/>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4"/>
        </w:numPr>
        <w:shd w:val="clear" w:color="auto" w:fill="FFFFFF"/>
        <w:tabs>
          <w:tab w:val="clear" w:pos="709"/>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4"/>
        </w:numPr>
        <w:shd w:val="clear" w:color="auto" w:fill="FFFFFF"/>
        <w:tabs>
          <w:tab w:val="clear" w:pos="709"/>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9"/>
          <w:tab w:val="left" w:pos="567" w:leader="none"/>
        </w:tabs>
        <w:ind w:left="0" w:firstLine="709"/>
        <w:jc w:val="both"/>
        <w:rPr>
          <w:bCs/>
        </w:rPr>
      </w:pPr>
      <w:r>
        <w:rPr>
          <w:bCs/>
        </w:rPr>
        <w:t>Невыполнение Подрядчиком требований пункта 2.3.2</w:t>
      </w:r>
      <w:r>
        <w:rPr>
          <w:bCs/>
        </w:rPr>
        <w:t>0</w:t>
      </w:r>
      <w:r>
        <w:rPr>
          <w:bCs/>
        </w:rPr>
        <w:t xml:space="preserve">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8"/>
        </w:numPr>
        <w:ind w:left="0" w:right="23" w:firstLine="709"/>
        <w:jc w:val="both"/>
        <w:rPr/>
      </w:pPr>
      <w:r>
        <w:rPr/>
        <w:t>аварии – в течение 2 (двух) часов;</w:t>
      </w:r>
    </w:p>
    <w:p>
      <w:pPr>
        <w:pStyle w:val="ListParagraph"/>
        <w:numPr>
          <w:ilvl w:val="0"/>
          <w:numId w:val="18"/>
        </w:numPr>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8"/>
        </w:numPr>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8"/>
        </w:numPr>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8"/>
        </w:numPr>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8"/>
        </w:numPr>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4"/>
        </w:numPr>
        <w:shd w:val="clear" w:color="auto" w:fill="FFFFFF"/>
        <w:tabs>
          <w:tab w:val="clear" w:pos="709"/>
          <w:tab w:val="left" w:pos="1418" w:leader="none"/>
        </w:tabs>
        <w:ind w:left="0" w:firstLine="709"/>
        <w:jc w:val="both"/>
        <w:rPr/>
      </w:pPr>
      <w: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5.1 к Договору).</w:t>
      </w:r>
    </w:p>
    <w:p>
      <w:pPr>
        <w:pStyle w:val="ListParagraph"/>
        <w:numPr>
          <w:ilvl w:val="2"/>
          <w:numId w:val="4"/>
        </w:numPr>
        <w:shd w:val="clear" w:color="auto" w:fill="FFFFFF"/>
        <w:tabs>
          <w:tab w:val="clear" w:pos="709"/>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9"/>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4"/>
        </w:numPr>
        <w:shd w:val="clear" w:color="auto" w:fill="FFFFFF"/>
        <w:tabs>
          <w:tab w:val="clear" w:pos="709"/>
          <w:tab w:val="left" w:pos="1418" w:leader="none"/>
        </w:tabs>
        <w:ind w:left="0" w:firstLine="709"/>
        <w:jc w:val="both"/>
        <w:rPr>
          <w:bCs/>
        </w:rPr>
      </w:pPr>
      <w:r>
        <w:rPr/>
        <w:t xml:space="preserve">Письменно уведомлять Заказчика о необходимости проведения освидетельствования и / или приемки Скрытых работ. </w:t>
      </w:r>
    </w:p>
    <w:p>
      <w:pPr>
        <w:pStyle w:val="ListParagraph"/>
        <w:shd w:val="clear" w:color="auto" w:fill="FFFFFF"/>
        <w:tabs>
          <w:tab w:val="clear" w:pos="709"/>
          <w:tab w:val="left" w:pos="1418" w:leader="none"/>
        </w:tabs>
        <w:ind w:left="0" w:firstLine="709"/>
        <w:jc w:val="both"/>
        <w:rPr>
          <w:bCs/>
        </w:rPr>
      </w:pPr>
      <w:r>
        <w:rPr/>
        <w:t>Указанное уведомление должно быть получено Заказчиком заблаговременно</w:t>
      </w:r>
      <w:r>
        <w:rPr>
          <w:bCs/>
        </w:rPr>
        <w:t xml:space="preserve">, но не позднее, чем за </w:t>
      </w:r>
      <w:r>
        <w:rPr>
          <w:highlight w:val="lightGray"/>
        </w:rP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clear" w:pos="709"/>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(-ам) страхования. </w:t>
      </w:r>
    </w:p>
    <w:p>
      <w:pPr>
        <w:pStyle w:val="ListParagraph"/>
        <w:numPr>
          <w:ilvl w:val="2"/>
          <w:numId w:val="4"/>
        </w:numPr>
        <w:shd w:val="clear" w:color="auto" w:fill="FFFFFF"/>
        <w:tabs>
          <w:tab w:val="clear" w:pos="709"/>
          <w:tab w:val="left" w:pos="1418" w:leader="none"/>
        </w:tabs>
        <w:ind w:left="0" w:firstLine="710"/>
        <w:jc w:val="both"/>
        <w:rPr>
          <w:bCs/>
        </w:rPr>
      </w:pPr>
      <w:r>
        <w:rPr>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t xml:space="preserve"> </w:t>
      </w:r>
      <w:r>
        <w:rPr>
          <w:bCs/>
        </w:rPr>
        <w:t xml:space="preserve">в том числе поставщиков Материально-технических ресурсов и оборудования,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4"/>
        </w:numPr>
        <w:ind w:left="0" w:firstLine="709"/>
        <w:jc w:val="both"/>
        <w:rPr>
          <w:color w:val="000000"/>
        </w:rPr>
      </w:pPr>
      <w:r>
        <w:rPr>
          <w:color w:val="000000"/>
        </w:rPr>
        <w:t>Предоставить Заказчику банковские гарантии в соответствии с разделом 6 Договора.</w:t>
      </w:r>
    </w:p>
    <w:p>
      <w:pPr>
        <w:pStyle w:val="ListParagraph"/>
        <w:numPr>
          <w:ilvl w:val="2"/>
          <w:numId w:val="4"/>
        </w:numPr>
        <w:ind w:left="0" w:firstLine="709"/>
        <w:jc w:val="both"/>
        <w:rPr>
          <w:color w:val="000000"/>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4"/>
        </w:numPr>
        <w:shd w:val="clear" w:color="auto" w:fill="FFFFFF"/>
        <w:tabs>
          <w:tab w:val="clear" w:pos="709"/>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Подрядчик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организовать выполнение Работ.</w:t>
      </w:r>
    </w:p>
    <w:p>
      <w:pPr>
        <w:pStyle w:val="ListParagraph"/>
        <w:numPr>
          <w:ilvl w:val="2"/>
          <w:numId w:val="4"/>
        </w:numPr>
        <w:shd w:val="clear" w:color="auto" w:fill="FFFFFF"/>
        <w:tabs>
          <w:tab w:val="clear" w:pos="709"/>
          <w:tab w:val="left" w:pos="851" w:leader="none"/>
        </w:tabs>
        <w:ind w:left="0" w:firstLine="709"/>
        <w:jc w:val="both"/>
        <w:rPr/>
      </w:pPr>
      <w:r>
        <w:rPr>
          <w:bCs/>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w:t>
      </w:r>
      <w:r>
        <w:rPr>
          <w:bCs/>
          <w:highlight w:val="lightGray"/>
        </w:rPr>
        <w:t>__  (_______)</w:t>
      </w:r>
      <w:r>
        <w:rPr>
          <w:bCs/>
        </w:rPr>
        <w:t xml:space="preserve"> процентов </w:t>
      </w:r>
      <w:r>
        <w:rPr>
          <w:bCs/>
          <w:vertAlign w:val="superscript"/>
        </w:rPr>
        <w:t xml:space="preserve"> </w:t>
      </w:r>
      <w:r>
        <w:rPr>
          <w:bCs/>
        </w:rPr>
        <w:t>от Цены Договора, неся при этом ответственность за действия Субподрядчиков,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25"/>
        </w:numPr>
        <w:shd w:val="clear" w:color="auto" w:fill="FFFFFF"/>
        <w:tabs>
          <w:tab w:val="left" w:pos="709" w:leader="none"/>
          <w:tab w:val="left" w:pos="1418" w:leader="none"/>
        </w:tabs>
        <w:ind w:left="0" w:firstLine="709"/>
        <w:jc w:val="both"/>
        <w:rPr>
          <w:bCs/>
        </w:rPr>
      </w:pPr>
      <w:r>
        <w:rPr>
          <w:bCs/>
        </w:rPr>
        <w:t>проект договора с Субподрядчиком;</w:t>
      </w:r>
    </w:p>
    <w:p>
      <w:pPr>
        <w:pStyle w:val="ListParagraph"/>
        <w:numPr>
          <w:ilvl w:val="0"/>
          <w:numId w:val="25"/>
        </w:numPr>
        <w:shd w:val="clear" w:color="auto" w:fill="FFFFFF"/>
        <w:tabs>
          <w:tab w:val="left" w:pos="709" w:leader="none"/>
          <w:tab w:val="left" w:pos="1418" w:leader="none"/>
        </w:tabs>
        <w:ind w:left="0" w:firstLine="709"/>
        <w:jc w:val="both"/>
        <w:rPr>
          <w:bCs/>
        </w:rPr>
      </w:pPr>
      <w:r>
        <w:rPr>
          <w:bCs/>
        </w:rPr>
        <w:t>сведения об объемах выполнения работ Субподрядчиком;</w:t>
      </w:r>
    </w:p>
    <w:p>
      <w:pPr>
        <w:pStyle w:val="ListParagraph"/>
        <w:numPr>
          <w:ilvl w:val="0"/>
          <w:numId w:val="25"/>
        </w:numPr>
        <w:tabs>
          <w:tab w:val="left" w:pos="709" w:leader="none"/>
        </w:tabs>
        <w:ind w:left="0" w:firstLine="709"/>
        <w:jc w:val="both"/>
        <w:rPr>
          <w:bCs/>
        </w:rPr>
      </w:pPr>
      <w:r>
        <w:rPr>
          <w:bCs/>
        </w:rPr>
        <w:t>пофамильный перечень персонала Субподрядчика, который будет задействован при производстве Работ;</w:t>
      </w:r>
    </w:p>
    <w:p>
      <w:pPr>
        <w:pStyle w:val="ListParagraph"/>
        <w:numPr>
          <w:ilvl w:val="0"/>
          <w:numId w:val="24"/>
        </w:numPr>
        <w:tabs>
          <w:tab w:val="left" w:pos="709" w:leader="none"/>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numPr>
          <w:ilvl w:val="0"/>
          <w:numId w:val="0"/>
        </w:numPr>
        <w:ind w:left="0" w:hanging="0"/>
        <w:jc w:val="both"/>
        <w:rPr/>
      </w:pPr>
      <w:r>
        <w:rPr/>
      </w:r>
    </w:p>
    <w:p>
      <w:pPr>
        <w:pStyle w:val="ListParagraph"/>
        <w:numPr>
          <w:ilvl w:val="0"/>
          <w:numId w:val="4"/>
        </w:numPr>
        <w:shd w:val="clear" w:color="auto" w:fill="FFFFFF"/>
        <w:tabs>
          <w:tab w:val="clear" w:pos="709"/>
          <w:tab w:val="left" w:pos="284" w:leader="none"/>
        </w:tabs>
        <w:ind w:left="0" w:hanging="0"/>
        <w:jc w:val="center"/>
        <w:rPr/>
      </w:pPr>
      <w:r>
        <w:rPr>
          <w:b/>
          <w:bCs/>
        </w:rPr>
        <w:t>Цена Договора и порядок расчетов</w:t>
      </w:r>
    </w:p>
    <w:p>
      <w:pPr>
        <w:pStyle w:val="ListParagraph"/>
        <w:numPr>
          <w:ilvl w:val="1"/>
          <w:numId w:val="4"/>
        </w:numPr>
        <w:shd w:val="clear" w:color="auto" w:fill="FFFFFF"/>
        <w:tabs>
          <w:tab w:val="clear" w:pos="709"/>
          <w:tab w:val="left" w:pos="1134" w:leader="none"/>
        </w:tabs>
        <w:ind w:left="0" w:firstLine="709"/>
        <w:jc w:val="both"/>
        <w:rPr>
          <w:bCs/>
        </w:rPr>
      </w:pPr>
      <w:bookmarkStart w:id="13" w:name="_Ref361335465"/>
      <w:r>
        <w:rPr>
          <w:bCs/>
        </w:rPr>
        <w:t xml:space="preserve">Цена </w:t>
      </w:r>
      <w:r>
        <w:rPr/>
        <w:t xml:space="preserve">Договора </w:t>
      </w:r>
      <w:r>
        <w:rPr>
          <w:bCs/>
        </w:rPr>
        <w:t>в соответствии со Сводным сметным расчетом</w:t>
      </w:r>
      <w:r>
        <w:rPr/>
        <w:t xml:space="preserve"> </w:t>
      </w:r>
      <w:r>
        <w:rPr>
          <w:bCs/>
        </w:rPr>
        <w:t xml:space="preserve">с приложениями (Приложение № 4 к Договору) является </w:t>
      </w:r>
      <w:r>
        <w:rPr>
          <w:bCs/>
          <w:highlight w:val="lightGray"/>
        </w:rPr>
        <w:t>предельной / твердой</w:t>
      </w:r>
      <w:r>
        <w:rPr>
          <w:bCs/>
        </w:rPr>
        <w:t xml:space="preserve"> и составляет </w:t>
      </w:r>
      <w:r>
        <w:rPr>
          <w:highlight w:val="lightGray"/>
        </w:rPr>
        <w:t>_______</w:t>
      </w:r>
      <w:r>
        <w:rPr>
          <w:bCs/>
        </w:rPr>
        <w:t xml:space="preserve"> (</w:t>
      </w:r>
      <w:r>
        <w:rPr>
          <w:highlight w:val="lightGray"/>
        </w:rPr>
        <w:t>__________________</w:t>
      </w:r>
      <w:r>
        <w:rPr>
          <w:bCs/>
          <w:highlight w:val="lightGray"/>
        </w:rPr>
        <w:t>)</w:t>
      </w:r>
      <w:r>
        <w:rPr>
          <w:bCs/>
        </w:rPr>
        <w:t xml:space="preserve"> рублей </w:t>
      </w:r>
      <w:r>
        <w:rPr>
          <w:highlight w:val="lightGray"/>
        </w:rPr>
        <w:t>___</w:t>
      </w:r>
      <w:r>
        <w:rPr>
          <w:bCs/>
        </w:rPr>
        <w:t xml:space="preserve"> копеек, без учёта НДС, при этом НДС исчисляется дополнительно по ставке, установленной ст.164 НК РФ. </w:t>
      </w:r>
    </w:p>
    <w:p>
      <w:pPr>
        <w:pStyle w:val="ListParagraph"/>
        <w:numPr>
          <w:ilvl w:val="2"/>
          <w:numId w:val="4"/>
        </w:numPr>
        <w:shd w:val="clear" w:color="auto" w:fill="FFFFFF"/>
        <w:tabs>
          <w:tab w:val="clear" w:pos="709"/>
          <w:tab w:val="left" w:pos="1418" w:leader="none"/>
        </w:tabs>
        <w:ind w:left="0" w:firstLine="709"/>
        <w:jc w:val="both"/>
        <w:rPr>
          <w:bCs/>
        </w:rPr>
      </w:pPr>
      <w:r>
        <w:rPr>
          <w:highlight w:val="lightGray"/>
        </w:rPr>
        <w:t xml:space="preserve">Предельная </w:t>
      </w:r>
      <w:r>
        <w:rPr>
          <w:bCs/>
          <w:highlight w:val="lightGray"/>
        </w:rPr>
        <w:t>/ Твердая</w:t>
      </w:r>
      <w:r>
        <w:rPr>
          <w:bCs/>
        </w:rPr>
        <w:t xml:space="preserve"> цена Работ (без учёта Лимита на непредвиденные работы и затраты) составляет </w:t>
      </w:r>
      <w:r>
        <w:rPr>
          <w:highlight w:val="lightGray"/>
        </w:rPr>
        <w:t>_______</w:t>
      </w:r>
      <w:r>
        <w:rPr/>
        <w:t xml:space="preserve"> </w:t>
      </w:r>
      <w:r>
        <w:rPr>
          <w:bCs/>
        </w:rPr>
        <w:t>(</w:t>
      </w:r>
      <w:r>
        <w:rPr>
          <w:highlight w:val="lightGray"/>
        </w:rPr>
        <w:t>_______________</w:t>
      </w:r>
      <w:r>
        <w:rPr>
          <w:bCs/>
        </w:rPr>
        <w:t xml:space="preserve">) рублей </w:t>
      </w:r>
      <w:r>
        <w:rPr>
          <w:highlight w:val="lightGray"/>
        </w:rPr>
        <w:t>___</w:t>
      </w:r>
      <w:r>
        <w:rPr>
          <w:bCs/>
        </w:rPr>
        <w:t xml:space="preserve"> копеек, без учёта НДС, при этом НДС исчисляется дополнительно по ставке, установленной ст.164 НК РФ;</w:t>
      </w:r>
    </w:p>
    <w:p>
      <w:pPr>
        <w:pStyle w:val="ListParagraph"/>
        <w:numPr>
          <w:ilvl w:val="2"/>
          <w:numId w:val="4"/>
        </w:numPr>
        <w:shd w:val="clear" w:color="auto" w:fill="FFFFFF"/>
        <w:tabs>
          <w:tab w:val="clear" w:pos="709"/>
          <w:tab w:val="left" w:pos="1418" w:leader="none"/>
        </w:tabs>
        <w:ind w:left="0" w:firstLine="709"/>
        <w:jc w:val="both"/>
        <w:rPr>
          <w:highlight w:val="lightGray"/>
        </w:rPr>
      </w:pPr>
      <w:r>
        <w:rPr>
          <w:highlight w:val="lightGray"/>
        </w:rPr>
        <w:t xml:space="preserve">Лимит на непредвиденные работы и затраты составляет ______ </w:t>
      </w:r>
      <w:r>
        <w:rPr>
          <w:bCs/>
          <w:highlight w:val="lightGray"/>
        </w:rPr>
        <w:t>(___________________)</w:t>
      </w:r>
      <w:r>
        <w:rPr>
          <w:highlight w:val="lightGray"/>
        </w:rPr>
        <w:t xml:space="preserve"> рублей ___ копеек, </w:t>
      </w:r>
      <w:r>
        <w:rPr>
          <w:bCs/>
          <w:highlight w:val="lightGray"/>
        </w:rPr>
        <w:t>без учёта НДС, при этом НДС исчисляется дополнительно по ставке, установленной ст.164 НК РФ</w:t>
      </w:r>
      <w:r>
        <w:rPr>
          <w:highlight w:val="lightGray"/>
        </w:rPr>
        <w:t>;</w:t>
      </w:r>
    </w:p>
    <w:p>
      <w:pPr>
        <w:pStyle w:val="ListParagraph"/>
        <w:numPr>
          <w:ilvl w:val="1"/>
          <w:numId w:val="4"/>
        </w:numPr>
        <w:shd w:val="clear" w:color="auto" w:fill="FFFFFF"/>
        <w:tabs>
          <w:tab w:val="clear" w:pos="709"/>
          <w:tab w:val="left" w:pos="1134" w:leader="none"/>
        </w:tabs>
        <w:ind w:left="0" w:firstLine="709"/>
        <w:jc w:val="both"/>
        <w:rPr>
          <w:bCs/>
        </w:rPr>
      </w:pPr>
      <w:bookmarkStart w:id="14" w:name="_Ref361834605"/>
      <w:r>
        <w:rPr>
          <w:bCs/>
          <w:highlight w:val="lightGray"/>
        </w:rPr>
        <w:t xml:space="preserve">Локальные сметные расчеты подлежат согласованию Сторонами не позднее истечения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w:t>
      </w:r>
      <w:r>
        <w:rPr>
          <w:highlight w:val="lightGray"/>
        </w:rPr>
        <w:t xml:space="preserve"> </w:t>
      </w:r>
      <w:r>
        <w:rPr>
          <w:bCs/>
          <w:highlight w:val="lightGray"/>
        </w:rPr>
        <w:t>с приложениями (Приложение № 4 к Договору) путем заключения дополнительного соглашения к Договору.</w:t>
      </w:r>
      <w:bookmarkEnd w:id="13"/>
      <w:bookmarkEnd w:id="14"/>
    </w:p>
    <w:p>
      <w:pPr>
        <w:pStyle w:val="ListParagraph"/>
        <w:numPr>
          <w:ilvl w:val="1"/>
          <w:numId w:val="4"/>
        </w:numPr>
        <w:shd w:val="clear" w:color="auto" w:fill="FFFFFF"/>
        <w:tabs>
          <w:tab w:val="clear" w:pos="709"/>
          <w:tab w:val="left" w:pos="1134" w:leader="none"/>
        </w:tabs>
        <w:ind w:left="0" w:firstLine="709"/>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4"/>
        </w:numPr>
        <w:shd w:val="clear" w:color="auto" w:fill="FFFFFF"/>
        <w:tabs>
          <w:tab w:val="clear" w:pos="709"/>
          <w:tab w:val="left" w:pos="1418" w:leader="none"/>
        </w:tabs>
        <w:ind w:left="0" w:firstLine="709"/>
        <w:jc w:val="both"/>
        <w:rPr/>
      </w:pPr>
      <w:r>
        <w:rPr/>
        <w:t>Монтаж Оборудования Заказчика и пуско-наладочные работы;</w:t>
      </w:r>
    </w:p>
    <w:p>
      <w:pPr>
        <w:pStyle w:val="ListParagraph"/>
        <w:numPr>
          <w:ilvl w:val="2"/>
          <w:numId w:val="4"/>
        </w:numPr>
        <w:shd w:val="clear" w:color="auto" w:fill="FFFFFF"/>
        <w:tabs>
          <w:tab w:val="clear" w:pos="709"/>
          <w:tab w:val="left" w:pos="1418" w:leader="none"/>
        </w:tabs>
        <w:ind w:left="0" w:firstLine="709"/>
        <w:jc w:val="both"/>
        <w:rPr/>
      </w:pPr>
      <w:r>
        <w:rPr/>
        <w:t xml:space="preserve">Приобретение Материально-технических ресурсов </w:t>
      </w:r>
      <w:r>
        <w:rPr>
          <w:bCs/>
        </w:rPr>
        <w:t>и оборудования</w:t>
      </w:r>
      <w: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4"/>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4"/>
        </w:numPr>
        <w:shd w:val="clear" w:color="auto" w:fill="FFFFFF"/>
        <w:tabs>
          <w:tab w:val="clear" w:pos="709"/>
          <w:tab w:val="left" w:pos="1418" w:leader="none"/>
        </w:tabs>
        <w:ind w:left="0" w:firstLine="709"/>
        <w:jc w:val="both"/>
        <w:rPr/>
      </w:pPr>
      <w:r>
        <w:rPr/>
        <w:t>Подлежащие уплате налоги,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4"/>
        </w:numPr>
        <w:shd w:val="clear" w:color="auto" w:fill="FFFFFF"/>
        <w:tabs>
          <w:tab w:val="clear" w:pos="709"/>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9"/>
          <w:tab w:val="left" w:pos="1134" w:leader="none"/>
        </w:tabs>
        <w:ind w:left="0" w:firstLine="709"/>
        <w:jc w:val="both"/>
        <w:rPr>
          <w:bCs/>
        </w:rPr>
      </w:pPr>
      <w:bookmarkStart w:id="15" w:name="_Ref361858588"/>
      <w:bookmarkStart w:id="16" w:name="_Ref361834675"/>
      <w:r>
        <w:rPr>
          <w:bCs/>
        </w:rPr>
        <w:t>Оплата по Договору осуществляется Заказчиком в следующем порядке:</w:t>
      </w:r>
      <w:bookmarkEnd w:id="15"/>
      <w:bookmarkEnd w:id="16"/>
      <w:r>
        <w:rPr>
          <w:bCs/>
        </w:rPr>
        <w:t xml:space="preserve"> </w:t>
      </w:r>
    </w:p>
    <w:p>
      <w:pPr>
        <w:pStyle w:val="ListParagraph"/>
        <w:numPr>
          <w:ilvl w:val="2"/>
          <w:numId w:val="4"/>
        </w:numPr>
        <w:shd w:val="clear" w:color="auto" w:fill="FFFFFF"/>
        <w:tabs>
          <w:tab w:val="clear" w:pos="709"/>
          <w:tab w:val="left" w:pos="1418" w:leader="none"/>
        </w:tabs>
        <w:ind w:left="0" w:firstLine="709"/>
        <w:jc w:val="both"/>
        <w:rPr/>
      </w:pPr>
      <w:bookmarkStart w:id="17" w:name="_Ref373242755"/>
      <w:bookmarkEnd w:id="17"/>
      <w:r>
        <w:rPr/>
        <w:t>Подрядчик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4"/>
        </w:numPr>
        <w:shd w:val="clear" w:color="auto" w:fill="FFFFFF"/>
        <w:tabs>
          <w:tab w:val="clear" w:pos="709"/>
          <w:tab w:val="left" w:pos="1418" w:leader="none"/>
        </w:tabs>
        <w:ind w:left="0" w:firstLine="709"/>
        <w:jc w:val="both"/>
        <w:rPr/>
      </w:pPr>
      <w:bookmarkStart w:id="18" w:name="_Ref373242755"/>
      <w:bookmarkStart w:id="19" w:name="_Ref361335023"/>
      <w:bookmarkStart w:id="20" w:name="_Ref373242766"/>
      <w:bookmarkStart w:id="21" w:name="_Ref361834178"/>
      <w:bookmarkEnd w:id="18"/>
      <w:bookmarkEnd w:id="19"/>
      <w:bookmarkEnd w:id="21"/>
      <w:r>
        <w:rPr/>
        <w:t xml:space="preserve">Авансовые платежи в счет стоимости каждого Этапа Работ в размере 10 (десяти) процентов от стоимости соответствующего Этапа Работ </w:t>
      </w:r>
      <w:r>
        <w:rPr>
          <w:highlight w:val="lightGray"/>
        </w:rPr>
        <w:t>(за исключением непредвиденных работ и затрат)</w:t>
      </w:r>
      <w:r>
        <w:rPr/>
        <w:t xml:space="preserve"> выплачиваются в течение 30 (тридцати) календарных дней с даты получения Заказчиком счета, выставленного Подрядчиком, </w:t>
      </w:r>
      <w:r>
        <w:rPr>
          <w:highlight w:val="lightGray"/>
        </w:rPr>
        <w:t>при условии согласования Сторонами сметной документации на соответствующий Этап Работ в соответствии с пунктом 3.2 Договора</w:t>
      </w:r>
      <w:r>
        <w:rPr/>
        <w:t>,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3.5.1, 3.5.</w:t>
      </w:r>
      <w:r>
        <w:rPr/>
        <w:t>4</w:t>
      </w:r>
      <w:r>
        <w:rPr/>
        <w:t xml:space="preserve"> Договора.</w:t>
      </w:r>
      <w:bookmarkEnd w:id="20"/>
    </w:p>
    <w:p>
      <w:pPr>
        <w:pStyle w:val="ListParagraph"/>
        <w:numPr>
          <w:ilvl w:val="2"/>
          <w:numId w:val="4"/>
        </w:numPr>
        <w:shd w:val="clear" w:color="auto" w:fill="FFFFFF"/>
        <w:tabs>
          <w:tab w:val="clear" w:pos="709"/>
          <w:tab w:val="left" w:pos="1134" w:leader="none"/>
        </w:tabs>
        <w:ind w:left="0" w:firstLine="709"/>
        <w:jc w:val="both"/>
        <w:rPr/>
      </w:pPr>
      <w:r>
        <w:rPr/>
        <w:t xml:space="preserve">Последующие платежи в размере 90 (девяноста) процентов от стоимости каждого Этапа Работ выплачиваются в течение </w:t>
      </w:r>
      <w:r>
        <w:rPr>
          <w:highlight w:val="lightGray"/>
        </w:rPr>
        <w:t>45 (сорока пяти) календарных дней</w:t>
      </w:r>
      <w:r>
        <w:rPr>
          <w:rStyle w:val="FootnoteReference"/>
          <w:highlight w:val="lightGray"/>
        </w:rPr>
        <w:footnoteReference w:id="4"/>
      </w:r>
      <w:r>
        <w:rPr>
          <w:highlight w:val="lightGray"/>
        </w:rPr>
        <w:t xml:space="preserve"> / 7 (семи) рабочих дней</w:t>
      </w:r>
      <w:r>
        <w:rPr>
          <w:rStyle w:val="FootnoteReference"/>
          <w:highlight w:val="lightGray"/>
        </w:rPr>
        <w:footnoteReference w:id="5"/>
      </w:r>
      <w:r>
        <w:rPr/>
        <w:t xml:space="preserve"> с даты подписания Сторонами документов, указанных в пункте 4.2 Договора, на основании счёта, выставленного Подрядчиком, и с учетом пунктов 3.5.</w:t>
      </w:r>
      <w:r>
        <w:rPr/>
        <w:t>4</w:t>
      </w:r>
      <w:r>
        <w:rPr/>
        <w:t>, 3.5.</w:t>
      </w:r>
      <w:r>
        <w:rPr/>
        <w:t>5</w:t>
      </w:r>
      <w:r>
        <w:rPr/>
        <w:t xml:space="preserve"> Договора. </w:t>
      </w:r>
    </w:p>
    <w:p>
      <w:pPr>
        <w:pStyle w:val="ListParagraph"/>
        <w:shd w:val="clear" w:color="auto" w:fill="FFFFFF"/>
        <w:tabs>
          <w:tab w:val="clear" w:pos="709"/>
          <w:tab w:val="left" w:pos="1134" w:leader="none"/>
        </w:tabs>
        <w:ind w:left="0" w:firstLine="709"/>
        <w:jc w:val="both"/>
        <w:rPr/>
      </w:pPr>
      <w:r>
        <w:rPr/>
        <w:t xml:space="preserve">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 </w:t>
      </w:r>
    </w:p>
    <w:p>
      <w:pPr>
        <w:pStyle w:val="ListParagraph"/>
        <w:numPr>
          <w:ilvl w:val="2"/>
          <w:numId w:val="4"/>
        </w:numPr>
        <w:shd w:val="clear" w:color="auto" w:fill="FFFFFF"/>
        <w:tabs>
          <w:tab w:val="clear" w:pos="709"/>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4"/>
        </w:numPr>
        <w:shd w:val="clear" w:color="auto" w:fill="FFFFFF"/>
        <w:tabs>
          <w:tab w:val="clear" w:pos="709"/>
          <w:tab w:val="left" w:pos="1418" w:leader="none"/>
        </w:tabs>
        <w:ind w:left="0" w:firstLine="709"/>
        <w:jc w:val="both"/>
        <w:rPr/>
      </w:pPr>
      <w:r>
        <w:rPr/>
        <w:t xml:space="preserve">Подрядчик обязан в течение 30 (тридцати) календарных дней </w:t>
      </w:r>
      <w:r>
        <w:rPr>
          <w:highlight w:val="lightGray"/>
        </w:rPr>
        <w:t>с даты начала выполнения Работ по Объекту</w:t>
      </w:r>
      <w:r>
        <w:rPr/>
        <w:t xml:space="preserve"> предоставить Заказчику Банковскую гарантию надлежащего исполнения Договора </w:t>
      </w:r>
      <w:r>
        <w:rPr>
          <w:highlight w:val="lightGray"/>
        </w:rPr>
        <w:t>по соответствующему Объекту</w:t>
      </w:r>
      <w:r>
        <w:rPr/>
        <w:t xml:space="preserve">, соответствующую требованиям, установленным разделом 6 Договора. В случае невыполнения данного обязательства и при отсутствии соглашения Сторон об ином Заказчик вправе удерживать 10 (десять) процентов стоимости соответствующего </w:t>
      </w:r>
      <w:r>
        <w:rPr>
          <w:highlight w:val="lightGray"/>
        </w:rPr>
        <w:t>Этапа Работ</w:t>
      </w:r>
      <w:r>
        <w:rPr/>
        <w:t xml:space="preserve"> от каждого платежа, выплачиваемого Заказчиком Подрядчику в порядке, размерах и сроки, установленные пунктами 3.5.</w:t>
      </w:r>
      <w:r>
        <w:rPr/>
        <w:t>4</w:t>
      </w:r>
      <w:r>
        <w:rPr/>
        <w:t xml:space="preserve"> Договора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w:t>
      </w:r>
    </w:p>
    <w:p>
      <w:pPr>
        <w:pStyle w:val="ListParagraph"/>
        <w:shd w:val="clear" w:color="auto" w:fill="FFFFFF"/>
        <w:tabs>
          <w:tab w:val="clear" w:pos="709"/>
          <w:tab w:val="left" w:pos="1134" w:leader="none"/>
        </w:tabs>
        <w:ind w:left="0" w:firstLine="709"/>
        <w:jc w:val="both"/>
        <w:rPr/>
      </w:pPr>
      <w:r>
        <w:rPr/>
        <w:t xml:space="preserve">В период действия Договора Подрядчик вправе предоставить Заказчику Банковскую гарантию в обеспечение надлежащего исполнения обязательств по Договору </w:t>
      </w:r>
      <w:r>
        <w:rPr>
          <w:highlight w:val="lightGray"/>
        </w:rPr>
        <w:t>по соответствующему Объекту</w:t>
      </w:r>
      <w:r>
        <w:rPr/>
        <w:t xml:space="preserve">, отвечающую требованиям, указанным в разделе 6 Договора на сумму, не менее 10 (десяти) % от Цены Договора. В течение 30 (тридцати) календарных дней после принятия Заказчиком Банковской гарантии надлежащего исполнения обязательств по Договору </w:t>
      </w:r>
      <w:r>
        <w:rPr>
          <w:highlight w:val="lightGray"/>
        </w:rPr>
        <w:t xml:space="preserve">по соответствующему Объекту </w:t>
      </w:r>
      <w:r>
        <w:rPr/>
        <w:t xml:space="preserve">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w:t>
      </w:r>
      <w:r>
        <w:rPr>
          <w:highlight w:val="lightGray"/>
        </w:rPr>
        <w:t xml:space="preserve">по соответствующему Объекту </w:t>
      </w:r>
      <w:r>
        <w:rPr/>
        <w:t>на основании счета, выставленного Подрядчиком.</w:t>
      </w:r>
    </w:p>
    <w:p>
      <w:pPr>
        <w:pStyle w:val="ListParagraph"/>
        <w:shd w:val="clear" w:color="auto" w:fill="FFFFFF"/>
        <w:tabs>
          <w:tab w:val="clear" w:pos="709"/>
          <w:tab w:val="left" w:pos="1276" w:leader="none"/>
          <w:tab w:val="left" w:pos="1418" w:leader="none"/>
        </w:tabs>
        <w:ind w:left="0" w:firstLine="709"/>
        <w:jc w:val="both"/>
        <w:rPr/>
      </w:pPr>
      <w:r>
        <w:rPr/>
        <w:t xml:space="preserve">Выплата Обеспечительного платежа производится в течение </w:t>
      </w:r>
      <w:r>
        <w:rPr>
          <w:highlight w:val="lightGray"/>
        </w:rPr>
        <w:t>30 (тридцати) календарных дней / 7 (семи) рабочих дней</w:t>
      </w:r>
      <w:r>
        <w:rPr>
          <w:rStyle w:val="FootnoteReference"/>
          <w:highlight w:val="lightGray"/>
        </w:rPr>
        <w:footnoteReference w:id="6"/>
      </w:r>
      <w:r>
        <w:rPr/>
        <w:t xml:space="preserve"> с даты получения Заказчиком счета, выставленного Подрядчиком, но не ранее 70 (семидесяти) календарных дней с даты подписания Сторонами Акта КС-11 </w:t>
      </w:r>
      <w:r>
        <w:rPr>
          <w:highlight w:val="lightGray"/>
        </w:rPr>
        <w:t>по соответствующему Объекту</w:t>
      </w:r>
      <w:r>
        <w:rPr/>
        <w:t xml:space="preserve">.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w:t>
      </w:r>
      <w:r>
        <w:rPr>
          <w:highlight w:val="lightGray"/>
        </w:rPr>
        <w:t>по соответствующему Объекту</w:t>
      </w:r>
      <w:r>
        <w:rPr/>
        <w:t xml:space="preserve">, в случае, если иное не установлено в соответствующем соглашении о расторжении Договора. </w:t>
      </w:r>
    </w:p>
    <w:p>
      <w:pPr>
        <w:pStyle w:val="ListParagraph"/>
        <w:shd w:val="clear" w:color="auto" w:fill="FFFFFF"/>
        <w:tabs>
          <w:tab w:val="clear" w:pos="709"/>
          <w:tab w:val="left" w:pos="1276" w:leader="none"/>
          <w:tab w:val="left" w:pos="1418" w:leader="none"/>
        </w:tabs>
        <w:ind w:left="0" w:firstLine="709"/>
        <w:jc w:val="both"/>
        <w:rPr/>
      </w:pPr>
      <w:r>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4"/>
        </w:numPr>
        <w:shd w:val="clear" w:color="auto" w:fill="FFFFFF"/>
        <w:tabs>
          <w:tab w:val="clear" w:pos="709"/>
          <w:tab w:val="left" w:pos="1418" w:leader="none"/>
        </w:tabs>
        <w:ind w:left="0" w:firstLine="709"/>
        <w:jc w:val="both"/>
        <w:rPr>
          <w:bCs/>
        </w:rPr>
      </w:pPr>
      <w:bookmarkStart w:id="22" w:name="_Ref373242894"/>
      <w:bookmarkStart w:id="23" w:name="_Ref361834178_Копия_1"/>
      <w:bookmarkEnd w:id="23"/>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bookmarkEnd w:id="22"/>
      <w:r>
        <w:rPr>
          <w:bCs/>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24" w:name="_Ref361336647"/>
      <w:bookmarkEnd w:id="24"/>
    </w:p>
    <w:p>
      <w:pPr>
        <w:pStyle w:val="ListParagraph"/>
        <w:numPr>
          <w:ilvl w:val="1"/>
          <w:numId w:val="4"/>
        </w:numPr>
        <w:shd w:val="clear" w:color="auto" w:fill="FFFFFF"/>
        <w:tabs>
          <w:tab w:val="clear" w:pos="709"/>
          <w:tab w:val="left" w:pos="1134" w:leader="none"/>
        </w:tabs>
        <w:ind w:left="0" w:firstLine="709"/>
        <w:jc w:val="both"/>
        <w:rPr>
          <w:bCs/>
        </w:rPr>
      </w:pPr>
      <w:r>
        <w:rPr>
          <w:bCs/>
        </w:rPr>
        <w:t>За исключением случая, указанного в пункте 2.3.</w:t>
      </w:r>
      <w:r>
        <w:rPr>
          <w:bCs/>
        </w:rPr>
        <w:t>19</w:t>
      </w:r>
      <w:r>
        <w:rPr>
          <w:bCs/>
        </w:rPr>
        <w:t xml:space="preserve">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4"/>
        </w:numPr>
        <w:shd w:val="clear" w:color="auto" w:fill="FFFFFF"/>
        <w:tabs>
          <w:tab w:val="clear" w:pos="709"/>
          <w:tab w:val="left" w:pos="1134" w:leader="none"/>
        </w:tabs>
        <w:ind w:left="0" w:firstLine="709"/>
        <w:jc w:val="both"/>
        <w:rPr>
          <w:bCs/>
        </w:rPr>
      </w:pPr>
      <w:r>
        <w:rPr>
          <w:highlight w:val="lightGray"/>
        </w:rPr>
        <w:t>Оплата непредвиденных работ и затрат</w:t>
      </w:r>
      <w:r>
        <w:rPr>
          <w:rStyle w:val="FootnoteReference"/>
          <w:highlight w:val="lightGray"/>
        </w:rPr>
        <w:footnoteReference w:id="7"/>
      </w:r>
      <w:r>
        <w:rPr>
          <w:highlight w:val="lightGray"/>
        </w:rPr>
        <w:t xml:space="preserve"> осуществляется Заказчиком в следующем порядке</w:t>
      </w:r>
      <w:r>
        <w:rPr>
          <w:bCs/>
        </w:rPr>
        <w:t>:</w:t>
      </w:r>
    </w:p>
    <w:p>
      <w:pPr>
        <w:pStyle w:val="ListParagraph"/>
        <w:numPr>
          <w:ilvl w:val="2"/>
          <w:numId w:val="4"/>
        </w:numPr>
        <w:shd w:val="clear" w:color="auto" w:fill="FFFFFF"/>
        <w:tabs>
          <w:tab w:val="clear" w:pos="709"/>
          <w:tab w:val="left" w:pos="1418" w:leader="none"/>
        </w:tabs>
        <w:ind w:left="0" w:firstLine="709"/>
        <w:jc w:val="both"/>
        <w:rPr/>
      </w:pPr>
      <w:r>
        <w:rPr>
          <w:highlight w:val="lightGray"/>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highlight w:val="lightGray"/>
        </w:rPr>
        <w:t>с приложениями</w:t>
      </w:r>
      <w:r>
        <w:rPr>
          <w:highlight w:val="lightGray"/>
        </w:rPr>
        <w:t xml:space="preserve"> (Приложение № 4 к Договору). Оплата в размере 100 (ста) процентов от стоимости непредвиденных работ и затрат производится Заказчиком в течение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highlight w:val="lightGray"/>
        </w:rPr>
        <w:t xml:space="preserve"> с даты подписания Акта КС-2 на основании счета, выставленного Подрядчиком, и с учетом пунктов 3.5.</w:t>
      </w:r>
      <w:r>
        <w:rPr>
          <w:highlight w:val="lightGray"/>
        </w:rPr>
        <w:t>4</w:t>
      </w:r>
      <w:r>
        <w:rPr>
          <w:highlight w:val="lightGray"/>
        </w:rPr>
        <w:t>, 3.5.</w:t>
      </w:r>
      <w:r>
        <w:rPr>
          <w:highlight w:val="lightGray"/>
        </w:rPr>
        <w:t>5</w:t>
      </w:r>
      <w:r>
        <w:rPr>
          <w:highlight w:val="lightGray"/>
        </w:rPr>
        <w:t xml:space="preserve"> Договора. Стоимость непредвиденных работ и затрат включается в </w:t>
      </w:r>
      <w:r>
        <w:rPr>
          <w:bCs/>
          <w:highlight w:val="lightGray"/>
        </w:rPr>
        <w:t>общую сумму Акта КС-2, подписываемого Сторонами в соответствии с пунктом 4.</w:t>
      </w:r>
      <w:r>
        <w:rPr>
          <w:bCs/>
          <w:highlight w:val="lightGray"/>
        </w:rPr>
        <w:t>1</w:t>
      </w:r>
      <w:r>
        <w:rPr>
          <w:bCs/>
          <w:highlight w:val="lightGray"/>
        </w:rPr>
        <w:t xml:space="preserve"> Договора</w:t>
      </w:r>
      <w:r>
        <w:rPr>
          <w:bCs/>
        </w:rPr>
        <w:t>.</w:t>
      </w:r>
    </w:p>
    <w:p>
      <w:pPr>
        <w:pStyle w:val="ListParagraph"/>
        <w:numPr>
          <w:ilvl w:val="1"/>
          <w:numId w:val="4"/>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w:t>
      </w:r>
      <w:r>
        <w:rPr>
          <w:bCs/>
          <w:highlight w:val="lightGray"/>
        </w:rPr>
        <w:t xml:space="preserve"> с приложениями</w:t>
      </w:r>
      <w:r>
        <w:rPr>
          <w:highlight w:val="lightGray"/>
        </w:rPr>
        <w:t xml:space="preserve">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4"/>
        </w:numPr>
        <w:shd w:val="clear" w:color="auto" w:fill="FFFFFF"/>
        <w:tabs>
          <w:tab w:val="clear" w:pos="709"/>
          <w:tab w:val="left" w:pos="1134" w:leader="none"/>
        </w:tabs>
        <w:ind w:left="0" w:firstLine="709"/>
        <w:jc w:val="both"/>
        <w:rPr/>
      </w:pPr>
      <w:bookmarkStart w:id="25" w:name="_Ref361335023"/>
      <w:bookmarkStart w:id="26" w:name="_Ref361834251"/>
      <w:bookmarkEnd w:id="25"/>
      <w:r>
        <w:rPr>
          <w:bCs/>
        </w:rPr>
        <w:t xml:space="preserve">Индексация Цены Договора не допускается. </w:t>
      </w:r>
    </w:p>
    <w:p>
      <w:pPr>
        <w:pStyle w:val="ListParagraph"/>
        <w:numPr>
          <w:ilvl w:val="1"/>
          <w:numId w:val="4"/>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 и поставленного Подрядчиком Оборудования.</w:t>
      </w:r>
    </w:p>
    <w:p>
      <w:pPr>
        <w:pStyle w:val="Normal"/>
        <w:shd w:val="clear" w:color="auto" w:fill="FFFFFF"/>
        <w:tabs>
          <w:tab w:val="clear" w:pos="709"/>
          <w:tab w:val="left" w:pos="1134" w:leader="none"/>
        </w:tabs>
        <w:spacing w:lineRule="auto" w:line="240"/>
        <w:ind w:firstLine="709"/>
        <w:rPr>
          <w:sz w:val="24"/>
          <w:szCs w:val="24"/>
        </w:rPr>
      </w:pPr>
      <w:bookmarkStart w:id="27" w:name="_Ref361834251"/>
      <w:r>
        <w:rPr>
          <w:sz w:val="24"/>
          <w:szCs w:val="24"/>
        </w:rPr>
        <w:t>Заказчик направляет Подрядчику уведомление о проведении сальдо взаимных обязательств Сторон по Договору.</w:t>
      </w:r>
      <w:bookmarkEnd w:id="27"/>
    </w:p>
    <w:p>
      <w:pPr>
        <w:pStyle w:val="ListParagraph"/>
        <w:shd w:val="clear" w:color="auto" w:fill="FFFFFF"/>
        <w:tabs>
          <w:tab w:val="clear" w:pos="709"/>
          <w:tab w:val="left" w:pos="1134" w:leader="none"/>
        </w:tabs>
        <w:ind w:left="0" w:firstLine="567"/>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Порядок сдачи-приемки Работ</w:t>
      </w:r>
    </w:p>
    <w:p>
      <w:pPr>
        <w:pStyle w:val="ListParagraph"/>
        <w:numPr>
          <w:ilvl w:val="1"/>
          <w:numId w:val="4"/>
        </w:numPr>
        <w:shd w:val="clear" w:color="auto" w:fill="FFFFFF"/>
        <w:tabs>
          <w:tab w:val="clear" w:pos="709"/>
          <w:tab w:val="left" w:pos="1134" w:leader="none"/>
        </w:tabs>
        <w:ind w:left="0" w:firstLine="709"/>
        <w:jc w:val="both"/>
        <w:rPr/>
      </w:pPr>
      <w:bookmarkStart w:id="28" w:name="_Ref361336865"/>
      <w:bookmarkEnd w:id="28"/>
      <w:r>
        <w:rPr>
          <w:bCs/>
        </w:rPr>
        <w:t xml:space="preserve">По завершении выполнения Работ в отношении </w:t>
      </w:r>
      <w:r>
        <w:rPr>
          <w:highlight w:val="lightGray"/>
        </w:rPr>
        <w:t>каждого</w:t>
      </w:r>
      <w:r>
        <w:rPr>
          <w:bCs/>
        </w:rPr>
        <w:t xml:space="preserve"> Объекта и готовности последнего к эксплуатации Подрядчик в течение 3 (трех) рабочих дней представляет Заказчику подписанные со своей стороны:</w:t>
      </w:r>
    </w:p>
    <w:p>
      <w:pPr>
        <w:pStyle w:val="ListParagraph"/>
        <w:numPr>
          <w:ilvl w:val="0"/>
          <w:numId w:val="19"/>
        </w:numPr>
        <w:shd w:val="clear" w:color="auto" w:fill="FFFFFF"/>
        <w:tabs>
          <w:tab w:val="clear" w:pos="709"/>
          <w:tab w:val="left" w:pos="1418" w:leader="none"/>
        </w:tabs>
        <w:ind w:left="0" w:firstLine="709"/>
        <w:jc w:val="both"/>
        <w:rPr/>
      </w:pPr>
      <w:r>
        <w:rPr/>
        <w:t xml:space="preserve">Акт КС-2, Справку КС-3 в отношении </w:t>
      </w:r>
      <w:r>
        <w:rPr>
          <w:highlight w:val="lightGray"/>
        </w:rPr>
        <w:t>каждого</w:t>
      </w:r>
      <w:r>
        <w:rPr/>
        <w:t xml:space="preserve"> Объекта</w:t>
      </w:r>
      <w:r>
        <w:rPr>
          <w:bCs/>
        </w:rPr>
        <w:t xml:space="preserve"> н</w:t>
      </w:r>
      <w:r>
        <w:rPr/>
        <w:t xml:space="preserve">а весь объем выполненных работ по Объекту в 2 (двух) экземплярах, а также электронные версии Акта </w:t>
        <w:br/>
        <w:t xml:space="preserve">КС-2 и Справки КС-3 в формате *gsfx ПК «ГРАНД Сметы» на цифровом носителе; </w:t>
      </w:r>
    </w:p>
    <w:p>
      <w:pPr>
        <w:pStyle w:val="ListParagraph"/>
        <w:numPr>
          <w:ilvl w:val="0"/>
          <w:numId w:val="19"/>
        </w:numPr>
        <w:shd w:val="clear" w:color="auto" w:fill="FFFFFF"/>
        <w:tabs>
          <w:tab w:val="clear" w:pos="709"/>
          <w:tab w:val="left" w:pos="1418" w:leader="none"/>
        </w:tabs>
        <w:ind w:left="0" w:firstLine="709"/>
        <w:jc w:val="both"/>
        <w:rPr/>
      </w:pPr>
      <w:r>
        <w:rPr>
          <w:bCs/>
        </w:rPr>
        <w:t>А</w:t>
      </w:r>
      <w:r>
        <w:rPr/>
        <w:t>кт КС-11 в 2 (двух) экземплярах;</w:t>
      </w:r>
    </w:p>
    <w:p>
      <w:pPr>
        <w:pStyle w:val="ListParagraph"/>
        <w:numPr>
          <w:ilvl w:val="1"/>
          <w:numId w:val="4"/>
        </w:numPr>
        <w:shd w:val="clear" w:color="auto" w:fill="FFFFFF"/>
        <w:tabs>
          <w:tab w:val="clear" w:pos="709"/>
          <w:tab w:val="left" w:pos="568" w:leader="none"/>
          <w:tab w:val="left" w:pos="1134" w:leader="none"/>
        </w:tabs>
        <w:ind w:left="0" w:firstLine="709"/>
        <w:jc w:val="both"/>
        <w:rPr>
          <w:bCs/>
        </w:rPr>
      </w:pPr>
      <w:bookmarkStart w:id="29" w:name="_Ref361336865"/>
      <w:bookmarkEnd w:id="29"/>
      <w:r>
        <w:rPr>
          <w:bCs/>
        </w:rPr>
        <w:t>В течение 15 (пятнадцати) рабочих дней с даты получения полного комплекта документов, указанных в пункт</w:t>
      </w:r>
      <w:r>
        <w:rPr>
          <w:bCs/>
        </w:rPr>
        <w:t>е</w:t>
      </w:r>
      <w:r>
        <w:rPr>
          <w:bCs/>
        </w:rPr>
        <w:t xml:space="preserve">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4"/>
        </w:numPr>
        <w:shd w:val="clear" w:color="auto" w:fill="FFFFFF"/>
        <w:tabs>
          <w:tab w:val="clear" w:pos="709"/>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4"/>
        </w:numPr>
        <w:shd w:val="clear" w:color="auto" w:fill="FFFFFF"/>
        <w:tabs>
          <w:tab w:val="clear" w:pos="709"/>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4.1-4.3 Договора.</w:t>
      </w:r>
    </w:p>
    <w:p>
      <w:pPr>
        <w:pStyle w:val="ListParagraph"/>
        <w:numPr>
          <w:ilvl w:val="1"/>
          <w:numId w:val="4"/>
        </w:numPr>
        <w:shd w:val="clear" w:color="auto" w:fill="FFFFFF"/>
        <w:tabs>
          <w:tab w:val="clear" w:pos="709"/>
          <w:tab w:val="left" w:pos="1134" w:leader="none"/>
        </w:tabs>
        <w:ind w:left="0" w:firstLine="709"/>
        <w:jc w:val="both"/>
        <w:rPr>
          <w:bCs/>
        </w:rPr>
      </w:pPr>
      <w:r>
        <w:rPr>
          <w:bCs/>
        </w:rPr>
        <w:t>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4"/>
        </w:numPr>
        <w:shd w:val="clear" w:color="auto" w:fill="FFFFFF"/>
        <w:tabs>
          <w:tab w:val="clear" w:pos="709"/>
          <w:tab w:val="left" w:pos="1134" w:leader="none"/>
        </w:tabs>
        <w:ind w:left="0" w:firstLine="709"/>
        <w:jc w:val="both"/>
        <w:rPr>
          <w:bCs/>
        </w:rPr>
      </w:pPr>
      <w:bookmarkStart w:id="30" w:name="_Ref361337635"/>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30"/>
    </w:p>
    <w:p>
      <w:pPr>
        <w:pStyle w:val="ListParagraph"/>
        <w:numPr>
          <w:ilvl w:val="0"/>
          <w:numId w:val="0"/>
        </w:numPr>
        <w:shd w:val="clear" w:color="auto" w:fill="FFFFFF"/>
        <w:tabs>
          <w:tab w:val="clear" w:pos="709"/>
          <w:tab w:val="left" w:pos="1134" w:leader="none"/>
        </w:tabs>
        <w:ind w:left="0"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Право собственности и переход рисков</w:t>
      </w:r>
    </w:p>
    <w:p>
      <w:pPr>
        <w:pStyle w:val="ListParagraph"/>
        <w:numPr>
          <w:ilvl w:val="1"/>
          <w:numId w:val="4"/>
        </w:numPr>
        <w:shd w:val="clear" w:color="auto" w:fill="FFFFFF"/>
        <w:tabs>
          <w:tab w:val="clear" w:pos="709"/>
          <w:tab w:val="left" w:pos="1134" w:leader="none"/>
        </w:tabs>
        <w:ind w:left="0" w:firstLine="709"/>
        <w:jc w:val="both"/>
        <w:rPr>
          <w:bCs/>
        </w:rPr>
      </w:pPr>
      <w:bookmarkStart w:id="31" w:name="_Ref361405028"/>
      <w:r>
        <w:rPr>
          <w:bCs/>
        </w:rPr>
        <w:t xml:space="preserve">Риск случайной гибели или повреждения Результата Работ в отношении каждого Объекта, включая Материально-технические ресурсы и оборудование, переходит к Заказчику с момента подписания соответствующего Акта </w:t>
      </w:r>
      <w:r>
        <w:rPr/>
        <w:t>КС-11</w:t>
      </w:r>
      <w:r>
        <w:rPr>
          <w:bCs/>
        </w:rPr>
        <w:t>. До подписания Сторонами указанного Акта риск случайной гибели или повреждения Результата Работ по Объекту и Материально-технических ресурсов и оборудования, несет Подрядчик.</w:t>
      </w:r>
      <w:bookmarkEnd w:id="31"/>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Право собственности на Результат Работ в отношении каждого Объекта возникает у Заказчика с момента подписания Сторонами Акта КС-11.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4"/>
        </w:numPr>
        <w:shd w:val="clear" w:color="auto" w:fill="FFFFFF"/>
        <w:tabs>
          <w:tab w:val="clear" w:pos="709"/>
          <w:tab w:val="left" w:pos="1134" w:leader="none"/>
        </w:tabs>
        <w:ind w:left="0" w:firstLine="709"/>
        <w:jc w:val="both"/>
        <w:rPr>
          <w:bCs/>
        </w:rPr>
      </w:pPr>
      <w:r>
        <w:rPr>
          <w:bCs/>
        </w:rPr>
        <w:t>Подписание</w:t>
      </w:r>
      <w:r>
        <w:rPr>
          <w:iCs/>
        </w:rPr>
        <w:t xml:space="preserve"> Заказчиком </w:t>
      </w:r>
      <w:r>
        <w:rPr>
          <w:bCs/>
        </w:rPr>
        <w:t xml:space="preserve">Акта </w:t>
      </w:r>
      <w:r>
        <w:rPr/>
        <w:t xml:space="preserve">КС-11 </w:t>
      </w:r>
      <w:r>
        <w:rPr>
          <w:iCs/>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pPr>
        <w:pStyle w:val="ListParagraph"/>
        <w:numPr>
          <w:ilvl w:val="0"/>
          <w:numId w:val="0"/>
        </w:numPr>
        <w:shd w:val="clear" w:color="auto" w:fill="FFFFFF"/>
        <w:tabs>
          <w:tab w:val="clear" w:pos="709"/>
          <w:tab w:val="left" w:pos="1134" w:leader="none"/>
        </w:tabs>
        <w:ind w:left="0"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Банковские гарантии</w:t>
      </w:r>
    </w:p>
    <w:p>
      <w:pPr>
        <w:pStyle w:val="ListParagraph"/>
        <w:numPr>
          <w:ilvl w:val="1"/>
          <w:numId w:val="4"/>
        </w:numPr>
        <w:shd w:val="clear" w:color="auto" w:fill="FFFFFF"/>
        <w:tabs>
          <w:tab w:val="clear" w:pos="709"/>
          <w:tab w:val="left" w:pos="1134" w:leader="none"/>
        </w:tabs>
        <w:ind w:left="0" w:firstLine="709"/>
        <w:jc w:val="both"/>
        <w:rPr>
          <w:bCs/>
        </w:rPr>
      </w:pPr>
      <w:r>
        <w:rPr>
          <w:bCs/>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4"/>
        </w:numPr>
        <w:shd w:val="clear" w:color="auto" w:fill="FFFFFF"/>
        <w:tabs>
          <w:tab w:val="clear" w:pos="709"/>
          <w:tab w:val="left" w:pos="1418" w:leader="none"/>
        </w:tabs>
        <w:ind w:left="0" w:firstLine="709"/>
        <w:jc w:val="both"/>
        <w:rPr>
          <w:bCs/>
        </w:rPr>
      </w:pPr>
      <w:r>
        <w:rPr>
          <w:bCs/>
        </w:rPr>
        <w:t>Бенефициар по Банковской гарантии – Заказчик, принципал – Подрядчик;</w:t>
      </w:r>
    </w:p>
    <w:p>
      <w:pPr>
        <w:pStyle w:val="ListParagraph"/>
        <w:numPr>
          <w:ilvl w:val="2"/>
          <w:numId w:val="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учётом ранее выплаченных Подрядчику и неотработанных авансовых платежей; </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Сумма Банковской гарантии надлежащего исполнения обязательств по Договору в отношении </w:t>
      </w:r>
      <w:r>
        <w:rPr>
          <w:bCs/>
          <w:highlight w:val="lightGray"/>
        </w:rPr>
        <w:t>каждого</w:t>
      </w:r>
      <w:r>
        <w:rPr>
          <w:bCs/>
        </w:rPr>
        <w:t xml:space="preserve"> Объекта – не менее 10 (десяти) процентов от </w:t>
      </w:r>
      <w:r>
        <w:rPr>
          <w:bCs/>
          <w:highlight w:val="lightGray"/>
        </w:rPr>
        <w:t>соответствующего Объекта</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Подрядчиком нарушений, в том числе в случаях:</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нарушения Подрядчиком сроков</w:t>
      </w:r>
      <w:r>
        <w:rPr/>
        <w:t xml:space="preserve"> </w:t>
      </w:r>
      <w:r>
        <w:rPr>
          <w:bCs/>
          <w:sz w:val="24"/>
          <w:szCs w:val="24"/>
        </w:rPr>
        <w:t>выполнения Работ, установленных Календарным графиком выполнения Работ (Приложение № 3 к Договору) более, чем на 60 (шестьдесят) календарных дней;</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 xml:space="preserve">прекращения членства в СРО, основанной на членстве лиц, выполняющих </w:t>
      </w:r>
      <w:r>
        <w:rPr>
          <w:bCs/>
          <w:sz w:val="24"/>
          <w:szCs w:val="24"/>
          <w:highlight w:val="lightGray"/>
        </w:rPr>
        <w:t>осуществляющих строительство</w:t>
      </w:r>
      <w:r>
        <w:rPr>
          <w:bCs/>
          <w:sz w:val="24"/>
          <w:szCs w:val="24"/>
        </w:rPr>
        <w:t>;</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r>
      <w:r>
        <w:rPr>
          <w:bCs/>
          <w:sz w:val="24"/>
          <w:szCs w:val="24"/>
        </w:rPr>
        <w:t>в отношении Подрядчика;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6"/>
        </w:numPr>
        <w:tabs>
          <w:tab w:val="clear" w:pos="709"/>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bCs/>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ind w:firstLine="709"/>
        <w:rPr>
          <w:sz w:val="24"/>
          <w:szCs w:val="24"/>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Срок действия Банковской гарантии – не ранее 70 (семидесяти) календарных дней после наступления даты завершения Работ </w:t>
      </w:r>
      <w:r>
        <w:rPr>
          <w:bCs/>
          <w:highlight w:val="lightGray"/>
        </w:rPr>
        <w:t>соответствующему Объекту</w:t>
      </w:r>
      <w:r>
        <w:rPr>
          <w:bCs/>
        </w:rPr>
        <w:t>, установленной Договором;</w:t>
      </w:r>
    </w:p>
    <w:p>
      <w:pPr>
        <w:pStyle w:val="ListParagraph"/>
        <w:numPr>
          <w:ilvl w:val="2"/>
          <w:numId w:val="4"/>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6.1.1-6.1.9 Договора, или делающих такие требования неисполнимыми.</w:t>
      </w:r>
    </w:p>
    <w:p>
      <w:pPr>
        <w:pStyle w:val="ListParagraph"/>
        <w:numPr>
          <w:ilvl w:val="2"/>
          <w:numId w:val="4"/>
        </w:numPr>
        <w:shd w:val="clear" w:color="auto" w:fill="FFFFFF"/>
        <w:tabs>
          <w:tab w:val="clear" w:pos="709"/>
          <w:tab w:val="left" w:pos="1418" w:leader="none"/>
        </w:tabs>
        <w:ind w:left="0" w:firstLine="709"/>
        <w:jc w:val="both"/>
        <w:rPr>
          <w:bCs/>
        </w:rPr>
      </w:pPr>
      <w: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s>
        <w:ind w:left="0" w:firstLine="709"/>
        <w:jc w:val="both"/>
        <w:rPr>
          <w:bCs/>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s>
        <w:jc w:val="both"/>
        <w:rPr>
          <w:bCs/>
        </w:rPr>
      </w:pPr>
      <w:r>
        <w:rPr/>
        <w:t>- в оригинале на бумажном носителе.</w:t>
      </w:r>
    </w:p>
    <w:p>
      <w:pPr>
        <w:pStyle w:val="ListParagraph"/>
        <w:numPr>
          <w:ilvl w:val="1"/>
          <w:numId w:val="4"/>
        </w:numPr>
        <w:ind w:left="0" w:firstLine="709"/>
        <w:jc w:val="both"/>
        <w:rPr>
          <w:bCs/>
        </w:rPr>
      </w:pPr>
      <w:r>
        <w:rPr>
          <w:bCs/>
        </w:rPr>
        <w:t>Банк, выдавший Банковскую гарантию, должен соответствовать критериям, установленным в Приложении №17 к Договору.</w:t>
      </w:r>
    </w:p>
    <w:p>
      <w:pPr>
        <w:pStyle w:val="ListParagraph"/>
        <w:numPr>
          <w:ilvl w:val="1"/>
          <w:numId w:val="4"/>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4"/>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5"/>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5"/>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Подрядчик обязан предоставить Заказчику новую Банковскую гарантию</w:t>
      </w:r>
      <w:r>
        <w:rP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Подрядчиком в установленный срок новой Банковской гарантии Заказчик вправе удерживать сумму неотработанного аванса</w:t>
      </w:r>
      <w:r>
        <w:rPr>
          <w:rStyle w:val="FootnoteReference"/>
          <w:bCs/>
        </w:rPr>
        <w:footnoteReference w:id="10"/>
      </w:r>
      <w:r>
        <w:rPr>
          <w:bCs/>
        </w:rPr>
        <w:t xml:space="preserve"> при выплате каждого платежа, причитающегося Подрядчику, до полного зачета неотработанного аванса </w:t>
      </w:r>
      <w:r>
        <w:rPr/>
        <w:t>и / или сумму ранее выплаченного Обеспечительного платежа</w:t>
      </w:r>
      <w:r>
        <w:rPr>
          <w:rStyle w:val="FootnoteReference"/>
        </w:rPr>
        <w:footnoteReference w:id="11"/>
      </w:r>
      <w:r>
        <w:rPr/>
        <w:t xml:space="preserve"> при выплате каждого платежа, причитающегося Подрядчику.</w:t>
      </w:r>
    </w:p>
    <w:p>
      <w:pPr>
        <w:pStyle w:val="ListParagraph"/>
        <w:numPr>
          <w:ilvl w:val="1"/>
          <w:numId w:val="4"/>
        </w:numPr>
        <w:shd w:val="clear" w:color="auto" w:fill="FFFFFF"/>
        <w:tabs>
          <w:tab w:val="clear" w:pos="709"/>
          <w:tab w:val="left" w:pos="1134" w:leader="none"/>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4"/>
        </w:numPr>
        <w:shd w:val="clear" w:color="auto" w:fill="FFFFFF"/>
        <w:tabs>
          <w:tab w:val="clear" w:pos="709"/>
          <w:tab w:val="left" w:pos="1134" w:leader="none"/>
        </w:tabs>
        <w:ind w:left="0" w:firstLine="709"/>
        <w:jc w:val="both"/>
        <w:rPr>
          <w:bCs/>
        </w:rPr>
      </w:pPr>
      <w:r>
        <w:rPr>
          <w:bCs/>
        </w:rPr>
        <w:t>Положения пункта 3.5.1 Договора применяются, если совокупный размер авансовых платежей, уплаченных и подлежащих уплате по Договору в соответствии с выставленными счетами Подрядчика составляет 5 000 000 (Пять миллионов) рублей и более без учета НДС.</w:t>
      </w:r>
    </w:p>
    <w:p>
      <w:pPr>
        <w:pStyle w:val="ListParagraph"/>
        <w:numPr>
          <w:ilvl w:val="1"/>
          <w:numId w:val="4"/>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2"/>
      </w:r>
      <w:r>
        <w:rPr>
          <w:highlight w:val="lightGray"/>
        </w:rPr>
        <w:t>.</w:t>
      </w:r>
    </w:p>
    <w:p>
      <w:pPr>
        <w:pStyle w:val="ListParagraph"/>
        <w:numPr>
          <w:ilvl w:val="1"/>
          <w:numId w:val="4"/>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Ответственность Сторон</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одна десятая) процента от несвоевременно оплаченной суммы за каждый день просрочки. </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ListParagraph"/>
        <w:numPr>
          <w:ilvl w:val="2"/>
          <w:numId w:val="4"/>
        </w:numPr>
        <w:shd w:val="clear" w:color="auto" w:fill="FFFFFF"/>
        <w:tabs>
          <w:tab w:val="left" w:pos="0" w:leader="none"/>
          <w:tab w:val="left" w:pos="709" w:leader="none"/>
          <w:tab w:val="left" w:pos="1418" w:leader="none"/>
        </w:tabs>
        <w:ind w:left="0" w:firstLine="709"/>
        <w:jc w:val="both"/>
        <w:rPr>
          <w:bCs/>
        </w:rPr>
      </w:pPr>
      <w:r>
        <w:rPr>
          <w:rFonts w:eastAsia="Calibri"/>
          <w:bCs/>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4"/>
        </w:numPr>
        <w:shd w:val="clear" w:color="auto" w:fill="FFFFFF"/>
        <w:tabs>
          <w:tab w:val="left" w:pos="0" w:leader="none"/>
          <w:tab w:val="left" w:pos="709" w:leader="none"/>
          <w:tab w:val="left" w:pos="1418" w:leader="none"/>
        </w:tabs>
        <w:ind w:left="0" w:firstLine="709"/>
        <w:jc w:val="both"/>
        <w:rPr>
          <w:bCs/>
        </w:rPr>
      </w:pPr>
      <w:r>
        <w:rPr>
          <w:rFonts w:eastAsia="Calibri"/>
          <w:bCs/>
        </w:rPr>
        <w:t>Неустойки в размере 0,1 (ноль целых и одна десятая) процента от Цены Договора</w:t>
      </w:r>
      <w:r>
        <w:rPr>
          <w:rFonts w:eastAsia="Calibri"/>
          <w:bCs/>
          <w:highlight w:val="lightGray"/>
        </w:rPr>
        <w:t>/Объекта</w:t>
      </w:r>
      <w:r>
        <w:rPr>
          <w:rFonts w:eastAsia="Calibri"/>
          <w:bCs/>
        </w:rPr>
        <w:t xml:space="preserve">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rPr>
        <w:t xml:space="preserve">в целом </w:t>
      </w:r>
      <w:r>
        <w:rPr>
          <w:rFonts w:eastAsia="Calibri"/>
          <w:bCs/>
        </w:rPr>
        <w:t xml:space="preserve">по Договору </w:t>
      </w:r>
      <w:r>
        <w:rPr>
          <w:rFonts w:eastAsia="Calibri"/>
          <w:bCs/>
          <w:highlight w:val="lightGray"/>
        </w:rPr>
        <w:t>и / или соответствующего Объекта</w:t>
      </w:r>
      <w:r>
        <w:rPr>
          <w:rFonts w:eastAsia="Calibri"/>
          <w:bCs/>
        </w:rPr>
        <w:t xml:space="preserve">; </w:t>
      </w:r>
    </w:p>
    <w:p>
      <w:pPr>
        <w:pStyle w:val="ListParagraph"/>
        <w:numPr>
          <w:ilvl w:val="2"/>
          <w:numId w:val="4"/>
        </w:numPr>
        <w:shd w:val="clear" w:color="auto" w:fill="FFFFFF"/>
        <w:tabs>
          <w:tab w:val="left" w:pos="0" w:leader="none"/>
          <w:tab w:val="left" w:pos="709" w:leader="none"/>
          <w:tab w:val="left" w:pos="1418" w:leader="none"/>
        </w:tabs>
        <w:ind w:left="0" w:firstLine="709"/>
        <w:jc w:val="both"/>
        <w:rPr>
          <w:bCs/>
        </w:rPr>
      </w:pPr>
      <w:r>
        <w:rPr>
          <w:rFonts w:eastAsia="Calibri"/>
          <w:bCs/>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rPr>
        <w:t xml:space="preserve">в целом </w:t>
      </w:r>
      <w:r>
        <w:rPr>
          <w:rFonts w:eastAsia="Calibri"/>
          <w:bCs/>
        </w:rPr>
        <w:t xml:space="preserve">по Договору </w:t>
      </w:r>
      <w:r>
        <w:rPr>
          <w:rFonts w:eastAsia="Calibri"/>
          <w:bCs/>
          <w:highlight w:val="lightGray"/>
        </w:rPr>
        <w:t>и / или соответствующего Объекта</w:t>
      </w:r>
      <w:r>
        <w:rPr>
          <w:rFonts w:eastAsia="Calibri"/>
          <w:bCs/>
        </w:rPr>
        <w:t>.</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ListParagraph"/>
        <w:numPr>
          <w:ilvl w:val="1"/>
          <w:numId w:val="4"/>
        </w:numPr>
        <w:shd w:val="clear" w:color="auto" w:fill="FFFFFF"/>
        <w:tabs>
          <w:tab w:val="clear" w:pos="709"/>
          <w:tab w:val="left" w:pos="1134" w:leader="none"/>
        </w:tabs>
        <w:ind w:left="0" w:firstLine="709"/>
        <w:jc w:val="both"/>
        <w:rPr>
          <w:bCs/>
        </w:rPr>
      </w:pPr>
      <w:r>
        <w:rPr>
          <w:bCs/>
        </w:rPr>
        <w:t>Если в результате составления и выставления Подрядчиком счетов-фактур</w:t>
      </w:r>
      <w:r>
        <w:rPr>
          <w:bCs/>
          <w:color w:val="000000"/>
        </w:rPr>
        <w:t xml:space="preserve"> </w:t>
      </w:r>
      <w:r>
        <w:rPr>
          <w:bCs/>
        </w:rPr>
        <w:t>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счетов-фактур/УПД, установленных пунктом 4.9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4"/>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bCs/>
        </w:rPr>
      </w:pPr>
      <w:r>
        <w:rPr>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6"/>
        </w:numPr>
        <w:shd w:val="clear" w:color="auto" w:fill="FFFFFF"/>
        <w:tabs>
          <w:tab w:val="clear" w:pos="709"/>
          <w:tab w:val="left" w:pos="1134"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pacing w:lineRule="auto" w:line="240"/>
        <w:rPr>
          <w:b/>
          <w:color w:val="000000"/>
          <w:sz w:val="24"/>
          <w:szCs w:val="24"/>
        </w:rPr>
      </w:pPr>
      <w:r>
        <w:rPr>
          <w:b/>
          <w:color w:val="000000"/>
          <w:sz w:val="24"/>
          <w:szCs w:val="24"/>
        </w:rPr>
      </w:r>
    </w:p>
    <w:p>
      <w:pPr>
        <w:pStyle w:val="ListParagraph"/>
        <w:numPr>
          <w:ilvl w:val="0"/>
          <w:numId w:val="26"/>
        </w:numPr>
        <w:shd w:val="clear" w:color="auto" w:fill="FFFFFF"/>
        <w:tabs>
          <w:tab w:val="clear" w:pos="709"/>
          <w:tab w:val="left" w:pos="284" w:leader="none"/>
        </w:tabs>
        <w:ind w:left="0" w:hanging="0"/>
        <w:jc w:val="center"/>
        <w:rPr>
          <w:b/>
          <w:bCs/>
        </w:rPr>
      </w:pPr>
      <w:r>
        <w:rPr>
          <w:b/>
          <w:bCs/>
        </w:rPr>
        <w:t>Гарантии качества Результата Работ</w:t>
      </w:r>
    </w:p>
    <w:p>
      <w:pPr>
        <w:pStyle w:val="ListParagraph"/>
        <w:numPr>
          <w:ilvl w:val="1"/>
          <w:numId w:val="30"/>
        </w:numPr>
        <w:tabs>
          <w:tab w:val="clear" w:pos="709"/>
          <w:tab w:val="left" w:pos="1134" w:leader="none"/>
        </w:tabs>
        <w:ind w:left="0" w:firstLine="571"/>
        <w:jc w:val="both"/>
        <w:rPr>
          <w:bCs/>
        </w:rPr>
      </w:pPr>
      <w:bookmarkStart w:id="32" w:name="_Ref361337777"/>
      <w:r>
        <w:rPr/>
        <w:t>Гарантийный</w:t>
      </w:r>
      <w:r>
        <w:rPr>
          <w:bCs/>
        </w:rPr>
        <w:t xml:space="preserve"> срок по Договору составляет </w:t>
      </w:r>
      <w:r>
        <w:rPr>
          <w:highlight w:val="lightGray"/>
        </w:rPr>
        <w:t xml:space="preserve">____ </w:t>
      </w:r>
      <w:r>
        <w:rPr>
          <w:bCs/>
          <w:highlight w:val="lightGray"/>
        </w:rPr>
        <w:t>(____________)</w:t>
      </w:r>
      <w:r>
        <w:rPr>
          <w:highlight w:val="lightGray"/>
        </w:rPr>
        <w:t xml:space="preserve"> месяцев</w:t>
      </w:r>
      <w:r>
        <w:rPr>
          <w:bCs/>
          <w:highlight w:val="lightGray"/>
        </w:rPr>
        <w:t xml:space="preserve"> и начинает течь с даты подписания Сторонами А</w:t>
      </w:r>
      <w:r>
        <w:rPr>
          <w:highlight w:val="lightGray"/>
        </w:rPr>
        <w:t>кта КС-11</w:t>
      </w:r>
      <w:r>
        <w:rPr>
          <w:bCs/>
          <w:highlight w:val="lightGray"/>
        </w:rPr>
        <w:t xml:space="preserve"> </w:t>
      </w:r>
      <w:bookmarkEnd w:id="32"/>
      <w:r>
        <w:rPr>
          <w:bCs/>
          <w:highlight w:val="lightGray"/>
        </w:rPr>
        <w:t>либо с даты прекращения (расторжения) Договора</w:t>
      </w:r>
      <w:r>
        <w:rPr>
          <w:bCs/>
        </w:rPr>
        <w:t xml:space="preserve">. Гарантийный срок может быть продлен в соответствии с условиями Договора. </w:t>
      </w:r>
    </w:p>
    <w:p>
      <w:pPr>
        <w:pStyle w:val="ListParagraph"/>
        <w:numPr>
          <w:ilvl w:val="1"/>
          <w:numId w:val="30"/>
        </w:numPr>
        <w:shd w:val="clear" w:color="auto" w:fill="FFFFFF"/>
        <w:tabs>
          <w:tab w:val="clear" w:pos="709"/>
          <w:tab w:val="left" w:pos="568" w:leader="none"/>
          <w:tab w:val="left" w:pos="1134" w:leader="none"/>
        </w:tabs>
        <w:ind w:left="0" w:firstLine="571"/>
        <w:jc w:val="both"/>
        <w:rPr>
          <w:bCs/>
        </w:rPr>
      </w:pPr>
      <w:r>
        <w:rPr>
          <w:bCs/>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30"/>
        </w:numPr>
        <w:shd w:val="clear" w:color="auto" w:fill="FFFFFF"/>
        <w:tabs>
          <w:tab w:val="clear" w:pos="709"/>
          <w:tab w:val="left" w:pos="1134" w:leader="none"/>
        </w:tabs>
        <w:ind w:left="0" w:firstLine="571"/>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30"/>
        </w:numPr>
        <w:shd w:val="clear" w:color="auto" w:fill="FFFFFF"/>
        <w:tabs>
          <w:tab w:val="clear" w:pos="709"/>
          <w:tab w:val="left" w:pos="1134" w:leader="none"/>
        </w:tabs>
        <w:ind w:left="0" w:firstLine="571"/>
        <w:jc w:val="both"/>
        <w:rPr>
          <w:bCs/>
        </w:rPr>
      </w:pPr>
      <w:bookmarkStart w:id="33"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33"/>
      <w:r>
        <w:rPr>
          <w:bCs/>
        </w:rPr>
        <w:t xml:space="preserve"> </w:t>
      </w:r>
    </w:p>
    <w:p>
      <w:pPr>
        <w:pStyle w:val="ListParagraph"/>
        <w:numPr>
          <w:ilvl w:val="1"/>
          <w:numId w:val="30"/>
        </w:numPr>
        <w:shd w:val="clear" w:color="auto" w:fill="FFFFFF"/>
        <w:tabs>
          <w:tab w:val="clear" w:pos="709"/>
          <w:tab w:val="left" w:pos="1134" w:leader="none"/>
        </w:tabs>
        <w:ind w:left="0" w:firstLine="571"/>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30"/>
        </w:numPr>
        <w:shd w:val="clear" w:color="auto" w:fill="FFFFFF"/>
        <w:tabs>
          <w:tab w:val="clear" w:pos="709"/>
          <w:tab w:val="left" w:pos="1134" w:leader="none"/>
        </w:tabs>
        <w:ind w:left="0" w:firstLine="571"/>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34" w:name="OLE_LINK5"/>
      <w:bookmarkStart w:id="35" w:name="OLE_LINK6"/>
      <w:r>
        <w:rPr>
          <w:bCs/>
        </w:rPr>
        <w:t>Акте о недостатках, составленном в порядке, установленном пунктом 8.5 Договора</w:t>
      </w:r>
      <w:bookmarkEnd w:id="34"/>
      <w:bookmarkEnd w:id="35"/>
      <w:r>
        <w:rPr>
          <w:bCs/>
        </w:rPr>
        <w:t>.</w:t>
      </w:r>
      <w:r>
        <w:rPr/>
        <w:t xml:space="preserve"> </w:t>
      </w:r>
    </w:p>
    <w:p>
      <w:pPr>
        <w:pStyle w:val="ListParagraph"/>
        <w:numPr>
          <w:ilvl w:val="1"/>
          <w:numId w:val="30"/>
        </w:numPr>
        <w:shd w:val="clear" w:color="auto" w:fill="FFFFFF"/>
        <w:tabs>
          <w:tab w:val="clear" w:pos="709"/>
          <w:tab w:val="left" w:pos="1134" w:leader="none"/>
        </w:tabs>
        <w:ind w:left="0" w:firstLine="571"/>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30"/>
        </w:numPr>
        <w:shd w:val="clear" w:color="auto" w:fill="FFFFFF"/>
        <w:tabs>
          <w:tab w:val="clear" w:pos="709"/>
          <w:tab w:val="left" w:pos="1134" w:leader="none"/>
        </w:tabs>
        <w:ind w:left="0" w:firstLine="571"/>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30"/>
        </w:numPr>
        <w:shd w:val="clear" w:color="auto" w:fill="FFFFFF"/>
        <w:tabs>
          <w:tab w:val="clear" w:pos="709"/>
          <w:tab w:val="left" w:pos="1134" w:leader="none"/>
        </w:tabs>
        <w:ind w:left="0" w:firstLine="571"/>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9"/>
          <w:tab w:val="left" w:pos="566" w:leader="none"/>
        </w:tabs>
        <w:spacing w:lineRule="auto" w:line="240"/>
        <w:ind w:hanging="0"/>
        <w:rPr>
          <w:color w:val="000000"/>
          <w:sz w:val="24"/>
          <w:szCs w:val="24"/>
        </w:rPr>
      </w:pPr>
      <w:r>
        <w:rPr>
          <w:color w:val="000000"/>
          <w:sz w:val="24"/>
          <w:szCs w:val="24"/>
        </w:rPr>
      </w:r>
    </w:p>
    <w:p>
      <w:pPr>
        <w:pStyle w:val="ListParagraph"/>
        <w:numPr>
          <w:ilvl w:val="0"/>
          <w:numId w:val="30"/>
        </w:numPr>
        <w:shd w:val="clear" w:color="auto" w:fill="FFFFFF"/>
        <w:tabs>
          <w:tab w:val="clear" w:pos="709"/>
          <w:tab w:val="left" w:pos="426" w:leader="none"/>
        </w:tabs>
        <w:ind w:left="0" w:hanging="0"/>
        <w:jc w:val="center"/>
        <w:rPr>
          <w:b/>
          <w:bCs/>
        </w:rPr>
      </w:pPr>
      <w:r>
        <w:rPr>
          <w:b/>
          <w:bCs/>
        </w:rPr>
        <w:t>Исключительные права и патенты</w:t>
      </w:r>
    </w:p>
    <w:p>
      <w:pPr>
        <w:pStyle w:val="ListParagraph"/>
        <w:numPr>
          <w:ilvl w:val="1"/>
          <w:numId w:val="30"/>
        </w:numPr>
        <w:shd w:val="clear" w:color="auto" w:fill="FFFFFF"/>
        <w:tabs>
          <w:tab w:val="clear" w:pos="709"/>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30"/>
        </w:numPr>
        <w:shd w:val="clear" w:color="auto" w:fill="FFFFFF"/>
        <w:tabs>
          <w:tab w:val="clear" w:pos="709"/>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30"/>
        </w:numPr>
        <w:shd w:val="clear" w:color="auto" w:fill="FFFFFF"/>
        <w:tabs>
          <w:tab w:val="clear" w:pos="709"/>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30"/>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30"/>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30"/>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30"/>
        </w:numPr>
        <w:shd w:val="clear" w:color="auto" w:fill="FFFFFF"/>
        <w:tabs>
          <w:tab w:val="clear" w:pos="709"/>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30"/>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30"/>
        </w:numPr>
        <w:shd w:val="clear" w:color="auto" w:fill="FFFFFF"/>
        <w:tabs>
          <w:tab w:val="clear" w:pos="709"/>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7"/>
        </w:numPr>
        <w:tabs>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30"/>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30"/>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30"/>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30"/>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бизнес-планы;</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30"/>
        </w:numPr>
        <w:shd w:val="clear" w:color="auto" w:fill="FFFFFF"/>
        <w:tabs>
          <w:tab w:val="clear" w:pos="709"/>
          <w:tab w:val="left" w:pos="1134" w:leader="none"/>
        </w:tabs>
        <w:ind w:left="0" w:firstLine="709"/>
        <w:jc w:val="both"/>
        <w:rPr>
          <w:bCs/>
        </w:rPr>
      </w:pPr>
      <w:bookmarkStart w:id="36"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36"/>
      <w:r>
        <w:rPr>
          <w:bCs/>
        </w:rPr>
        <w:t xml:space="preserve"> </w:t>
      </w:r>
    </w:p>
    <w:p>
      <w:pPr>
        <w:pStyle w:val="ListParagraph"/>
        <w:numPr>
          <w:ilvl w:val="2"/>
          <w:numId w:val="30"/>
        </w:numPr>
        <w:shd w:val="clear" w:color="auto" w:fill="FFFFFF"/>
        <w:tabs>
          <w:tab w:val="clear" w:pos="709"/>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30"/>
        </w:numPr>
        <w:shd w:val="clear" w:color="auto" w:fill="FFFFFF"/>
        <w:tabs>
          <w:tab w:val="clear" w:pos="709"/>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30"/>
        </w:numPr>
        <w:shd w:val="clear" w:color="auto" w:fill="FFFFFF"/>
        <w:tabs>
          <w:tab w:val="clear" w:pos="709"/>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30"/>
        </w:numPr>
        <w:shd w:val="clear" w:color="auto" w:fill="FFFFFF"/>
        <w:tabs>
          <w:tab w:val="clear" w:pos="709"/>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30"/>
        </w:numPr>
        <w:shd w:val="clear" w:color="auto" w:fill="FFFFFF"/>
        <w:tabs>
          <w:tab w:val="clear" w:pos="709"/>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30"/>
        </w:numPr>
        <w:shd w:val="clear" w:color="auto" w:fill="FFFFFF"/>
        <w:tabs>
          <w:tab w:val="clear" w:pos="709"/>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30"/>
        </w:numPr>
        <w:shd w:val="clear" w:color="auto" w:fill="FFFFFF"/>
        <w:tabs>
          <w:tab w:val="clear" w:pos="709"/>
          <w:tab w:val="left" w:pos="1701" w:leader="none"/>
        </w:tabs>
        <w:ind w:left="0" w:firstLine="709"/>
        <w:jc w:val="both"/>
        <w:rPr>
          <w:bCs/>
        </w:rPr>
      </w:pPr>
      <w:bookmarkStart w:id="37"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7"/>
    </w:p>
    <w:p>
      <w:pPr>
        <w:pStyle w:val="ListParagraph"/>
        <w:numPr>
          <w:ilvl w:val="2"/>
          <w:numId w:val="30"/>
        </w:numPr>
        <w:shd w:val="clear" w:color="auto" w:fill="FFFFFF"/>
        <w:tabs>
          <w:tab w:val="clear" w:pos="709"/>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30"/>
        </w:numPr>
        <w:shd w:val="clear" w:color="auto" w:fill="FFFFFF"/>
        <w:tabs>
          <w:tab w:val="clear" w:pos="709"/>
          <w:tab w:val="left" w:pos="1134" w:leader="none"/>
        </w:tabs>
        <w:ind w:left="0" w:firstLine="709"/>
        <w:jc w:val="both"/>
        <w:rPr>
          <w:bCs/>
        </w:rPr>
      </w:pPr>
      <w:bookmarkStart w:id="38"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8"/>
    </w:p>
    <w:p>
      <w:pPr>
        <w:pStyle w:val="ListParagraph"/>
        <w:numPr>
          <w:ilvl w:val="1"/>
          <w:numId w:val="30"/>
        </w:numPr>
        <w:shd w:val="clear" w:color="auto" w:fill="FFFFFF"/>
        <w:tabs>
          <w:tab w:val="clear" w:pos="709"/>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30"/>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30"/>
        </w:numPr>
        <w:shd w:val="clear" w:color="auto" w:fill="FFFFFF"/>
        <w:tabs>
          <w:tab w:val="clear" w:pos="709"/>
          <w:tab w:val="left" w:pos="426" w:leader="none"/>
        </w:tabs>
        <w:ind w:left="0" w:hanging="0"/>
        <w:jc w:val="center"/>
        <w:rPr>
          <w:bCs/>
        </w:rPr>
      </w:pPr>
      <w:r>
        <w:rPr>
          <w:b/>
          <w:bCs/>
        </w:rPr>
        <w:t>Разрешение споров</w:t>
      </w:r>
    </w:p>
    <w:p>
      <w:pPr>
        <w:pStyle w:val="ListParagraph"/>
        <w:numPr>
          <w:ilvl w:val="1"/>
          <w:numId w:val="30"/>
        </w:numPr>
        <w:shd w:val="clear" w:color="auto" w:fill="FFFFFF"/>
        <w:tabs>
          <w:tab w:val="clear" w:pos="709"/>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30"/>
        </w:numPr>
        <w:shd w:val="clear" w:color="auto" w:fill="FFFFFF"/>
        <w:tabs>
          <w:tab w:val="clear" w:pos="709"/>
          <w:tab w:val="left" w:pos="1134" w:leader="none"/>
          <w:tab w:val="left" w:pos="1418" w:leader="none"/>
        </w:tabs>
        <w:ind w:left="0" w:firstLine="709"/>
        <w:jc w:val="both"/>
        <w:rPr>
          <w:bCs/>
        </w:rPr>
      </w:pPr>
      <w:r>
        <w:rPr>
          <w:bCs/>
        </w:rPr>
        <w:t xml:space="preserve">Споры, указанные в пункте 11.1 Договора, которые не были урегулированы Сторонами путем переговоров, подлежат разрешению в Арбитражном суде </w:t>
      </w:r>
      <w:r>
        <w:rPr>
          <w:bCs/>
          <w:highlight w:val="lightGray"/>
        </w:rPr>
        <w:t>Амурской области</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6.1.10 Договора.</w:t>
      </w:r>
    </w:p>
    <w:p>
      <w:pPr>
        <w:pStyle w:val="ListParagraph"/>
        <w:numPr>
          <w:ilvl w:val="1"/>
          <w:numId w:val="30"/>
        </w:numPr>
        <w:shd w:val="clear" w:color="auto" w:fill="FFFFFF"/>
        <w:tabs>
          <w:tab w:val="clear" w:pos="709"/>
          <w:tab w:val="left" w:pos="1134" w:leader="none"/>
          <w:tab w:val="left" w:pos="1418"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17.8</w:t>
      </w:r>
      <w:r>
        <w:rPr>
          <w:bCs/>
        </w:rPr>
        <w:t xml:space="preserve"> Договора.</w:t>
      </w:r>
    </w:p>
    <w:p>
      <w:pPr>
        <w:pStyle w:val="ListParagraph"/>
        <w:numPr>
          <w:ilvl w:val="1"/>
          <w:numId w:val="30"/>
        </w:numPr>
        <w:shd w:val="clear" w:color="auto" w:fill="FFFFFF"/>
        <w:tabs>
          <w:tab w:val="clear" w:pos="709"/>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30"/>
        </w:numPr>
        <w:shd w:val="clear" w:color="auto" w:fill="FFFFFF"/>
        <w:tabs>
          <w:tab w:val="clear" w:pos="709"/>
          <w:tab w:val="left" w:pos="1134" w:leader="none"/>
          <w:tab w:val="left" w:pos="1418"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709" w:hanging="0"/>
        <w:jc w:val="both"/>
        <w:rPr>
          <w:bCs/>
        </w:rPr>
      </w:pPr>
      <w:r>
        <w:rPr>
          <w:bCs/>
        </w:rPr>
      </w:r>
    </w:p>
    <w:p>
      <w:pPr>
        <w:pStyle w:val="ListParagraph"/>
        <w:numPr>
          <w:ilvl w:val="0"/>
          <w:numId w:val="30"/>
        </w:numPr>
        <w:shd w:val="clear" w:color="auto" w:fill="FFFFFF"/>
        <w:ind w:left="357" w:hanging="0"/>
        <w:jc w:val="center"/>
        <w:rPr>
          <w:b/>
          <w:bCs/>
        </w:rPr>
      </w:pPr>
      <w:r>
        <w:rPr>
          <w:b/>
          <w:bCs/>
        </w:rPr>
        <w:t>Антикоррупционная оговорка</w:t>
      </w:r>
    </w:p>
    <w:p>
      <w:pPr>
        <w:pStyle w:val="ListParagraph"/>
        <w:numPr>
          <w:ilvl w:val="1"/>
          <w:numId w:val="27"/>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7"/>
        </w:numPr>
        <w:shd w:val="clear" w:color="auto" w:fill="FFFFFF"/>
        <w:tabs>
          <w:tab w:val="clear" w:pos="709"/>
          <w:tab w:val="left" w:pos="1134"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7"/>
        </w:numPr>
        <w:shd w:val="clear" w:color="auto" w:fill="FFFFFF"/>
        <w:tabs>
          <w:tab w:val="clear" w:pos="709"/>
          <w:tab w:val="left" w:pos="1134"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7"/>
        </w:numPr>
        <w:shd w:val="clear" w:color="auto" w:fill="FFFFFF"/>
        <w:tabs>
          <w:tab w:val="clear" w:pos="709"/>
          <w:tab w:val="left" w:pos="1134"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7"/>
        </w:numPr>
        <w:shd w:val="clear" w:color="auto" w:fill="FFFFFF"/>
        <w:tabs>
          <w:tab w:val="clear" w:pos="709"/>
          <w:tab w:val="left" w:pos="1134"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7"/>
        </w:numPr>
        <w:shd w:val="clear" w:color="auto" w:fill="FFFFFF"/>
        <w:tabs>
          <w:tab w:val="clear" w:pos="709"/>
          <w:tab w:val="left" w:pos="1134"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27"/>
        </w:numPr>
        <w:shd w:val="clear" w:color="auto" w:fill="FFFFFF"/>
        <w:tabs>
          <w:tab w:val="clear" w:pos="709"/>
          <w:tab w:val="left" w:pos="1134" w:leader="none"/>
        </w:tabs>
        <w:ind w:left="0" w:firstLine="709"/>
        <w:jc w:val="both"/>
        <w:rPr>
          <w:bCs/>
          <w:color w:val="000000"/>
        </w:rPr>
      </w:pPr>
      <w:r>
        <w:rPr>
          <w:color w:val="000000"/>
        </w:rPr>
        <w:t xml:space="preserve">Каналы связи Линия доверия Группы РусГидро: </w:t>
      </w:r>
    </w:p>
    <w:p>
      <w:pPr>
        <w:pStyle w:val="ListParagraph"/>
        <w:widowControl w:val="false"/>
        <w:numPr>
          <w:ilvl w:val="2"/>
          <w:numId w:val="27"/>
        </w:numPr>
        <w:shd w:val="clear" w:color="auto" w:fill="FFFFFF"/>
        <w:tabs>
          <w:tab w:val="clear" w:pos="709"/>
          <w:tab w:val="left" w:pos="1134" w:leader="none"/>
        </w:tabs>
        <w:ind w:left="0" w:firstLine="709"/>
        <w:jc w:val="both"/>
        <w:rPr/>
      </w:pPr>
      <w:r>
        <w:rPr/>
        <w:t>Электронная почта: ld@rushydro.ru.</w:t>
      </w:r>
    </w:p>
    <w:p>
      <w:pPr>
        <w:pStyle w:val="ListParagraph"/>
        <w:widowControl w:val="false"/>
        <w:numPr>
          <w:ilvl w:val="2"/>
          <w:numId w:val="27"/>
        </w:numPr>
        <w:shd w:val="clear" w:color="auto" w:fill="FFFFFF"/>
        <w:tabs>
          <w:tab w:val="clear" w:pos="709"/>
          <w:tab w:val="left" w:pos="1134" w:leader="none"/>
        </w:tabs>
        <w:ind w:left="0" w:firstLine="709"/>
        <w:jc w:val="both"/>
        <w:rPr/>
      </w:pPr>
      <w:r>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ListParagraph"/>
        <w:widowControl w:val="false"/>
        <w:numPr>
          <w:ilvl w:val="2"/>
          <w:numId w:val="27"/>
        </w:numPr>
        <w:shd w:val="clear" w:color="auto" w:fill="FFFFFF"/>
        <w:tabs>
          <w:tab w:val="clear" w:pos="709"/>
          <w:tab w:val="left" w:pos="1134" w:leader="none"/>
        </w:tabs>
        <w:ind w:left="0" w:firstLine="709"/>
        <w:jc w:val="both"/>
        <w:rPr/>
      </w:pPr>
      <w: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b/>
          <w:sz w:val="24"/>
          <w:szCs w:val="24"/>
        </w:rPr>
      </w:pPr>
      <w:r>
        <w:rPr>
          <w:b/>
          <w:sz w:val="24"/>
          <w:szCs w:val="24"/>
        </w:rPr>
      </w:r>
    </w:p>
    <w:p>
      <w:pPr>
        <w:pStyle w:val="ListParagraph"/>
        <w:numPr>
          <w:ilvl w:val="0"/>
          <w:numId w:val="27"/>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7"/>
        </w:numPr>
        <w:shd w:val="clear" w:color="auto" w:fill="FFFFFF"/>
        <w:tabs>
          <w:tab w:val="clear" w:pos="709"/>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7"/>
        </w:numPr>
        <w:shd w:val="clear" w:color="auto" w:fill="FFFFFF"/>
        <w:tabs>
          <w:tab w:val="clear" w:pos="709"/>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7"/>
        </w:numPr>
        <w:shd w:val="clear" w:color="auto" w:fill="FFFFFF"/>
        <w:tabs>
          <w:tab w:val="clear" w:pos="709"/>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7"/>
        </w:numPr>
        <w:shd w:val="clear" w:color="auto" w:fill="FFFFFF"/>
        <w:tabs>
          <w:tab w:val="clear" w:pos="709"/>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7"/>
        </w:numPr>
        <w:shd w:val="clear" w:color="auto" w:fill="FFFFFF"/>
        <w:tabs>
          <w:tab w:val="clear" w:pos="709"/>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7"/>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7"/>
        </w:numPr>
        <w:shd w:val="clear" w:color="auto" w:fill="FFFFFF"/>
        <w:tabs>
          <w:tab w:val="clear" w:pos="709"/>
          <w:tab w:val="left" w:pos="1134" w:leader="none"/>
        </w:tabs>
        <w:ind w:left="0" w:firstLine="709"/>
        <w:jc w:val="both"/>
        <w:rPr>
          <w:bCs/>
        </w:rPr>
      </w:pPr>
      <w:bookmarkStart w:id="39"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9"/>
    </w:p>
    <w:p>
      <w:pPr>
        <w:pStyle w:val="ListParagraph"/>
        <w:numPr>
          <w:ilvl w:val="1"/>
          <w:numId w:val="27"/>
        </w:numPr>
        <w:shd w:val="clear" w:color="auto" w:fill="FFFFFF"/>
        <w:tabs>
          <w:tab w:val="clear" w:pos="709"/>
          <w:tab w:val="left" w:pos="1134" w:leader="none"/>
        </w:tabs>
        <w:ind w:left="0" w:firstLine="709"/>
        <w:jc w:val="both"/>
        <w:rPr>
          <w:bCs/>
        </w:rPr>
      </w:pPr>
      <w:bookmarkStart w:id="40"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40"/>
    </w:p>
    <w:p>
      <w:pPr>
        <w:pStyle w:val="ListParagraph"/>
        <w:numPr>
          <w:ilvl w:val="1"/>
          <w:numId w:val="27"/>
        </w:numPr>
        <w:shd w:val="clear" w:color="auto" w:fill="FFFFFF"/>
        <w:tabs>
          <w:tab w:val="clear" w:pos="709"/>
          <w:tab w:val="left" w:pos="1134" w:leader="none"/>
        </w:tabs>
        <w:ind w:left="0" w:firstLine="709"/>
        <w:jc w:val="both"/>
        <w:rPr>
          <w:bCs/>
        </w:rPr>
      </w:pPr>
      <w:bookmarkStart w:id="41" w:name="_Ref361337948"/>
      <w:r>
        <w:rPr>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41"/>
    </w:p>
    <w:p>
      <w:pPr>
        <w:pStyle w:val="ListParagraph"/>
        <w:numPr>
          <w:ilvl w:val="1"/>
          <w:numId w:val="27"/>
        </w:numPr>
        <w:shd w:val="clear" w:color="auto" w:fill="FFFFFF"/>
        <w:tabs>
          <w:tab w:val="clear" w:pos="709"/>
          <w:tab w:val="left" w:pos="1134" w:leader="none"/>
        </w:tabs>
        <w:ind w:left="0" w:firstLine="709"/>
        <w:jc w:val="both"/>
        <w:rPr>
          <w:bCs/>
        </w:rPr>
      </w:pPr>
      <w:bookmarkStart w:id="42"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42"/>
    </w:p>
    <w:p>
      <w:pPr>
        <w:pStyle w:val="ListParagraph"/>
        <w:numPr>
          <w:ilvl w:val="1"/>
          <w:numId w:val="27"/>
        </w:numPr>
        <w:shd w:val="clear" w:color="auto" w:fill="FFFFFF"/>
        <w:tabs>
          <w:tab w:val="clear" w:pos="709"/>
          <w:tab w:val="left" w:pos="1134" w:leader="none"/>
        </w:tabs>
        <w:ind w:left="0" w:firstLine="709"/>
        <w:jc w:val="both"/>
        <w:rPr>
          <w:bCs/>
        </w:rPr>
      </w:pPr>
      <w:bookmarkStart w:id="43" w:name="_Ref373243071"/>
      <w:r>
        <w:rPr>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14.3 Договора.</w:t>
      </w:r>
      <w:bookmarkEnd w:id="43"/>
    </w:p>
    <w:p>
      <w:pPr>
        <w:pStyle w:val="ListParagraph"/>
        <w:numPr>
          <w:ilvl w:val="1"/>
          <w:numId w:val="27"/>
        </w:numPr>
        <w:shd w:val="clear" w:color="auto" w:fill="FFFFFF"/>
        <w:tabs>
          <w:tab w:val="clear" w:pos="709"/>
          <w:tab w:val="left" w:pos="1134" w:leader="none"/>
        </w:tabs>
        <w:ind w:left="0" w:firstLine="709"/>
        <w:jc w:val="both"/>
        <w:rPr>
          <w:bCs/>
        </w:rPr>
      </w:pPr>
      <w:bookmarkStart w:id="44"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44"/>
    </w:p>
    <w:p>
      <w:pPr>
        <w:pStyle w:val="ListParagraph"/>
        <w:numPr>
          <w:ilvl w:val="1"/>
          <w:numId w:val="27"/>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27"/>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11"/>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1"/>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1"/>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1"/>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1"/>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13"/>
        </w:numPr>
        <w:shd w:val="clear" w:color="auto" w:fill="FFFFFF"/>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13"/>
        </w:numPr>
        <w:shd w:val="clear" w:color="auto" w:fill="FFFFFF"/>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13"/>
        </w:numPr>
        <w:shd w:val="clear" w:color="auto" w:fill="FFFFFF"/>
        <w:tabs>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13"/>
        </w:numPr>
        <w:shd w:val="clear" w:color="auto" w:fill="FFFFFF"/>
        <w:tabs>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Подрядчик состоит в СРО, основанной на членстве лиц</w:t>
      </w:r>
      <w:r>
        <w:rPr>
          <w:highlight w:val="lightGray"/>
        </w:rPr>
        <w:t xml:space="preserve"> осуществляющих строительство</w:t>
      </w:r>
      <w:r>
        <w:rPr>
          <w:rStyle w:val="FootnoteReference"/>
        </w:rPr>
        <w:footnoteReference w:id="13"/>
      </w:r>
      <w:r>
        <w:rPr/>
        <w:t>;</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 xml:space="preserve">Подрядчик имеет в штате по основному месту работы не менее 2 (двух) специалистов </w:t>
      </w:r>
      <w:r>
        <w:rPr>
          <w:highlight w:val="lightGray"/>
        </w:rPr>
        <w:t>по организации строительства</w:t>
      </w:r>
      <w:r>
        <w:rPr/>
        <w:t>,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Pr>
          <w:rStyle w:val="FootnoteReference"/>
        </w:rPr>
        <w:footnoteReference w:id="14"/>
      </w:r>
      <w:r>
        <w:rPr/>
        <w:t>;</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2"/>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7"/>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b/>
        </w:rPr>
      </w:pPr>
      <w:r>
        <w:rPr>
          <w:b/>
        </w:rPr>
      </w:r>
    </w:p>
    <w:p>
      <w:pPr>
        <w:pStyle w:val="ListParagraph"/>
        <w:numPr>
          <w:ilvl w:val="0"/>
          <w:numId w:val="27"/>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7"/>
        </w:numPr>
        <w:shd w:val="clear" w:color="auto" w:fill="FFFFFF"/>
        <w:tabs>
          <w:tab w:val="clear" w:pos="709"/>
          <w:tab w:val="left" w:pos="1134"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highlight w:val="lightGray"/>
        </w:rPr>
        <w:t>17.8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7"/>
        </w:numPr>
        <w:shd w:val="clear" w:color="auto" w:fill="FFFFFF"/>
        <w:tabs>
          <w:tab w:val="clear" w:pos="709"/>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7"/>
        </w:numPr>
        <w:shd w:val="clear" w:color="auto" w:fill="FFFFFF"/>
        <w:tabs>
          <w:tab w:val="clear" w:pos="709"/>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7"/>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10"/>
        </w:numPr>
        <w:tabs>
          <w:tab w:val="clear" w:pos="709"/>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60 (шестьдесят) календарных дней по причинам, не зависящим от Заказчика;</w:t>
      </w:r>
    </w:p>
    <w:p>
      <w:pPr>
        <w:pStyle w:val="ListParagraph"/>
        <w:numPr>
          <w:ilvl w:val="0"/>
          <w:numId w:val="10"/>
        </w:numPr>
        <w:tabs>
          <w:tab w:val="clear" w:pos="709"/>
          <w:tab w:val="left" w:pos="1134" w:leader="none"/>
        </w:tabs>
        <w:ind w:left="0" w:right="23" w:firstLine="709"/>
        <w:jc w:val="both"/>
        <w:rPr/>
      </w:pPr>
      <w:r>
        <w:rPr/>
        <w:t>несоблюдение Подрядчиком требований к качеству Работ и / или используемых при выполнении Работ Материально-технических ресурсов</w:t>
      </w:r>
      <w:r>
        <w:rPr>
          <w:bCs/>
        </w:rPr>
        <w:t xml:space="preserve"> и оборудования,</w:t>
      </w:r>
      <w:r>
        <w:rPr/>
        <w:t xml:space="preserve">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10"/>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10"/>
        </w:numPr>
        <w:tabs>
          <w:tab w:val="clear" w:pos="709"/>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10"/>
        </w:numPr>
        <w:tabs>
          <w:tab w:val="clear" w:pos="709"/>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10"/>
        </w:numPr>
        <w:tabs>
          <w:tab w:val="clear" w:pos="709"/>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10"/>
        </w:numPr>
        <w:tabs>
          <w:tab w:val="clear" w:pos="709"/>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27"/>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7"/>
        </w:numPr>
        <w:shd w:val="clear" w:color="auto" w:fill="FFFFFF"/>
        <w:tabs>
          <w:tab w:val="clear" w:pos="709"/>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21"/>
        </w:numPr>
        <w:shd w:val="clear" w:color="auto" w:fill="FFFFFF"/>
        <w:tabs>
          <w:tab w:val="clear" w:pos="709"/>
          <w:tab w:val="left" w:pos="1418" w:leader="none"/>
        </w:tabs>
        <w:ind w:left="0" w:firstLine="709"/>
        <w:jc w:val="both"/>
        <w:rPr/>
      </w:pPr>
      <w:r>
        <w:rPr/>
        <w:t>передать Заказчику Результат Работ, техническую и иную полученную документацию, закупленные Материально-технические ресурсы</w:t>
      </w:r>
      <w:r>
        <w:rPr>
          <w:bCs/>
        </w:rPr>
        <w:t xml:space="preserve"> и оборудование</w:t>
      </w:r>
      <w:r>
        <w:rPr>
          <w:bCs/>
          <w:highlight w:val="lightGray"/>
        </w:rPr>
        <w:t>;</w:t>
      </w:r>
    </w:p>
    <w:p>
      <w:pPr>
        <w:pStyle w:val="ListParagraph"/>
        <w:numPr>
          <w:ilvl w:val="0"/>
          <w:numId w:val="21"/>
        </w:numPr>
        <w:shd w:val="clear" w:color="auto" w:fill="FFFFFF"/>
        <w:tabs>
          <w:tab w:val="clear" w:pos="709"/>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21"/>
        </w:numPr>
        <w:shd w:val="clear" w:color="auto" w:fill="FFFFFF"/>
        <w:tabs>
          <w:tab w:val="clear" w:pos="709"/>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27"/>
        </w:numPr>
        <w:shd w:val="clear" w:color="auto" w:fill="FFFFFF"/>
        <w:tabs>
          <w:tab w:val="clear" w:pos="709"/>
          <w:tab w:val="left" w:pos="1134" w:leader="none"/>
        </w:tabs>
        <w:ind w:left="0" w:firstLine="709"/>
        <w:jc w:val="both"/>
        <w:rPr/>
      </w:pPr>
      <w:r>
        <w:rP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3.5.7 Договора.</w:t>
      </w:r>
    </w:p>
    <w:p>
      <w:pPr>
        <w:pStyle w:val="ListParagraph"/>
        <w:numPr>
          <w:ilvl w:val="1"/>
          <w:numId w:val="27"/>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hanging="0"/>
        <w:jc w:val="both"/>
        <w:rPr/>
      </w:pPr>
      <w:r>
        <w:rPr/>
      </w:r>
    </w:p>
    <w:p>
      <w:pPr>
        <w:pStyle w:val="ListParagraph"/>
        <w:numPr>
          <w:ilvl w:val="0"/>
          <w:numId w:val="27"/>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7"/>
        </w:numPr>
        <w:shd w:val="clear" w:color="auto" w:fill="FFFFFF"/>
        <w:tabs>
          <w:tab w:val="clear" w:pos="709"/>
          <w:tab w:val="left" w:pos="1134"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ГК РФ, условия Договора применяются к отношениям Сторон, возникшим с __________</w:t>
      </w:r>
      <w:r>
        <w:rPr/>
        <w:t>.</w:t>
      </w:r>
    </w:p>
    <w:p>
      <w:pPr>
        <w:pStyle w:val="Normal"/>
        <w:numPr>
          <w:ilvl w:val="1"/>
          <w:numId w:val="27"/>
        </w:numPr>
        <w:snapToGrid w:val="false"/>
        <w:spacing w:lineRule="auto" w:line="240"/>
        <w:ind w:left="0" w:firstLine="709"/>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pacing w:lineRule="auto" w:line="240"/>
        <w:ind w:firstLine="709"/>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5"/>
      </w:r>
      <w:r>
        <w:rPr>
          <w:sz w:val="24"/>
          <w:szCs w:val="24"/>
          <w:highlight w:val="lightGray"/>
          <w:lang w:eastAsia="en-US"/>
        </w:rPr>
        <w:t>.</w:t>
      </w:r>
    </w:p>
    <w:p>
      <w:pPr>
        <w:pStyle w:val="ListParagraph"/>
        <w:numPr>
          <w:ilvl w:val="1"/>
          <w:numId w:val="27"/>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Pr>
          <w:highlight w:val="lightGray"/>
        </w:rPr>
        <w:t>17.7</w:t>
      </w:r>
      <w:r>
        <w:rPr/>
        <w:t xml:space="preserve"> Договора. </w:t>
      </w:r>
    </w:p>
    <w:p>
      <w:pPr>
        <w:pStyle w:val="ListParagraph"/>
        <w:numPr>
          <w:ilvl w:val="1"/>
          <w:numId w:val="27"/>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7"/>
        </w:numPr>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7"/>
        </w:numPr>
        <w:shd w:val="clear" w:color="auto" w:fill="FFFFFF"/>
        <w:tabs>
          <w:tab w:val="clear" w:pos="709"/>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17.8</w:t>
      </w:r>
      <w:r>
        <w:rPr/>
        <w:t xml:space="preserve"> Договора. </w:t>
      </w:r>
    </w:p>
    <w:p>
      <w:pPr>
        <w:pStyle w:val="ListParagraph"/>
        <w:numPr>
          <w:ilvl w:val="1"/>
          <w:numId w:val="27"/>
        </w:numPr>
        <w:shd w:val="clear" w:color="auto" w:fill="FFFFFF"/>
        <w:tabs>
          <w:tab w:val="clear" w:pos="709"/>
          <w:tab w:val="left" w:pos="0" w:leader="none"/>
          <w:tab w:val="left" w:pos="1134" w:leader="none"/>
          <w:tab w:val="left" w:pos="1418" w:leader="none"/>
        </w:tabs>
        <w:ind w:left="0" w:firstLine="709"/>
        <w:jc w:val="both"/>
        <w:rPr>
          <w:bCs/>
        </w:rPr>
      </w:pPr>
      <w:bookmarkStart w:id="45" w:name="_Ref361338004"/>
      <w:r>
        <w:rPr/>
        <w:t xml:space="preserve">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w:t>
      </w:r>
      <w:r>
        <w:rPr>
          <w:highlight w:val="lightGray"/>
        </w:rPr>
        <w:t>17.8</w:t>
      </w:r>
      <w:r>
        <w:rPr/>
        <w:t xml:space="preserve"> Договора.</w:t>
      </w:r>
      <w:bookmarkEnd w:id="45"/>
      <w:r>
        <w:rPr/>
        <w:t xml:space="preserve"> </w:t>
      </w:r>
    </w:p>
    <w:p>
      <w:pPr>
        <w:pStyle w:val="ListParagraph"/>
        <w:numPr>
          <w:ilvl w:val="1"/>
          <w:numId w:val="27"/>
        </w:numPr>
        <w:shd w:val="clear" w:color="auto" w:fill="FFFFFF"/>
        <w:tabs>
          <w:tab w:val="clear" w:pos="709"/>
          <w:tab w:val="left" w:pos="0" w:leader="none"/>
          <w:tab w:val="left" w:pos="1134" w:leader="none"/>
          <w:tab w:val="left" w:pos="1418" w:leader="none"/>
        </w:tabs>
        <w:ind w:left="0" w:firstLine="709"/>
        <w:jc w:val="both"/>
        <w:rPr>
          <w:bCs/>
        </w:rPr>
      </w:pPr>
      <w:r>
        <w:rPr/>
        <w:t>Письма, уведомления и / или сообщения направляются Стороне</w:t>
      </w:r>
      <w:r>
        <w:rPr>
          <w:bCs/>
        </w:rPr>
        <w:t>-</w:t>
      </w:r>
      <w: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numPr>
          <w:ilvl w:val="2"/>
          <w:numId w:val="27"/>
        </w:numPr>
        <w:ind w:left="0" w:firstLine="709"/>
        <w:jc w:val="both"/>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27"/>
        </w:numPr>
        <w:ind w:left="0" w:firstLine="709"/>
        <w:jc w:val="both"/>
        <w:rPr/>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27"/>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17.8.1 –17.8.2</w:t>
      </w:r>
      <w:r>
        <w:rPr>
          <w:bCs/>
        </w:rPr>
        <w:t xml:space="preserve"> Договора. </w:t>
      </w:r>
    </w:p>
    <w:p>
      <w:pPr>
        <w:pStyle w:val="Normal"/>
        <w:numPr>
          <w:ilvl w:val="1"/>
          <w:numId w:val="27"/>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7"/>
        </w:numPr>
        <w:shd w:val="clear" w:color="auto" w:fill="FFFFFF"/>
        <w:tabs>
          <w:tab w:val="clear" w:pos="709"/>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7"/>
        </w:numPr>
        <w:shd w:val="clear" w:color="auto" w:fill="FFFFFF"/>
        <w:tabs>
          <w:tab w:val="clear" w:pos="709"/>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7"/>
        </w:numPr>
        <w:shd w:val="clear" w:color="auto" w:fill="FFFFFF"/>
        <w:tabs>
          <w:tab w:val="clear" w:pos="709"/>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6"/>
      </w:r>
      <w:r>
        <w:rPr>
          <w:highlight w:val="lightGray"/>
        </w:rPr>
        <w:t>.</w:t>
      </w:r>
    </w:p>
    <w:p>
      <w:pPr>
        <w:pStyle w:val="ListParagraph"/>
        <w:shd w:val="clear" w:color="auto" w:fill="FFFFFF"/>
        <w:ind w:left="0" w:firstLine="567"/>
        <w:rPr>
          <w:bCs/>
        </w:rPr>
      </w:pPr>
      <w:r>
        <w:rPr>
          <w:bCs/>
        </w:rPr>
      </w:r>
    </w:p>
    <w:p>
      <w:pPr>
        <w:pStyle w:val="ListParagraph"/>
        <w:numPr>
          <w:ilvl w:val="0"/>
          <w:numId w:val="27"/>
        </w:numPr>
        <w:shd w:val="clear" w:color="auto" w:fill="FFFFFF"/>
        <w:tabs>
          <w:tab w:val="clear" w:pos="709"/>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shd w:fill="C0C0C0" w:val="clear"/>
        </w:rPr>
      </w:pPr>
      <w:r>
        <w:rPr/>
      </w:r>
    </w:p>
    <w:p>
      <w:pPr>
        <w:pStyle w:val="ListParagraph"/>
        <w:shd w:val="clear" w:color="auto" w:fill="FFFFFF"/>
        <w:ind w:left="0" w:hanging="0"/>
        <w:jc w:val="both"/>
        <w:rPr>
          <w:bCs/>
        </w:rPr>
      </w:pPr>
      <w:r>
        <w:rPr>
          <w:bCs/>
        </w:rPr>
        <w:t>Приложение № 2 – Перечень объектов учета капитальных вложений;</w:t>
      </w:r>
    </w:p>
    <w:p>
      <w:pPr>
        <w:pStyle w:val="ListParagraph"/>
        <w:shd w:val="clear" w:color="auto" w:fill="FFFFFF"/>
        <w:ind w:left="0" w:hanging="0"/>
        <w:jc w:val="both"/>
        <w:rPr>
          <w:bCs/>
        </w:rPr>
      </w:pPr>
      <w:r>
        <w:rPr>
          <w:bCs/>
        </w:rPr>
        <w:t>Приложение № 3 – Календарный график выполнения Работ;</w:t>
      </w:r>
    </w:p>
    <w:p>
      <w:pPr>
        <w:pStyle w:val="ListParagraph"/>
        <w:shd w:val="clear" w:color="auto" w:fill="FFFFFF"/>
        <w:ind w:left="0" w:hanging="0"/>
        <w:jc w:val="both"/>
        <w:rPr>
          <w:bCs/>
        </w:rPr>
      </w:pPr>
      <w:r>
        <w:rPr>
          <w:bCs/>
        </w:rPr>
        <w:t>Приложение № 4 – Сводный сметный расчет с приложениями;</w:t>
      </w:r>
    </w:p>
    <w:p>
      <w:pPr>
        <w:pStyle w:val="ListParagraph"/>
        <w:shd w:val="clear" w:color="auto" w:fill="FFFFFF"/>
        <w:ind w:left="0" w:hanging="0"/>
        <w:jc w:val="both"/>
        <w:rPr>
          <w:bCs/>
        </w:rPr>
      </w:pPr>
      <w:r>
        <w:rPr>
          <w:bCs/>
        </w:rPr>
        <w:t>Приложение № 5.1 – Форма Акта сдачи-приемки места производства работ;</w:t>
      </w:r>
    </w:p>
    <w:p>
      <w:pPr>
        <w:pStyle w:val="ListParagraph"/>
        <w:shd w:val="clear" w:color="auto" w:fill="FFFFFF"/>
        <w:ind w:left="0" w:hanging="0"/>
        <w:jc w:val="both"/>
        <w:rPr>
          <w:bCs/>
        </w:rPr>
      </w:pPr>
      <w:r>
        <w:rPr>
          <w:bCs/>
        </w:rPr>
        <w:t>Приложение № 5.2 – Форма Акта сдачи-приемки технической и иной документации;</w:t>
      </w:r>
    </w:p>
    <w:p>
      <w:pPr>
        <w:pStyle w:val="ListParagraph"/>
        <w:shd w:val="clear" w:color="auto" w:fill="FFFFFF"/>
        <w:ind w:left="0" w:hanging="0"/>
        <w:jc w:val="both"/>
        <w:rPr>
          <w:bCs/>
        </w:rPr>
      </w:pPr>
      <w:r>
        <w:rPr>
          <w:bCs/>
        </w:rPr>
        <w:t xml:space="preserve">Приложение № 6 – Перечень допусков, разрешений и лицензий Подрядчика; </w:t>
      </w:r>
    </w:p>
    <w:p>
      <w:pPr>
        <w:pStyle w:val="ListParagraph"/>
        <w:shd w:val="clear" w:color="auto" w:fill="FFFFFF"/>
        <w:ind w:left="0" w:hanging="0"/>
        <w:jc w:val="both"/>
        <w:rPr>
          <w:bCs/>
        </w:rPr>
      </w:pPr>
      <w:r>
        <w:rPr>
          <w:bCs/>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 xml:space="preserve">Приложение № </w:t>
      </w:r>
      <w:r>
        <w:rPr>
          <w:bCs/>
        </w:rPr>
        <w:t>8</w:t>
      </w:r>
      <w:r>
        <w:rPr>
          <w:bCs/>
        </w:rPr>
        <w:t xml:space="preserve"> – Критерии отбора Банков-Гарантов;</w:t>
      </w:r>
    </w:p>
    <w:p>
      <w:pPr>
        <w:pStyle w:val="ListParagraph"/>
        <w:shd w:val="clear" w:color="auto" w:fill="FFFFFF"/>
        <w:ind w:left="0" w:hanging="0"/>
        <w:jc w:val="both"/>
        <w:rPr/>
      </w:pPr>
      <w:r>
        <w:rPr>
          <w:bCs/>
        </w:rPr>
        <w:t xml:space="preserve">Приложение № </w:t>
      </w:r>
      <w:r>
        <w:rPr>
          <w:bCs/>
        </w:rPr>
        <w:t>9</w:t>
      </w:r>
      <w:r>
        <w:rPr>
          <w:bCs/>
        </w:rPr>
        <w:t xml:space="preserve"> – </w:t>
      </w:r>
      <w:r>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b/>
        </w:rPr>
      </w:pPr>
      <w:r>
        <w:rPr/>
        <w:t xml:space="preserve">Приложение № </w:t>
      </w:r>
      <w:r>
        <w:rPr/>
        <w:t>10</w:t>
      </w:r>
      <w:r>
        <w:rPr/>
        <w:t xml:space="preserve"> - Порядок возврата Подрядчиком Заказчику лома и отходов черных и цветных металлов, образовавшихся при производстве работ.</w:t>
      </w:r>
    </w:p>
    <w:p>
      <w:pPr>
        <w:pStyle w:val="ListParagraph"/>
        <w:shd w:val="clear" w:color="auto" w:fill="FFFFFF"/>
        <w:ind w:left="0" w:hanging="0"/>
        <w:jc w:val="both"/>
        <w:rPr>
          <w:bCs/>
        </w:rPr>
      </w:pPr>
      <w:r>
        <w:rPr>
          <w:bCs/>
        </w:rPr>
      </w:r>
    </w:p>
    <w:p>
      <w:pPr>
        <w:pStyle w:val="ListParagraph"/>
        <w:numPr>
          <w:ilvl w:val="0"/>
          <w:numId w:val="27"/>
        </w:numPr>
        <w:shd w:val="clear" w:color="auto" w:fill="FFFFFF"/>
        <w:tabs>
          <w:tab w:val="clear" w:pos="709"/>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9"/>
          <w:tab w:val="left" w:pos="426" w:leader="none"/>
        </w:tabs>
        <w:ind w:left="0" w:hanging="0"/>
        <w:jc w:val="center"/>
        <w:rPr>
          <w:b/>
          <w:bCs/>
        </w:rPr>
      </w:pPr>
      <w:r>
        <w:rPr>
          <w:b/>
          <w:bCs/>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65"/>
        <w:gridCol w:w="163"/>
        <w:gridCol w:w="4623"/>
        <w:gridCol w:w="339"/>
      </w:tblGrid>
      <w:tr>
        <w:trPr/>
        <w:tc>
          <w:tcPr>
            <w:tcW w:w="4928" w:type="dxa"/>
            <w:gridSpan w:val="2"/>
            <w:tcBorders/>
          </w:tcPr>
          <w:p>
            <w:pPr>
              <w:pStyle w:val="Normal"/>
              <w:widowControl w:val="false"/>
              <w:spacing w:lineRule="auto" w:line="240"/>
              <w:ind w:hanging="0"/>
              <w:rPr>
                <w:sz w:val="24"/>
                <w:szCs w:val="24"/>
              </w:rPr>
            </w:pPr>
            <w:r>
              <w:rPr>
                <w:sz w:val="24"/>
                <w:szCs w:val="24"/>
              </w:rPr>
              <w:t>ЗАКАЗЧИК:</w:t>
            </w:r>
          </w:p>
        </w:tc>
        <w:tc>
          <w:tcPr>
            <w:tcW w:w="4962" w:type="dxa"/>
            <w:gridSpan w:val="2"/>
            <w:tcBorders/>
          </w:tcPr>
          <w:p>
            <w:pPr>
              <w:pStyle w:val="Normal"/>
              <w:widowControl w:val="false"/>
              <w:spacing w:lineRule="auto" w:line="240"/>
              <w:ind w:hanging="0"/>
              <w:rPr>
                <w:sz w:val="24"/>
                <w:szCs w:val="24"/>
              </w:rPr>
            </w:pPr>
            <w:r>
              <w:rPr>
                <w:sz w:val="24"/>
                <w:szCs w:val="24"/>
              </w:rPr>
              <w:t>ПОДРЯДЧИК:</w:t>
            </w:r>
          </w:p>
        </w:tc>
      </w:tr>
      <w:tr>
        <w:trPr/>
        <w:tc>
          <w:tcPr>
            <w:tcW w:w="4928" w:type="dxa"/>
            <w:gridSpan w:val="2"/>
            <w:tcBorders/>
            <w:shd w:color="auto" w:fill="BFBFBF" w:themeFill="background1" w:themeFillShade="bf" w:val="clear"/>
          </w:tcPr>
          <w:p>
            <w:pPr>
              <w:pStyle w:val="Normal"/>
              <w:widowControl w:val="false"/>
              <w:spacing w:lineRule="auto" w:line="240"/>
              <w:ind w:hanging="0"/>
              <w:jc w:val="left"/>
              <w:rPr>
                <w:b/>
                <w:sz w:val="24"/>
                <w:szCs w:val="24"/>
              </w:rPr>
            </w:pPr>
            <w:r>
              <w:rPr>
                <w:b/>
                <w:sz w:val="24"/>
                <w:szCs w:val="24"/>
              </w:rPr>
              <w:t>Публичное акционерное общество</w:t>
            </w:r>
          </w:p>
          <w:p>
            <w:pPr>
              <w:pStyle w:val="Normal"/>
              <w:widowControl w:val="false"/>
              <w:spacing w:lineRule="auto" w:line="240"/>
              <w:ind w:hanging="0"/>
              <w:jc w:val="left"/>
              <w:rPr>
                <w:b/>
                <w:sz w:val="24"/>
                <w:szCs w:val="24"/>
              </w:rPr>
            </w:pPr>
            <w:r>
              <w:rPr>
                <w:b/>
                <w:sz w:val="24"/>
                <w:szCs w:val="24"/>
              </w:rPr>
              <w:t>«Федеральная гидрогенерирующая компания - РусГидро» (ПАО «РусГидро»)</w:t>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 xml:space="preserve">г. Красноярск, ул. Перенсона, д.2, пом.1, </w:t>
            </w:r>
          </w:p>
          <w:p>
            <w:pPr>
              <w:pStyle w:val="Normal"/>
              <w:widowControl w:val="false"/>
              <w:spacing w:lineRule="auto" w:line="240"/>
              <w:ind w:hanging="0"/>
              <w:jc w:val="left"/>
              <w:rPr>
                <w:sz w:val="24"/>
                <w:szCs w:val="24"/>
              </w:rPr>
            </w:pPr>
            <w:r>
              <w:rPr>
                <w:sz w:val="24"/>
                <w:szCs w:val="24"/>
              </w:rPr>
              <w:t>д. 43, стр. 1</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ОГРН 1042401810494, </w:t>
            </w:r>
          </w:p>
          <w:p>
            <w:pPr>
              <w:pStyle w:val="Normal"/>
              <w:widowControl w:val="false"/>
              <w:spacing w:lineRule="auto" w:line="240"/>
              <w:ind w:hanging="0"/>
              <w:jc w:val="left"/>
              <w:rPr>
                <w:sz w:val="24"/>
                <w:szCs w:val="24"/>
              </w:rPr>
            </w:pPr>
            <w:r>
              <w:rPr>
                <w:sz w:val="24"/>
                <w:szCs w:val="24"/>
              </w:rPr>
              <w:t>ИНН 2460066195 / КПП 997650001</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962" w:type="dxa"/>
            <w:gridSpan w:val="2"/>
            <w:tcBorders/>
            <w:shd w:color="auto" w:fill="BFBFBF" w:themeFill="background1" w:themeFillShade="bf" w:val="clear"/>
          </w:tcPr>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Юридический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4765" w:type="dxa"/>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highlight w:val="lightGray"/>
              </w:rPr>
            </w:pPr>
            <w:r>
              <w:rPr>
                <w:sz w:val="24"/>
                <w:szCs w:val="24"/>
                <w:highlight w:val="lightGray"/>
              </w:rPr>
              <w:t xml:space="preserve">_______________ / _______________ </w:t>
            </w:r>
          </w:p>
          <w:p>
            <w:pPr>
              <w:pStyle w:val="Normal"/>
              <w:widowControl w:val="false"/>
              <w:spacing w:lineRule="auto" w:line="240"/>
              <w:ind w:hanging="0"/>
              <w:jc w:val="left"/>
              <w:rPr>
                <w:sz w:val="24"/>
                <w:szCs w:val="24"/>
                <w:highlight w:val="lightGray"/>
              </w:rPr>
            </w:pPr>
            <w:r>
              <w:rPr>
                <w:sz w:val="24"/>
                <w:szCs w:val="24"/>
                <w:highlight w:val="lightGray"/>
              </w:rPr>
            </w:r>
          </w:p>
        </w:tc>
        <w:tc>
          <w:tcPr>
            <w:tcW w:w="4786" w:type="dxa"/>
            <w:gridSpan w:val="2"/>
            <w:tcBorders/>
          </w:tcPr>
          <w:p>
            <w:pPr>
              <w:pStyle w:val="Normal"/>
              <w:widowControl w:val="false"/>
              <w:spacing w:lineRule="auto" w:line="240"/>
              <w:ind w:hanging="0"/>
              <w:jc w:val="left"/>
              <w:rPr>
                <w:sz w:val="24"/>
                <w:szCs w:val="24"/>
                <w:highlight w:val="lightGray"/>
              </w:rPr>
            </w:pPr>
            <w:r>
              <w:rPr>
                <w:sz w:val="24"/>
                <w:szCs w:val="24"/>
                <w:highlight w:val="lightGray"/>
              </w:rPr>
            </w:r>
          </w:p>
          <w:p>
            <w:pPr>
              <w:pStyle w:val="Normal"/>
              <w:widowControl w:val="false"/>
              <w:spacing w:lineRule="auto" w:line="240"/>
              <w:ind w:hanging="0"/>
              <w:jc w:val="left"/>
              <w:rPr>
                <w:sz w:val="24"/>
                <w:szCs w:val="24"/>
              </w:rPr>
            </w:pPr>
            <w:r>
              <w:rPr>
                <w:sz w:val="24"/>
                <w:szCs w:val="24"/>
                <w:highlight w:val="lightGray"/>
              </w:rPr>
              <w:t>_______________ / _______________</w:t>
            </w:r>
            <w:r>
              <w:rPr>
                <w:sz w:val="24"/>
                <w:szCs w:val="24"/>
              </w:rPr>
              <w:t xml:space="preserve"> </w:t>
            </w:r>
          </w:p>
          <w:p>
            <w:pPr>
              <w:pStyle w:val="Normal"/>
              <w:widowControl w:val="false"/>
              <w:spacing w:lineRule="auto" w:line="240"/>
              <w:ind w:hanging="0"/>
              <w:jc w:val="left"/>
              <w:rPr>
                <w:sz w:val="24"/>
                <w:szCs w:val="24"/>
              </w:rPr>
            </w:pPr>
            <w:r>
              <w:rPr>
                <w:sz w:val="24"/>
                <w:szCs w:val="24"/>
              </w:rPr>
            </w:r>
          </w:p>
        </w:tc>
        <w:tc>
          <w:tcPr>
            <w:tcW w:w="339" w:type="dxa"/>
            <w:tcBorders/>
          </w:tcPr>
          <w:p>
            <w:pPr>
              <w:pStyle w:val="Normal"/>
              <w:widowControl w:val="false"/>
              <w:rPr/>
            </w:pPr>
            <w:r>
              <w:rPr/>
            </w:r>
          </w:p>
        </w:tc>
      </w:tr>
    </w:tbl>
    <w:p>
      <w:pPr>
        <w:pStyle w:val="Normal"/>
        <w:spacing w:lineRule="auto" w:line="240"/>
        <w:ind w:left="4820" w:hanging="0"/>
        <w:rPr>
          <w:sz w:val="22"/>
          <w:szCs w:val="22"/>
        </w:rPr>
      </w:pPr>
      <w:r>
        <w:rPr>
          <w:sz w:val="22"/>
          <w:szCs w:val="22"/>
        </w:rPr>
      </w:r>
    </w:p>
    <w:p>
      <w:pPr>
        <w:pStyle w:val="Normal"/>
        <w:spacing w:lineRule="auto" w:line="240"/>
        <w:ind w:left="4820" w:hanging="0"/>
        <w:rPr>
          <w:sz w:val="22"/>
          <w:szCs w:val="22"/>
        </w:rPr>
      </w:pPr>
      <w:r>
        <w:rPr>
          <w:sz w:val="22"/>
          <w:szCs w:val="22"/>
        </w:rPr>
      </w:r>
      <w:r>
        <w:br w:type="page"/>
      </w: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2</w:t>
      </w:r>
    </w:p>
    <w:p>
      <w:pPr>
        <w:pStyle w:val="Normal"/>
        <w:spacing w:lineRule="auto" w:line="240"/>
        <w:ind w:left="5103" w:hanging="0"/>
        <w:rPr>
          <w:sz w:val="22"/>
          <w:szCs w:val="22"/>
        </w:rPr>
      </w:pPr>
      <w:r>
        <w:rPr>
          <w:sz w:val="22"/>
          <w:szCs w:val="22"/>
        </w:rPr>
        <w:t xml:space="preserve">к Договору подряда </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ind w:hanging="0"/>
        <w:jc w:val="right"/>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 xml:space="preserve">Перечень объектов учета капитальных вложений </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pPr w:bottomFromText="0" w:horzAnchor="margin" w:leftFromText="180" w:rightFromText="180" w:tblpX="108" w:tblpY="170" w:topFromText="0" w:vertAnchor="text"/>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686"/>
        <w:gridCol w:w="4435"/>
        <w:gridCol w:w="4516"/>
      </w:tblGrid>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 xml:space="preserve">№ </w:t>
            </w:r>
            <w:r>
              <w:rPr>
                <w:sz w:val="24"/>
                <w:szCs w:val="24"/>
              </w:rPr>
              <w:t>п/п</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Наименование Объекта</w:t>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 xml:space="preserve">Имущество Заказчика </w:t>
            </w:r>
          </w:p>
          <w:p>
            <w:pPr>
              <w:pStyle w:val="Normal"/>
              <w:widowControl w:val="false"/>
              <w:spacing w:lineRule="auto" w:line="240"/>
              <w:ind w:hanging="0"/>
              <w:jc w:val="center"/>
              <w:rPr>
                <w:sz w:val="24"/>
                <w:szCs w:val="24"/>
              </w:rPr>
            </w:pPr>
            <w:r>
              <w:rPr>
                <w:sz w:val="24"/>
                <w:szCs w:val="24"/>
              </w:rPr>
              <w:t>(основные средства) в составе Объекта</w:t>
            </w:r>
          </w:p>
        </w:tc>
      </w:tr>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1</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4"/>
                <w:szCs w:val="24"/>
              </w:rPr>
            </w:pPr>
            <w:r>
              <w:rPr>
                <w:bCs/>
                <w:sz w:val="24"/>
                <w:szCs w:val="24"/>
              </w:rPr>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r>
          </w:p>
        </w:tc>
      </w:tr>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2</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4"/>
                <w:szCs w:val="24"/>
              </w:rPr>
            </w:pPr>
            <w:r>
              <w:rPr>
                <w:bCs/>
                <w:sz w:val="24"/>
                <w:szCs w:val="24"/>
              </w:rPr>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r>
          </w:p>
        </w:tc>
      </w:tr>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3</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4"/>
                <w:szCs w:val="24"/>
              </w:rPr>
            </w:pPr>
            <w:r>
              <w:rPr>
                <w:bCs/>
                <w:sz w:val="24"/>
                <w:szCs w:val="24"/>
              </w:rPr>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r>
        <w:br w:type="page"/>
      </w:r>
    </w:p>
    <w:p>
      <w:pPr>
        <w:pStyle w:val="Normal"/>
        <w:spacing w:lineRule="auto" w:line="240"/>
        <w:ind w:left="5103" w:hanging="0"/>
        <w:rPr>
          <w:sz w:val="22"/>
          <w:szCs w:val="22"/>
        </w:rPr>
      </w:pPr>
      <w:r>
        <w:rPr>
          <w:sz w:val="22"/>
          <w:szCs w:val="22"/>
        </w:rPr>
        <w:t>Приложение №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91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87"/>
        <w:gridCol w:w="1629"/>
        <w:gridCol w:w="1421"/>
        <w:gridCol w:w="1548"/>
        <w:gridCol w:w="841"/>
        <w:gridCol w:w="1176"/>
        <w:gridCol w:w="774"/>
        <w:gridCol w:w="849"/>
        <w:gridCol w:w="985"/>
      </w:tblGrid>
      <w:tr>
        <w:trPr/>
        <w:tc>
          <w:tcPr>
            <w:tcW w:w="68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w:t>
            </w:r>
          </w:p>
        </w:tc>
        <w:tc>
          <w:tcPr>
            <w:tcW w:w="162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этапа (состав Работ)</w:t>
            </w:r>
          </w:p>
        </w:tc>
        <w:tc>
          <w:tcPr>
            <w:tcW w:w="14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Обоснование стоимости этапа</w:t>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Объекта</w:t>
            </w:r>
            <w:r>
              <w:rPr>
                <w:rStyle w:val="FootnoteReference"/>
                <w:sz w:val="20"/>
                <w:szCs w:val="20"/>
              </w:rPr>
              <w:footnoteReference w:id="17"/>
            </w:r>
          </w:p>
        </w:tc>
        <w:tc>
          <w:tcPr>
            <w:tcW w:w="20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Период выполнения этапа</w:t>
            </w:r>
          </w:p>
        </w:tc>
        <w:tc>
          <w:tcPr>
            <w:tcW w:w="77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84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Сумма НДС, руб.*</w:t>
            </w:r>
          </w:p>
        </w:tc>
        <w:tc>
          <w:tcPr>
            <w:tcW w:w="98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 этапа, руб. с  НДС*</w:t>
            </w:r>
          </w:p>
        </w:tc>
      </w:tr>
      <w:tr>
        <w:trPr/>
        <w:tc>
          <w:tcPr>
            <w:tcW w:w="68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62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Начало</w:t>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Окончание</w:t>
            </w:r>
          </w:p>
        </w:tc>
        <w:tc>
          <w:tcPr>
            <w:tcW w:w="77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1.</w:t>
            </w:r>
          </w:p>
        </w:tc>
        <w:tc>
          <w:tcPr>
            <w:tcW w:w="1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2.</w:t>
            </w:r>
          </w:p>
        </w:tc>
        <w:tc>
          <w:tcPr>
            <w:tcW w:w="1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3.</w:t>
            </w:r>
          </w:p>
        </w:tc>
        <w:tc>
          <w:tcPr>
            <w:tcW w:w="1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4.</w:t>
            </w:r>
          </w:p>
        </w:tc>
        <w:tc>
          <w:tcPr>
            <w:tcW w:w="1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w:t>
            </w:r>
          </w:p>
        </w:tc>
        <w:tc>
          <w:tcPr>
            <w:tcW w:w="8238"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t>Непредвиденные работы и затраты (лимит)</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w:t>
            </w:r>
          </w:p>
        </w:tc>
        <w:tc>
          <w:tcPr>
            <w:tcW w:w="8238"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bCs/>
                <w:sz w:val="24"/>
                <w:szCs w:val="24"/>
              </w:rPr>
              <w:t>Затраты на временные здания и сооружения (лимит)</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8925"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ind w:right="-340" w:hanging="0"/>
        <w:rPr>
          <w:i/>
          <w:i/>
          <w:iCs/>
          <w:sz w:val="20"/>
          <w:szCs w:val="20"/>
        </w:rPr>
      </w:pPr>
      <w:r>
        <w:rPr>
          <w:i/>
          <w:iCs/>
          <w:sz w:val="20"/>
          <w:szCs w:val="20"/>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footerReference w:type="default" r:id="rId5"/>
          <w:footnotePr>
            <w:numFmt w:val="decimal"/>
          </w:footnotePr>
          <w:type w:val="nextPage"/>
          <w:pgSz w:w="11906" w:h="16838"/>
          <w:pgMar w:left="1418" w:right="851" w:gutter="0" w:header="0" w:top="1134" w:footer="284" w:bottom="1134"/>
          <w:pgNumType w:fmt="decimal"/>
          <w:formProt w:val="false"/>
          <w:textDirection w:val="lrTb"/>
          <w:docGrid w:type="default" w:linePitch="381" w:charSpace="0"/>
        </w:sectPr>
      </w:pPr>
    </w:p>
    <w:p>
      <w:pPr>
        <w:pStyle w:val="Normal"/>
        <w:spacing w:lineRule="auto" w:line="240"/>
        <w:ind w:left="5103" w:hanging="0"/>
        <w:rPr>
          <w:sz w:val="22"/>
          <w:szCs w:val="22"/>
        </w:rPr>
      </w:pPr>
      <w:r>
        <w:rPr>
          <w:sz w:val="22"/>
          <w:szCs w:val="22"/>
        </w:rPr>
        <w:t>Приложение № 4</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Cs/>
          <w:sz w:val="24"/>
          <w:szCs w:val="24"/>
        </w:rPr>
      </w:pPr>
      <w:r>
        <w:rPr>
          <w:b/>
          <w:sz w:val="24"/>
          <w:szCs w:val="24"/>
        </w:rPr>
        <w:t>СВОДНЫЙ СМЕТНЫЙ РАСЧЕТ</w:t>
      </w:r>
      <w:r>
        <w:rPr>
          <w:bCs/>
          <w:sz w:val="24"/>
          <w:szCs w:val="24"/>
        </w:rPr>
        <w:t xml:space="preserve"> </w:t>
      </w:r>
    </w:p>
    <w:p>
      <w:pPr>
        <w:pStyle w:val="Normal"/>
        <w:spacing w:lineRule="auto" w:line="240"/>
        <w:ind w:hanging="0"/>
        <w:jc w:val="center"/>
        <w:rPr>
          <w:b/>
          <w:sz w:val="24"/>
          <w:szCs w:val="24"/>
        </w:rPr>
      </w:pPr>
      <w:r>
        <w:rPr>
          <w:b/>
          <w:sz w:val="24"/>
          <w:szCs w:val="24"/>
        </w:rPr>
        <w:t>С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5.1</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14"/>
        <w:jc w:val="left"/>
        <w:rPr>
          <w:i/>
          <w:i/>
        </w:rPr>
      </w:pPr>
      <w:r>
        <w:rPr>
          <w:i/>
        </w:rPr>
      </w:r>
    </w:p>
    <w:p>
      <w:pPr>
        <w:pStyle w:val="14"/>
        <w:rPr>
          <w:sz w:val="24"/>
          <w:szCs w:val="24"/>
        </w:rPr>
      </w:pPr>
      <w:r>
        <w:rPr>
          <w:iCs/>
          <w:sz w:val="24"/>
          <w:szCs w:val="24"/>
        </w:rPr>
        <w:t>ФОРМА</w:t>
      </w:r>
    </w:p>
    <w:p>
      <w:pPr>
        <w:pStyle w:val="14"/>
        <w:rPr>
          <w:i/>
          <w:i/>
          <w:iCs/>
          <w:sz w:val="24"/>
          <w:szCs w:val="24"/>
        </w:rPr>
      </w:pPr>
      <w:r>
        <w:rPr>
          <w:sz w:val="24"/>
          <w:szCs w:val="24"/>
        </w:rPr>
        <w:t xml:space="preserve">Акта сдачи-приемки места производства Работ </w:t>
      </w:r>
    </w:p>
    <w:p>
      <w:pPr>
        <w:pStyle w:val="Normal"/>
        <w:spacing w:lineRule="auto" w:line="240"/>
        <w:ind w:hanging="0"/>
        <w:rPr>
          <w:sz w:val="24"/>
          <w:szCs w:val="24"/>
        </w:rPr>
      </w:pPr>
      <w:r>
        <w:rPr>
          <w:sz w:val="24"/>
          <w:szCs w:val="24"/>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795"/>
      </w:tblGrid>
      <w:tr>
        <w:trPr/>
        <w:tc>
          <w:tcPr>
            <w:tcW w:w="9795" w:type="dxa"/>
            <w:tcBorders>
              <w:top w:val="single" w:sz="4" w:space="0" w:color="000000"/>
              <w:left w:val="single" w:sz="4" w:space="0" w:color="000000"/>
              <w:bottom w:val="single" w:sz="4" w:space="0" w:color="000000"/>
              <w:right w:val="single" w:sz="4" w:space="0" w:color="000000"/>
            </w:tcBorders>
            <w:shd w:color="auto" w:fill="auto" w:val="clear"/>
          </w:tcPr>
          <w:p>
            <w:pPr>
              <w:pStyle w:val="14"/>
              <w:widowControl w:val="false"/>
              <w:rPr>
                <w:b w:val="false"/>
              </w:rPr>
            </w:pPr>
            <w:r>
              <w:rPr>
                <w:b w:val="false"/>
              </w:rPr>
              <w:t xml:space="preserve">Акт </w:t>
            </w:r>
          </w:p>
          <w:p>
            <w:pPr>
              <w:pStyle w:val="14"/>
              <w:widowControl w:val="false"/>
              <w:rPr>
                <w:b w:val="false"/>
                <w:i/>
                <w:i/>
                <w:iCs/>
              </w:rPr>
            </w:pPr>
            <w:r>
              <w:rPr>
                <w:b w:val="false"/>
              </w:rPr>
              <w:t>сдачи-приемки места производства Работ</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sz w:val="22"/>
                <w:szCs w:val="22"/>
              </w:rPr>
              <w:t>по Договору по</w:t>
            </w:r>
            <w:r>
              <w:rPr>
                <w:bCs/>
                <w:sz w:val="22"/>
                <w:szCs w:val="22"/>
              </w:rPr>
              <w:t>дряда №______ от _____________.</w:t>
            </w:r>
          </w:p>
          <w:p>
            <w:pPr>
              <w:pStyle w:val="Normal"/>
              <w:widowControl w:val="false"/>
              <w:spacing w:lineRule="auto" w:line="240"/>
              <w:ind w:hanging="0"/>
              <w:rPr>
                <w:bCs/>
                <w:sz w:val="22"/>
                <w:szCs w:val="22"/>
              </w:rPr>
            </w:pPr>
            <w:r>
              <w:rPr>
                <w:bCs/>
                <w:sz w:val="22"/>
                <w:szCs w:val="22"/>
              </w:rPr>
              <w:t xml:space="preserve">Место для производства Работ </w:t>
            </w:r>
            <w:r>
              <w:rPr>
                <w:bCs/>
                <w:sz w:val="22"/>
                <w:szCs w:val="22"/>
                <w:highlight w:val="lightGray"/>
              </w:rPr>
              <w:t>передано</w:t>
            </w:r>
            <w:r>
              <w:rPr>
                <w:bCs/>
                <w:sz w:val="22"/>
                <w:szCs w:val="22"/>
              </w:rPr>
              <w:t xml:space="preserve"> </w:t>
            </w:r>
            <w:r>
              <w:rPr>
                <w:sz w:val="22"/>
                <w:szCs w:val="22"/>
              </w:rPr>
              <w:t>Подрядчику</w:t>
            </w:r>
            <w:r>
              <w:rPr>
                <w:bCs/>
                <w:sz w:val="22"/>
                <w:szCs w:val="22"/>
              </w:rPr>
              <w:t xml:space="preserve"> в установленный Договором срок. </w:t>
            </w:r>
          </w:p>
          <w:p>
            <w:pPr>
              <w:pStyle w:val="Normal"/>
              <w:widowControl w:val="false"/>
              <w:spacing w:lineRule="auto" w:line="240"/>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rPr>
            </w:pPr>
            <w:r>
              <w:rPr>
                <w:i/>
                <w:sz w:val="22"/>
              </w:rPr>
              <w:t>(указать конкретные претензии или указать «не имеются»)</w:t>
            </w:r>
            <w:r>
              <w:rPr>
                <w:sz w:val="22"/>
              </w:rPr>
              <w:t>.</w:t>
            </w:r>
          </w:p>
          <w:p>
            <w:pPr>
              <w:pStyle w:val="Normal"/>
              <w:widowControl w:val="false"/>
              <w:spacing w:lineRule="auto" w:line="240"/>
              <w:ind w:hanging="0"/>
              <w:rPr>
                <w:bCs/>
                <w:sz w:val="22"/>
                <w:szCs w:val="22"/>
                <w:highlight w:val="lightGray"/>
              </w:rPr>
            </w:pPr>
            <w:r>
              <w:rPr/>
            </w:r>
          </w:p>
          <w:p>
            <w:pPr>
              <w:pStyle w:val="Normal"/>
              <w:widowControl w:val="false"/>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sz w:val="22"/>
                    </w:rPr>
                  </w:pPr>
                  <w:r>
                    <w:rPr>
                      <w:sz w:val="22"/>
                    </w:rPr>
                    <w:t>Заказчик:</w:t>
                  </w:r>
                </w:p>
              </w:tc>
              <w:tc>
                <w:tcPr>
                  <w:tcW w:w="4785" w:type="dxa"/>
                  <w:tcBorders/>
                </w:tcPr>
                <w:p>
                  <w:pPr>
                    <w:pStyle w:val="Normal"/>
                    <w:widowControl w:val="false"/>
                    <w:spacing w:lineRule="auto" w:line="240"/>
                    <w:ind w:hanging="0"/>
                    <w:rPr>
                      <w:sz w:val="22"/>
                    </w:rPr>
                  </w:pPr>
                  <w:r>
                    <w:rPr>
                      <w:sz w:val="22"/>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4"/>
              <w:widowControl w:val="false"/>
              <w:spacing w:before="0" w:after="120"/>
              <w:jc w:val="left"/>
              <w:rPr>
                <w:i/>
                <w:i/>
                <w:iCs/>
              </w:rPr>
            </w:pPr>
            <w:r>
              <w:rPr>
                <w:i/>
                <w:iCs/>
              </w:rPr>
            </w:r>
          </w:p>
        </w:tc>
      </w:tr>
    </w:tbl>
    <w:p>
      <w:pPr>
        <w:pStyle w:val="14"/>
        <w:jc w:val="left"/>
        <w:rPr>
          <w:i/>
          <w:i/>
          <w:iCs/>
        </w:rPr>
      </w:pPr>
      <w:r>
        <w:rPr>
          <w:i/>
          <w:iCs/>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5.2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4"/>
        <w:rPr>
          <w:b w:val="false"/>
          <w:sz w:val="24"/>
        </w:rPr>
      </w:pPr>
      <w:r>
        <w:rPr>
          <w:sz w:val="24"/>
        </w:rPr>
        <w:t>ФОРМА</w:t>
      </w:r>
    </w:p>
    <w:p>
      <w:pPr>
        <w:pStyle w:val="14"/>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795"/>
      </w:tblGrid>
      <w:tr>
        <w:trPr/>
        <w:tc>
          <w:tcPr>
            <w:tcW w:w="9795" w:type="dxa"/>
            <w:tcBorders>
              <w:top w:val="single" w:sz="4" w:space="0" w:color="000000"/>
              <w:left w:val="single" w:sz="4" w:space="0" w:color="000000"/>
              <w:bottom w:val="single" w:sz="4" w:space="0" w:color="000000"/>
              <w:right w:val="single" w:sz="4" w:space="0" w:color="000000"/>
            </w:tcBorders>
            <w:shd w:color="auto" w:fill="auto" w:val="clear"/>
          </w:tcPr>
          <w:p>
            <w:pPr>
              <w:pStyle w:val="14"/>
              <w:widowControl w:val="false"/>
              <w:rPr>
                <w:b w:val="false"/>
              </w:rPr>
            </w:pPr>
            <w:r>
              <w:rPr>
                <w:b w:val="false"/>
              </w:rPr>
              <w:t xml:space="preserve">Акт </w:t>
            </w:r>
          </w:p>
          <w:p>
            <w:pPr>
              <w:pStyle w:val="14"/>
              <w:widowControl w:val="false"/>
              <w:rPr>
                <w:i/>
                <w:i/>
                <w:iCs/>
              </w:rPr>
            </w:pPr>
            <w:r>
              <w:rPr>
                <w:b w:val="false"/>
              </w:rPr>
              <w:t>сдачи-приемки технической и иной документации</w:t>
            </w:r>
          </w:p>
          <w:p>
            <w:pPr>
              <w:pStyle w:val="Normal"/>
              <w:widowControl w:val="false"/>
              <w:rPr/>
            </w:pPr>
            <w:r>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Cs/>
                      <w:sz w:val="24"/>
                      <w:szCs w:val="24"/>
                    </w:rPr>
                  </w:pPr>
                  <w:r>
                    <w:rPr>
                      <w:bCs/>
                      <w:sz w:val="24"/>
                      <w:szCs w:val="24"/>
                    </w:rPr>
                    <w:t>Заказчик:</w:t>
                  </w:r>
                </w:p>
              </w:tc>
              <w:tc>
                <w:tcPr>
                  <w:tcW w:w="4785" w:type="dxa"/>
                  <w:tcBorders/>
                </w:tcPr>
                <w:p>
                  <w:pPr>
                    <w:pStyle w:val="Normal"/>
                    <w:widowControl w:val="false"/>
                    <w:spacing w:lineRule="auto" w:line="240"/>
                    <w:ind w:hanging="0"/>
                    <w:rPr>
                      <w:bCs/>
                      <w:sz w:val="24"/>
                      <w:szCs w:val="24"/>
                    </w:rPr>
                  </w:pPr>
                  <w:r>
                    <w:rPr>
                      <w:bCs/>
                      <w:sz w:val="24"/>
                      <w:szCs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4"/>
              <w:widowControl w:val="false"/>
              <w:jc w:val="left"/>
              <w:rPr>
                <w:i/>
                <w:i/>
                <w:iCs/>
              </w:rPr>
            </w:pPr>
            <w:r>
              <w:rPr>
                <w:i/>
                <w:iCs/>
              </w:rPr>
            </w:r>
          </w:p>
          <w:p>
            <w:pPr>
              <w:pStyle w:val="14"/>
              <w:widowControl w:val="false"/>
              <w:spacing w:before="0" w:after="120"/>
              <w:jc w:val="left"/>
              <w:rPr>
                <w:i/>
                <w:i/>
                <w:iCs/>
              </w:rPr>
            </w:pPr>
            <w:r>
              <w:rPr>
                <w:i/>
                <w:iCs/>
              </w:rPr>
            </w:r>
          </w:p>
        </w:tc>
      </w:tr>
    </w:tbl>
    <w:p>
      <w:pPr>
        <w:pStyle w:val="14"/>
        <w:jc w:val="left"/>
        <w:rPr>
          <w:i/>
          <w:i/>
          <w:iCs/>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br w:type="page"/>
      </w:r>
      <w:r>
        <w:rPr>
          <w:sz w:val="22"/>
          <w:szCs w:val="22"/>
        </w:rPr>
        <w:t>Приложение № 6</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720"/>
        <w:gridCol w:w="2294"/>
        <w:gridCol w:w="1295"/>
        <w:gridCol w:w="1153"/>
        <w:gridCol w:w="992"/>
        <w:gridCol w:w="1354"/>
        <w:gridCol w:w="2395"/>
      </w:tblGrid>
      <w:tr>
        <w:trPr>
          <w:trHeight w:val="214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2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2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1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7</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36"/>
        <w:gridCol w:w="6060"/>
      </w:tblGrid>
      <w:tr>
        <w:trPr/>
        <w:tc>
          <w:tcPr>
            <w:tcW w:w="3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Виды нарушений</w:t>
            </w:r>
          </w:p>
        </w:tc>
        <w:tc>
          <w:tcPr>
            <w:tcW w:w="6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Штрафные санкции</w:t>
            </w:r>
          </w:p>
        </w:tc>
      </w:tr>
      <w:tr>
        <w:trPr/>
        <w:tc>
          <w:tcPr>
            <w:tcW w:w="3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6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6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6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6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w:t>
            </w:r>
          </w:p>
        </w:tc>
        <w:tc>
          <w:tcPr>
            <w:tcW w:w="6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napToGrid w:val="false"/>
        <w:spacing w:lineRule="auto" w:line="240"/>
        <w:ind w:firstLine="5103"/>
        <w:rPr>
          <w:sz w:val="22"/>
          <w:szCs w:val="22"/>
        </w:rPr>
      </w:pPr>
      <w:r>
        <w:rPr>
          <w:sz w:val="22"/>
          <w:szCs w:val="22"/>
        </w:rPr>
        <w:t xml:space="preserve">Приложение № </w:t>
      </w:r>
      <w:r>
        <w:rPr>
          <w:sz w:val="22"/>
          <w:szCs w:val="22"/>
        </w:rPr>
        <w:t>8</w:t>
      </w:r>
    </w:p>
    <w:p>
      <w:pPr>
        <w:pStyle w:val="Normal"/>
        <w:snapToGrid w:val="false"/>
        <w:spacing w:lineRule="auto" w:line="240"/>
        <w:ind w:firstLine="5103"/>
        <w:rPr>
          <w:sz w:val="22"/>
          <w:szCs w:val="22"/>
        </w:rPr>
      </w:pPr>
      <w:r>
        <w:rPr>
          <w:sz w:val="22"/>
          <w:szCs w:val="22"/>
        </w:rPr>
        <w:t>к Договору подряда</w:t>
      </w:r>
    </w:p>
    <w:p>
      <w:pPr>
        <w:pStyle w:val="Normal"/>
        <w:snapToGrid w:val="false"/>
        <w:spacing w:lineRule="auto" w:line="240"/>
        <w:ind w:firstLine="5103"/>
        <w:rPr>
          <w:sz w:val="22"/>
          <w:szCs w:val="22"/>
        </w:rPr>
      </w:pPr>
      <w:r>
        <w:rPr>
          <w:sz w:val="22"/>
          <w:szCs w:val="22"/>
        </w:rPr>
        <w:t>от «____» __________ 20 _ г. № ____</w:t>
      </w:r>
    </w:p>
    <w:p>
      <w:pPr>
        <w:pStyle w:val="Normal"/>
        <w:tabs>
          <w:tab w:val="clear" w:pos="709"/>
          <w:tab w:val="left" w:pos="142" w:leader="none"/>
          <w:tab w:val="left" w:pos="1134" w:leader="none"/>
        </w:tabs>
        <w:spacing w:lineRule="auto" w:line="240"/>
        <w:ind w:hanging="0"/>
        <w:rPr>
          <w:b/>
          <w:sz w:val="24"/>
          <w:szCs w:val="24"/>
        </w:rPr>
      </w:pPr>
      <w:r>
        <w:rPr>
          <w:b/>
          <w:sz w:val="24"/>
          <w:szCs w:val="24"/>
        </w:rPr>
      </w:r>
    </w:p>
    <w:p>
      <w:pPr>
        <w:pStyle w:val="Normal"/>
        <w:tabs>
          <w:tab w:val="clear" w:pos="709"/>
          <w:tab w:val="left" w:pos="142" w:leader="none"/>
          <w:tab w:val="left" w:pos="1134" w:leader="none"/>
        </w:tabs>
        <w:spacing w:lineRule="auto" w:line="240"/>
        <w:jc w:val="center"/>
        <w:rPr>
          <w:b/>
          <w:sz w:val="24"/>
          <w:szCs w:val="24"/>
        </w:rPr>
      </w:pPr>
      <w:r>
        <w:rPr>
          <w:b/>
          <w:sz w:val="24"/>
          <w:szCs w:val="24"/>
        </w:rPr>
        <w:t>Критерии отбора Банков-Гарантов</w:t>
      </w:r>
    </w:p>
    <w:p>
      <w:pPr>
        <w:pStyle w:val="Normal"/>
        <w:tabs>
          <w:tab w:val="clear" w:pos="709"/>
          <w:tab w:val="left" w:pos="142" w:leader="none"/>
          <w:tab w:val="left" w:pos="1134" w:leader="none"/>
        </w:tabs>
        <w:spacing w:lineRule="auto" w:line="240"/>
        <w:jc w:val="center"/>
        <w:rPr>
          <w:b/>
          <w:sz w:val="24"/>
          <w:szCs w:val="24"/>
        </w:rPr>
      </w:pPr>
      <w:r>
        <w:rPr>
          <w:b/>
          <w:sz w:val="24"/>
          <w:szCs w:val="24"/>
        </w:rPr>
      </w:r>
    </w:p>
    <w:p>
      <w:pPr>
        <w:pStyle w:val="Normal"/>
        <w:tabs>
          <w:tab w:val="clear" w:pos="709"/>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18"/>
      </w:r>
      <w:r>
        <w:rPr>
          <w:sz w:val="24"/>
          <w:szCs w:val="24"/>
        </w:rPr>
        <w:t>, а также соответствовать следующим критериям:</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19"/>
      </w:r>
      <w:r>
        <w:rPr>
          <w:sz w:val="24"/>
          <w:szCs w:val="24"/>
        </w:rPr>
        <w:t xml:space="preserve">. </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20"/>
      </w:r>
      <w:r>
        <w:rPr>
          <w:sz w:val="24"/>
          <w:szCs w:val="24"/>
        </w:rPr>
        <w:t>.</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Не иметь просроченную задолженность перед ПАО «РусГидро» и компаниями Группы РусГидро.</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Присутствовать (иметь отделение, филиал) по месту нахождения ПАО «РусГидро», его обособленного подразделения или Филиала, для нужд которого заключается Договор.</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29"/>
        </w:numPr>
        <w:tabs>
          <w:tab w:val="clear" w:pos="709"/>
          <w:tab w:val="left" w:pos="1134" w:leader="none"/>
        </w:tabs>
        <w:spacing w:lineRule="auto" w:line="240"/>
        <w:ind w:left="0" w:firstLine="709"/>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9"/>
        </w:numPr>
        <w:tabs>
          <w:tab w:val="clear" w:pos="709"/>
          <w:tab w:val="left" w:pos="1134" w:leader="none"/>
        </w:tabs>
        <w:spacing w:lineRule="auto" w:line="240"/>
        <w:ind w:left="0" w:firstLine="709"/>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9"/>
        </w:numPr>
        <w:tabs>
          <w:tab w:val="clear" w:pos="709"/>
          <w:tab w:val="left" w:pos="1134" w:leader="none"/>
        </w:tabs>
        <w:spacing w:lineRule="auto" w:line="240"/>
        <w:ind w:left="0" w:firstLine="709"/>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9"/>
        </w:numPr>
        <w:tabs>
          <w:tab w:val="clear" w:pos="709"/>
          <w:tab w:val="left" w:pos="1134" w:leader="none"/>
        </w:tabs>
        <w:spacing w:lineRule="auto" w:line="240"/>
        <w:ind w:left="0" w:firstLine="709"/>
        <w:rPr>
          <w:sz w:val="24"/>
          <w:szCs w:val="24"/>
        </w:rPr>
      </w:pPr>
      <w:r>
        <w:rPr>
          <w:sz w:val="24"/>
          <w:szCs w:val="24"/>
        </w:rPr>
        <w:t xml:space="preserve"> </w:t>
      </w:r>
      <w:r>
        <w:rPr>
          <w:sz w:val="24"/>
          <w:szCs w:val="24"/>
        </w:rPr>
        <w:t>ВЭБ.РФ.</w:t>
      </w:r>
    </w:p>
    <w:p>
      <w:pPr>
        <w:pStyle w:val="Normal"/>
        <w:numPr>
          <w:ilvl w:val="1"/>
          <w:numId w:val="29"/>
        </w:numPr>
        <w:tabs>
          <w:tab w:val="clear" w:pos="709"/>
          <w:tab w:val="left" w:pos="1134" w:leader="none"/>
        </w:tabs>
        <w:spacing w:lineRule="auto" w:line="240"/>
        <w:ind w:left="0" w:firstLine="709"/>
        <w:rPr>
          <w:sz w:val="24"/>
          <w:szCs w:val="24"/>
        </w:rPr>
      </w:pPr>
      <w:r>
        <w:rPr>
          <w:sz w:val="24"/>
          <w:szCs w:val="24"/>
        </w:rPr>
        <w:t>Нерезидентов Российской Федерации.</w:t>
      </w:r>
    </w:p>
    <w:p>
      <w:pPr>
        <w:pStyle w:val="Normal"/>
        <w:numPr>
          <w:ilvl w:val="1"/>
          <w:numId w:val="28"/>
        </w:numPr>
        <w:tabs>
          <w:tab w:val="clear" w:pos="709"/>
          <w:tab w:val="left" w:pos="1134" w:leader="none"/>
        </w:tabs>
        <w:spacing w:lineRule="auto" w:line="240"/>
        <w:ind w:left="0" w:firstLine="71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spacing w:lineRule="auto" w:line="240"/>
        <w:ind w:hanging="0"/>
        <w:rPr>
          <w:sz w:val="24"/>
          <w:szCs w:val="24"/>
        </w:rPr>
      </w:pPr>
      <w:r>
        <w:rPr>
          <w:sz w:val="24"/>
          <w:szCs w:val="24"/>
        </w:rPr>
      </w:r>
    </w:p>
    <w:p>
      <w:pPr>
        <w:pStyle w:val="Normal"/>
        <w:spacing w:lineRule="auto" w:line="240"/>
        <w:ind w:left="360" w:hanging="0"/>
        <w:jc w:val="center"/>
        <w:rPr>
          <w:sz w:val="24"/>
          <w:szCs w:val="24"/>
        </w:rPr>
      </w:pPr>
      <w:r>
        <w:rPr>
          <w:b/>
          <w:i/>
          <w:sz w:val="24"/>
          <w:szCs w:val="24"/>
          <w:lang w:val="en-US"/>
        </w:rPr>
        <w:t>Lim</w:t>
      </w:r>
      <w:r>
        <w:rPr>
          <w:b/>
          <w:i/>
          <w:sz w:val="24"/>
          <w:szCs w:val="24"/>
          <w:vertAlign w:val="subscript"/>
          <w:lang w:val="en-US"/>
        </w:rPr>
        <w:t>Ai</w:t>
      </w:r>
      <w:r>
        <w:rPr>
          <w:b/>
          <w:sz w:val="24"/>
          <w:szCs w:val="24"/>
          <w:vertAlign w:val="subscript"/>
        </w:rPr>
        <w:t xml:space="preserve"> </w:t>
      </w:r>
      <w:r>
        <w:rPr>
          <w:b/>
          <w:sz w:val="24"/>
          <w:szCs w:val="24"/>
        </w:rPr>
        <w:t xml:space="preserve"> = </w:t>
      </w:r>
      <w:r>
        <w:rPr>
          <w:b/>
          <w:i/>
          <w:sz w:val="24"/>
          <w:szCs w:val="24"/>
          <w:lang w:val="en-US"/>
        </w:rPr>
        <w:t>r</w:t>
      </w:r>
      <w:r>
        <w:rPr>
          <w:b/>
          <w:i/>
          <w:sz w:val="24"/>
          <w:szCs w:val="24"/>
          <w:vertAlign w:val="subscript"/>
          <w:lang w:val="en-US"/>
        </w:rPr>
        <w:t>i</w:t>
      </w:r>
      <w:r>
        <w:rPr>
          <w:b/>
          <w:i/>
          <w:sz w:val="24"/>
          <w:szCs w:val="24"/>
        </w:rPr>
        <w:t xml:space="preserve"> </w:t>
      </w:r>
      <w:r>
        <w:rPr>
          <w:b/>
          <w:sz w:val="24"/>
          <w:szCs w:val="24"/>
        </w:rPr>
        <w:t xml:space="preserve">× </w:t>
      </w:r>
      <w:r>
        <w:rPr>
          <w:b/>
          <w:i/>
          <w:sz w:val="24"/>
          <w:szCs w:val="24"/>
        </w:rPr>
        <w:t>С</w:t>
      </w:r>
      <w:r>
        <w:rPr>
          <w:b/>
          <w:i/>
          <w:sz w:val="24"/>
          <w:szCs w:val="24"/>
          <w:lang w:val="en-US"/>
        </w:rPr>
        <w:t>K</w:t>
      </w:r>
      <w:r>
        <w:rPr>
          <w:b/>
          <w:i/>
          <w:sz w:val="24"/>
          <w:szCs w:val="24"/>
          <w:vertAlign w:val="subscript"/>
          <w:lang w:val="en-US"/>
        </w:rPr>
        <w:t>i</w:t>
      </w:r>
      <w:r>
        <w:rPr>
          <w:sz w:val="24"/>
          <w:szCs w:val="24"/>
        </w:rPr>
        <w:t>, где</w:t>
      </w:r>
    </w:p>
    <w:p>
      <w:pPr>
        <w:pStyle w:val="Normal"/>
        <w:spacing w:lineRule="auto" w:line="240"/>
        <w:ind w:left="360" w:firstLine="349"/>
        <w:rPr>
          <w:sz w:val="24"/>
          <w:szCs w:val="24"/>
        </w:rPr>
      </w:pPr>
      <w:r>
        <w:rPr>
          <w:sz w:val="24"/>
          <w:szCs w:val="24"/>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1"/>
            </w:r>
            <w:r>
              <w:rPr>
                <w:sz w:val="24"/>
                <w:szCs w:val="24"/>
              </w:rPr>
              <w:t>.</w:t>
            </w:r>
          </w:p>
        </w:tc>
      </w:tr>
      <w:tr>
        <w:trPr>
          <w:trHeight w:val="280" w:hRule="atLeast"/>
        </w:trPr>
        <w:tc>
          <w:tcPr>
            <w:tcW w:w="817" w:type="dxa"/>
            <w:tcBorders/>
            <w:shd w:color="auto" w:fill="auto" w:val="clear"/>
          </w:tcPr>
          <w:p>
            <w:pPr>
              <w:pStyle w:val="Normal"/>
              <w:widowControl w:val="false"/>
              <w:spacing w:lineRule="auto" w:line="240"/>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7">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overflowPunct w:val="true"/>
              <w:spacing w:lineRule="auto" w:line="240"/>
              <w:ind w:left="680" w:hanging="0"/>
              <w:rPr/>
            </w:pPr>
            <w:r>
              <w:rPr>
                <w:sz w:val="24"/>
                <w:szCs w:val="24"/>
              </w:rPr>
              <w:t>рейтинговый коэффициент</w:t>
            </w:r>
            <w:r>
              <w:rPr>
                <w:rStyle w:val="FootnoteReference"/>
                <w:sz w:val="24"/>
                <w:szCs w:val="24"/>
              </w:rPr>
              <w:footnoteReference w:id="22"/>
            </w:r>
            <w:r>
              <w:rPr>
                <w:sz w:val="24"/>
                <w:szCs w:val="24"/>
              </w:rPr>
              <w:t xml:space="preserve"> для i-ой кредитной организации, равный:</w:t>
            </w:r>
          </w:p>
          <w:p>
            <w:pPr>
              <w:pStyle w:val="Normal"/>
              <w:widowControl w:val="false"/>
              <w:tabs>
                <w:tab w:val="left" w:pos="709" w:leader="none"/>
                <w:tab w:val="left" w:pos="851" w:leader="none"/>
              </w:tabs>
              <w:spacing w:lineRule="auto" w:line="240"/>
              <w:ind w:right="-108" w:firstLine="709"/>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ind w:right="-108" w:firstLine="709"/>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val="false"/>
        <w:spacing w:lineRule="auto" w:line="240"/>
        <w:ind w:right="-108" w:hanging="0"/>
        <w:rPr>
          <w:color w:val="000000"/>
          <w:sz w:val="24"/>
          <w:szCs w:val="24"/>
        </w:rPr>
      </w:pPr>
      <w:r>
        <w:rPr>
          <w:color w:val="000000"/>
          <w:sz w:val="24"/>
          <w:szCs w:val="24"/>
        </w:rPr>
      </w:r>
    </w:p>
    <w:p>
      <w:pPr>
        <w:pStyle w:val="Normal"/>
        <w:widowControl w:val="false"/>
        <w:spacing w:lineRule="auto" w:line="240"/>
        <w:ind w:right="-108" w:hanging="0"/>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rHeight w:val="1380" w:hRule="atLeast"/>
        </w:trPr>
        <w:tc>
          <w:tcPr>
            <w:tcW w:w="4642" w:type="dxa"/>
            <w:tcBorders/>
            <w:shd w:color="auto" w:fill="auto" w:val="clear"/>
          </w:tcPr>
          <w:p>
            <w:pPr>
              <w:pStyle w:val="Normal"/>
              <w:widowControl w:val="false"/>
              <w:spacing w:lineRule="auto" w:line="240"/>
              <w:ind w:hanging="0"/>
              <w:rPr>
                <w:b/>
                <w:sz w:val="24"/>
                <w:szCs w:val="24"/>
              </w:rPr>
            </w:pPr>
            <w:r>
              <w:rPr>
                <w:b/>
                <w:sz w:val="24"/>
                <w:szCs w:val="24"/>
              </w:rPr>
              <w:t>Заказчик:</w:t>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 xml:space="preserve">_______________ / _______________ </w:t>
            </w:r>
          </w:p>
          <w:p>
            <w:pPr>
              <w:pStyle w:val="Normal"/>
              <w:widowControl w:val="false"/>
              <w:spacing w:lineRule="auto" w:line="240"/>
              <w:ind w:hanging="0"/>
              <w:rPr>
                <w:b/>
                <w:sz w:val="24"/>
                <w:szCs w:val="24"/>
              </w:rPr>
            </w:pPr>
            <w:r>
              <w:rPr>
                <w:b/>
                <w:sz w:val="24"/>
                <w:szCs w:val="24"/>
              </w:rPr>
            </w:r>
          </w:p>
        </w:tc>
        <w:tc>
          <w:tcPr>
            <w:tcW w:w="4994" w:type="dxa"/>
            <w:tcBorders/>
            <w:shd w:color="auto" w:fill="auto" w:val="clear"/>
          </w:tcPr>
          <w:p>
            <w:pPr>
              <w:pStyle w:val="Normal"/>
              <w:widowControl w:val="false"/>
              <w:spacing w:lineRule="auto" w:line="240"/>
              <w:ind w:hanging="0"/>
              <w:rPr>
                <w:b/>
                <w:sz w:val="24"/>
                <w:szCs w:val="24"/>
              </w:rPr>
            </w:pPr>
            <w:r>
              <w:rPr>
                <w:b/>
                <w:sz w:val="24"/>
                <w:szCs w:val="24"/>
              </w:rPr>
              <w:t>Подрядчик:</w:t>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 xml:space="preserve">_______________ / _______________ </w:t>
            </w:r>
          </w:p>
          <w:p>
            <w:pPr>
              <w:pStyle w:val="Normal"/>
              <w:widowControl w:val="false"/>
              <w:spacing w:lineRule="auto" w:line="240"/>
              <w:ind w:hanging="0"/>
              <w:rPr>
                <w:b/>
                <w:sz w:val="24"/>
                <w:szCs w:val="24"/>
              </w:rPr>
            </w:pPr>
            <w:r>
              <w:rPr>
                <w:b/>
                <w:sz w:val="24"/>
                <w:szCs w:val="24"/>
              </w:rPr>
            </w:r>
          </w:p>
        </w:tc>
      </w:tr>
    </w:tbl>
    <w:p>
      <w:pPr>
        <w:pStyle w:val="Normal"/>
        <w:tabs>
          <w:tab w:val="clear" w:pos="709"/>
          <w:tab w:val="left" w:pos="142" w:leader="none"/>
        </w:tabs>
        <w:spacing w:lineRule="auto" w:line="240"/>
        <w:ind w:hanging="0"/>
        <w:rPr>
          <w:sz w:val="24"/>
          <w:szCs w:val="24"/>
        </w:rPr>
      </w:pPr>
      <w:r>
        <w:rPr>
          <w:sz w:val="24"/>
          <w:szCs w:val="24"/>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r>
        <w:br w:type="page"/>
      </w:r>
    </w:p>
    <w:p>
      <w:pPr>
        <w:pStyle w:val="Normal"/>
        <w:snapToGrid w:val="false"/>
        <w:spacing w:lineRule="auto" w:line="240"/>
        <w:ind w:firstLine="5103"/>
        <w:rPr>
          <w:sz w:val="22"/>
          <w:szCs w:val="22"/>
        </w:rPr>
      </w:pPr>
      <w:r>
        <w:rPr>
          <w:sz w:val="22"/>
          <w:szCs w:val="22"/>
        </w:rPr>
        <w:t xml:space="preserve">Приложение № </w:t>
      </w:r>
      <w:r>
        <w:rPr>
          <w:sz w:val="22"/>
          <w:szCs w:val="22"/>
        </w:rPr>
        <w:t>9</w:t>
      </w:r>
      <w:r>
        <w:rPr>
          <w:sz w:val="22"/>
          <w:szCs w:val="22"/>
        </w:rPr>
        <w:t xml:space="preserve"> </w:t>
      </w:r>
    </w:p>
    <w:p>
      <w:pPr>
        <w:pStyle w:val="Normal"/>
        <w:snapToGrid w:val="false"/>
        <w:spacing w:lineRule="auto" w:line="240"/>
        <w:ind w:firstLine="5103"/>
        <w:rPr>
          <w:sz w:val="22"/>
          <w:szCs w:val="22"/>
        </w:rPr>
      </w:pPr>
      <w:r>
        <w:rPr>
          <w:sz w:val="22"/>
          <w:szCs w:val="22"/>
        </w:rPr>
        <w:t>к Договору подряда</w:t>
      </w:r>
    </w:p>
    <w:p>
      <w:pPr>
        <w:pStyle w:val="Normal"/>
        <w:snapToGrid w:val="false"/>
        <w:spacing w:lineRule="auto" w:line="240"/>
        <w:ind w:firstLine="5103"/>
        <w:rPr>
          <w:sz w:val="22"/>
          <w:szCs w:val="22"/>
        </w:rPr>
      </w:pPr>
      <w:r>
        <w:rPr>
          <w:sz w:val="22"/>
          <w:szCs w:val="22"/>
        </w:rPr>
        <w:t>от «____» __________ 20 _ г. № ____</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2"/>
        </w:numPr>
        <w:tabs>
          <w:tab w:val="clear" w:pos="709"/>
          <w:tab w:val="left" w:pos="284" w:leader="none"/>
        </w:tabs>
        <w:ind w:left="0" w:hanging="0"/>
        <w:jc w:val="center"/>
        <w:rPr>
          <w:b/>
        </w:rPr>
      </w:pPr>
      <w:r>
        <w:rPr>
          <w:b/>
        </w:rPr>
        <w:t>Общие положения</w:t>
      </w:r>
    </w:p>
    <w:p>
      <w:pPr>
        <w:pStyle w:val="Normal"/>
        <w:spacing w:lineRule="auto" w:line="240"/>
        <w:ind w:firstLine="709"/>
        <w:rPr>
          <w:sz w:val="24"/>
          <w:szCs w:val="24"/>
        </w:rPr>
      </w:pPr>
      <w:r>
        <w:rPr>
          <w:sz w:val="24"/>
          <w:szCs w:val="24"/>
        </w:rPr>
        <w:t>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Техническо</w:t>
      </w:r>
      <w:r>
        <w:rPr>
          <w:sz w:val="24"/>
          <w:szCs w:val="24"/>
        </w:rPr>
        <w:t>м</w:t>
      </w:r>
      <w:r>
        <w:rPr>
          <w:sz w:val="24"/>
          <w:szCs w:val="24"/>
        </w:rPr>
        <w:t xml:space="preserve"> задани</w:t>
      </w:r>
      <w:r>
        <w:rPr>
          <w:sz w:val="24"/>
          <w:szCs w:val="24"/>
        </w:rPr>
        <w:t xml:space="preserve">и </w:t>
      </w:r>
      <w:r>
        <w:rPr>
          <w:sz w:val="24"/>
          <w:szCs w:val="24"/>
        </w:rPr>
        <w:t xml:space="preserve">(Приложение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47"/>
        </w:numPr>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48"/>
        </w:numPr>
        <w:spacing w:lineRule="auto" w:line="240"/>
        <w:ind w:left="0" w:firstLine="709"/>
        <w:rPr>
          <w:sz w:val="24"/>
          <w:szCs w:val="24"/>
        </w:rPr>
      </w:pPr>
      <w:r>
        <w:rPr>
          <w:sz w:val="24"/>
          <w:szCs w:val="24"/>
        </w:rPr>
        <w:t>Коммунальные ресурсы:</w:t>
      </w:r>
    </w:p>
    <w:p>
      <w:pPr>
        <w:pStyle w:val="Normal"/>
        <w:numPr>
          <w:ilvl w:val="1"/>
          <w:numId w:val="49"/>
        </w:numPr>
        <w:spacing w:lineRule="auto" w:line="240"/>
        <w:ind w:left="0" w:firstLine="709"/>
        <w:rPr>
          <w:sz w:val="24"/>
          <w:szCs w:val="24"/>
        </w:rPr>
      </w:pPr>
      <w:r>
        <w:rPr>
          <w:sz w:val="24"/>
          <w:szCs w:val="24"/>
        </w:rPr>
        <w:t>Электроэнергия.</w:t>
      </w:r>
    </w:p>
    <w:p>
      <w:pPr>
        <w:pStyle w:val="Normal"/>
        <w:numPr>
          <w:ilvl w:val="1"/>
          <w:numId w:val="50"/>
        </w:numPr>
        <w:spacing w:lineRule="auto" w:line="240"/>
        <w:ind w:left="0" w:firstLine="709"/>
        <w:rPr>
          <w:sz w:val="24"/>
          <w:szCs w:val="24"/>
        </w:rPr>
      </w:pPr>
      <w:r>
        <w:rPr>
          <w:sz w:val="24"/>
          <w:szCs w:val="24"/>
        </w:rPr>
        <w:t>Водоснабжение и водоотведение.</w:t>
      </w:r>
    </w:p>
    <w:p>
      <w:pPr>
        <w:pStyle w:val="Normal"/>
        <w:numPr>
          <w:ilvl w:val="1"/>
          <w:numId w:val="51"/>
        </w:numPr>
        <w:spacing w:lineRule="auto" w:line="240"/>
        <w:ind w:left="0" w:firstLine="709"/>
        <w:rPr>
          <w:sz w:val="24"/>
          <w:szCs w:val="24"/>
        </w:rPr>
      </w:pPr>
      <w:r>
        <w:rPr>
          <w:sz w:val="24"/>
          <w:szCs w:val="24"/>
        </w:rPr>
        <w:t>Сжатый воздух.</w:t>
      </w:r>
    </w:p>
    <w:p>
      <w:pPr>
        <w:pStyle w:val="Normal"/>
        <w:numPr>
          <w:ilvl w:val="0"/>
          <w:numId w:val="52"/>
        </w:numPr>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53"/>
        </w:numPr>
        <w:spacing w:lineRule="auto" w:line="240"/>
        <w:ind w:left="0" w:firstLine="709"/>
        <w:rPr>
          <w:sz w:val="24"/>
          <w:szCs w:val="24"/>
        </w:rPr>
      </w:pPr>
      <w:r>
        <w:rPr>
          <w:sz w:val="24"/>
          <w:szCs w:val="24"/>
        </w:rPr>
        <w:t>Содержание пожарной и сторожевой охраны.</w:t>
      </w:r>
    </w:p>
    <w:p>
      <w:pPr>
        <w:pStyle w:val="Normal"/>
        <w:numPr>
          <w:ilvl w:val="0"/>
          <w:numId w:val="54"/>
        </w:numPr>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55"/>
        </w:numPr>
        <w:spacing w:lineRule="auto" w:line="240"/>
        <w:ind w:left="0" w:firstLine="709"/>
        <w:rPr>
          <w:sz w:val="24"/>
          <w:szCs w:val="24"/>
        </w:rPr>
      </w:pPr>
      <w:r>
        <w:rPr>
          <w:sz w:val="24"/>
          <w:szCs w:val="24"/>
        </w:rPr>
        <w:t>Проведение химического анализа масел.</w:t>
      </w:r>
    </w:p>
    <w:p>
      <w:pPr>
        <w:pStyle w:val="Normal"/>
        <w:numPr>
          <w:ilvl w:val="0"/>
          <w:numId w:val="56"/>
        </w:numPr>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57"/>
        </w:numPr>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58"/>
        </w:numPr>
        <w:spacing w:lineRule="auto" w:line="240"/>
        <w:ind w:left="0" w:firstLine="709"/>
        <w:rPr>
          <w:sz w:val="24"/>
          <w:szCs w:val="24"/>
        </w:rPr>
      </w:pPr>
      <w:r>
        <w:rPr>
          <w:sz w:val="24"/>
          <w:szCs w:val="24"/>
        </w:rPr>
        <w:t>Предоставление помещений:</w:t>
      </w:r>
    </w:p>
    <w:p>
      <w:pPr>
        <w:pStyle w:val="Normal"/>
        <w:numPr>
          <w:ilvl w:val="1"/>
          <w:numId w:val="59"/>
        </w:numPr>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60"/>
        </w:numPr>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ListParagraph"/>
        <w:numPr>
          <w:ilvl w:val="0"/>
          <w:numId w:val="22"/>
        </w:numPr>
        <w:tabs>
          <w:tab w:val="clear" w:pos="709"/>
          <w:tab w:val="left" w:pos="284" w:leader="none"/>
          <w:tab w:val="left" w:pos="1418" w:leader="none"/>
        </w:tabs>
        <w:ind w:left="0" w:hanging="0"/>
        <w:jc w:val="center"/>
        <w:rPr>
          <w:b/>
        </w:rPr>
      </w:pPr>
      <w:r>
        <w:rPr>
          <w:b/>
        </w:rPr>
        <w:t>Порядок предоставления ресурсов и услуг</w:t>
      </w:r>
    </w:p>
    <w:p>
      <w:pPr>
        <w:pStyle w:val="ListParagraph"/>
        <w:numPr>
          <w:ilvl w:val="0"/>
          <w:numId w:val="23"/>
        </w:numPr>
        <w:tabs>
          <w:tab w:val="clear" w:pos="709"/>
          <w:tab w:val="left" w:pos="1134" w:leader="none"/>
          <w:tab w:val="left" w:pos="1418" w:leader="none"/>
        </w:tabs>
        <w:ind w:left="0" w:firstLine="709"/>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9"/>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23"/>
        </w:numPr>
        <w:tabs>
          <w:tab w:val="clear" w:pos="709"/>
          <w:tab w:val="left" w:pos="1134" w:leader="none"/>
        </w:tabs>
        <w:ind w:left="0" w:firstLine="709"/>
        <w:rPr>
          <w:u w:val="single"/>
        </w:rPr>
      </w:pPr>
      <w:r>
        <w:rPr>
          <w:u w:val="single"/>
        </w:rPr>
        <w:t>Предоставление ресурсов</w:t>
      </w:r>
    </w:p>
    <w:p>
      <w:pPr>
        <w:pStyle w:val="Normal"/>
        <w:tabs>
          <w:tab w:val="clear" w:pos="709"/>
          <w:tab w:val="left" w:pos="1134" w:leader="none"/>
        </w:tabs>
        <w:spacing w:lineRule="auto" w:line="24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23"/>
        </w:numPr>
        <w:tabs>
          <w:tab w:val="clear" w:pos="709"/>
          <w:tab w:val="left" w:pos="1134" w:leader="none"/>
        </w:tabs>
        <w:ind w:left="0" w:firstLine="709"/>
        <w:jc w:val="both"/>
        <w:rPr>
          <w:u w:val="single"/>
        </w:rPr>
      </w:pPr>
      <w:r>
        <w:rPr>
          <w:u w:val="single"/>
        </w:rPr>
        <w:t>Обеспечение санитарно-гигиенических и бытовых условий</w:t>
      </w:r>
    </w:p>
    <w:p>
      <w:pPr>
        <w:pStyle w:val="Normal"/>
        <w:tabs>
          <w:tab w:val="clear" w:pos="709"/>
          <w:tab w:val="left" w:pos="1134" w:leader="none"/>
        </w:tabs>
        <w:spacing w:lineRule="auto" w:line="24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23"/>
        </w:numPr>
        <w:tabs>
          <w:tab w:val="clear" w:pos="709"/>
          <w:tab w:val="left" w:pos="1134" w:leader="none"/>
        </w:tabs>
        <w:spacing w:lineRule="auto" w:line="240"/>
        <w:ind w:left="0" w:firstLine="709"/>
        <w:rPr>
          <w:sz w:val="24"/>
          <w:szCs w:val="24"/>
          <w:u w:val="single"/>
        </w:rPr>
      </w:pPr>
      <w:r>
        <w:rPr>
          <w:sz w:val="24"/>
          <w:szCs w:val="24"/>
          <w:u w:val="single"/>
        </w:rPr>
        <w:t>Содержание пожарной и сторожевой охраны</w:t>
      </w:r>
    </w:p>
    <w:p>
      <w:pPr>
        <w:pStyle w:val="Normal"/>
        <w:tabs>
          <w:tab w:val="clear" w:pos="709"/>
          <w:tab w:val="left" w:pos="1134" w:leader="none"/>
        </w:tabs>
        <w:spacing w:lineRule="auto" w:line="24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23"/>
        </w:numPr>
        <w:tabs>
          <w:tab w:val="clear" w:pos="709"/>
          <w:tab w:val="left" w:pos="1134" w:leader="none"/>
        </w:tabs>
        <w:spacing w:lineRule="auto" w:line="24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9"/>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9"/>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23"/>
        </w:numPr>
        <w:tabs>
          <w:tab w:val="clear" w:pos="709"/>
          <w:tab w:val="left" w:pos="1134" w:leader="none"/>
          <w:tab w:val="left" w:pos="1418" w:leader="none"/>
        </w:tabs>
        <w:spacing w:lineRule="auto" w:line="240"/>
        <w:ind w:left="0" w:firstLine="709"/>
        <w:rPr>
          <w:sz w:val="24"/>
          <w:szCs w:val="24"/>
          <w:u w:val="single"/>
        </w:rPr>
      </w:pPr>
      <w:r>
        <w:rPr>
          <w:sz w:val="24"/>
          <w:szCs w:val="24"/>
          <w:u w:val="single"/>
        </w:rPr>
        <w:t>Проведение химического анализа масел</w:t>
      </w:r>
    </w:p>
    <w:p>
      <w:pPr>
        <w:pStyle w:val="Normal"/>
        <w:tabs>
          <w:tab w:val="clear" w:pos="709"/>
          <w:tab w:val="left" w:pos="1134" w:leader="none"/>
          <w:tab w:val="left" w:pos="1418" w:leader="none"/>
        </w:tabs>
        <w:spacing w:lineRule="auto" w:line="24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23"/>
        </w:numPr>
        <w:tabs>
          <w:tab w:val="clear" w:pos="709"/>
          <w:tab w:val="left" w:pos="1134" w:leader="none"/>
          <w:tab w:val="left" w:pos="1418" w:leader="none"/>
        </w:tabs>
        <w:spacing w:lineRule="auto" w:line="24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9"/>
          <w:tab w:val="left" w:pos="1134" w:leader="none"/>
        </w:tabs>
        <w:spacing w:lineRule="auto" w:line="24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23"/>
        </w:numPr>
        <w:tabs>
          <w:tab w:val="clear" w:pos="709"/>
          <w:tab w:val="left" w:pos="1134" w:leader="none"/>
        </w:tabs>
        <w:spacing w:lineRule="auto" w:line="240"/>
        <w:ind w:left="0" w:firstLine="709"/>
        <w:rPr>
          <w:sz w:val="24"/>
          <w:szCs w:val="24"/>
          <w:u w:val="single"/>
        </w:rPr>
      </w:pPr>
      <w:r>
        <w:rPr>
          <w:sz w:val="24"/>
          <w:szCs w:val="24"/>
          <w:u w:val="single"/>
        </w:rPr>
        <w:t>Порядок предоставления помещений</w:t>
      </w:r>
    </w:p>
    <w:p>
      <w:pPr>
        <w:pStyle w:val="Normal"/>
        <w:tabs>
          <w:tab w:val="clear" w:pos="709"/>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9"/>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9"/>
          <w:tab w:val="left" w:pos="1134" w:leader="none"/>
        </w:tabs>
        <w:spacing w:lineRule="auto" w:line="240"/>
        <w:ind w:firstLine="709"/>
        <w:rPr>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b/>
                <w:sz w:val="24"/>
                <w:szCs w:val="24"/>
              </w:rPr>
            </w:pPr>
            <w:r>
              <w:rPr>
                <w:b/>
                <w:sz w:val="24"/>
                <w:szCs w:val="24"/>
              </w:rPr>
            </w:r>
          </w:p>
          <w:p>
            <w:pPr>
              <w:pStyle w:val="Normal"/>
              <w:widowControl w:val="false"/>
              <w:spacing w:lineRule="auto" w:line="240"/>
              <w:ind w:hanging="0"/>
              <w:jc w:val="left"/>
              <w:rPr>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jc w:val="left"/>
              <w:rPr>
                <w:b/>
                <w:sz w:val="24"/>
                <w:szCs w:val="24"/>
              </w:rPr>
            </w:pPr>
            <w:r>
              <w:rPr>
                <w:b/>
                <w:sz w:val="24"/>
                <w:szCs w:val="24"/>
              </w:rPr>
            </w:r>
          </w:p>
          <w:p>
            <w:pPr>
              <w:pStyle w:val="Normal"/>
              <w:widowControl w:val="false"/>
              <w:spacing w:lineRule="auto" w:line="240"/>
              <w:ind w:hanging="0"/>
              <w:jc w:val="left"/>
              <w:rPr>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994"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firstLine="5245"/>
        <w:rPr>
          <w:sz w:val="22"/>
          <w:szCs w:val="22"/>
          <w:lang w:val="en-US"/>
        </w:rPr>
      </w:pPr>
      <w:r>
        <w:rPr>
          <w:sz w:val="22"/>
          <w:szCs w:val="22"/>
        </w:rPr>
        <w:t xml:space="preserve">Приложение № </w:t>
      </w:r>
      <w:r>
        <w:rPr>
          <w:sz w:val="22"/>
          <w:szCs w:val="22"/>
          <w:lang w:val="en-US"/>
        </w:rPr>
        <w:t>10</w:t>
      </w:r>
    </w:p>
    <w:p>
      <w:pPr>
        <w:pStyle w:val="Normal"/>
        <w:spacing w:lineRule="auto" w:line="240"/>
        <w:ind w:firstLine="5245"/>
        <w:rPr>
          <w:sz w:val="22"/>
          <w:szCs w:val="22"/>
        </w:rPr>
      </w:pPr>
      <w:r>
        <w:rPr>
          <w:sz w:val="22"/>
          <w:szCs w:val="22"/>
        </w:rPr>
        <w:t>к Договору подряда</w:t>
      </w:r>
    </w:p>
    <w:p>
      <w:pPr>
        <w:pStyle w:val="Normal"/>
        <w:spacing w:lineRule="auto" w:line="240"/>
        <w:ind w:firstLine="5245"/>
        <w:rPr>
          <w:sz w:val="22"/>
          <w:szCs w:val="22"/>
        </w:rPr>
      </w:pPr>
      <w:r>
        <w:rPr>
          <w:sz w:val="22"/>
          <w:szCs w:val="22"/>
        </w:rPr>
        <w:t>от «____» __________ 20 _ г. № ________</w:t>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jc w:val="center"/>
        <w:rPr>
          <w:b/>
          <w:sz w:val="24"/>
          <w:szCs w:val="24"/>
        </w:rPr>
      </w:pPr>
      <w:r>
        <w:rPr>
          <w:b/>
          <w:sz w:val="24"/>
          <w:szCs w:val="24"/>
        </w:rPr>
        <w:t>Порядок возврата Подрядчиком Заказчику лома и отходов черных и цветных металлов, образовавшихся при производстве работ</w:t>
      </w:r>
    </w:p>
    <w:p>
      <w:pPr>
        <w:pStyle w:val="Normal"/>
        <w:spacing w:lineRule="auto" w:line="240"/>
        <w:ind w:hanging="0"/>
        <w:rPr>
          <w:b/>
          <w:sz w:val="24"/>
          <w:szCs w:val="24"/>
        </w:rPr>
      </w:pPr>
      <w:r>
        <w:rPr>
          <w:b/>
          <w:sz w:val="24"/>
          <w:szCs w:val="24"/>
        </w:rPr>
      </w:r>
    </w:p>
    <w:p>
      <w:pPr>
        <w:pStyle w:val="Normal"/>
        <w:numPr>
          <w:ilvl w:val="0"/>
          <w:numId w:val="31"/>
        </w:numPr>
        <w:spacing w:lineRule="auto" w:line="240"/>
        <w:ind w:left="0" w:firstLine="567"/>
        <w:rPr>
          <w:sz w:val="24"/>
          <w:szCs w:val="24"/>
        </w:rPr>
      </w:pPr>
      <w:r>
        <w:rPr>
          <w:sz w:val="24"/>
          <w:szCs w:val="24"/>
        </w:rPr>
        <w:t>По результатам обследования технического состояния демонтированных материальных ценностей Заказчик направит уведомление, содержащее сведения:</w:t>
      </w:r>
    </w:p>
    <w:p>
      <w:pPr>
        <w:pStyle w:val="Normal"/>
        <w:numPr>
          <w:ilvl w:val="1"/>
          <w:numId w:val="31"/>
        </w:numPr>
        <w:spacing w:lineRule="auto" w:line="240"/>
        <w:ind w:left="0" w:firstLine="567"/>
        <w:rPr>
          <w:sz w:val="24"/>
          <w:szCs w:val="24"/>
        </w:rPr>
      </w:pPr>
      <w:r>
        <w:rPr>
          <w:sz w:val="24"/>
          <w:szCs w:val="24"/>
        </w:rPr>
        <w:t xml:space="preserve"> </w:t>
      </w:r>
      <w:r>
        <w:rPr>
          <w:sz w:val="24"/>
          <w:szCs w:val="24"/>
        </w:rPr>
        <w:t>о материальных ценностях, пригодных для дальнейшего использования, порядке и сроках их передачи Заказчику, в том числе:</w:t>
      </w:r>
    </w:p>
    <w:p>
      <w:pPr>
        <w:pStyle w:val="Normal"/>
        <w:numPr>
          <w:ilvl w:val="0"/>
          <w:numId w:val="32"/>
        </w:numPr>
        <w:spacing w:lineRule="auto" w:line="240"/>
        <w:ind w:left="0" w:firstLine="567"/>
        <w:rPr>
          <w:sz w:val="24"/>
          <w:szCs w:val="24"/>
        </w:rPr>
      </w:pPr>
      <w:r>
        <w:rPr>
          <w:sz w:val="24"/>
          <w:szCs w:val="24"/>
        </w:rPr>
        <w:t>о необходимости разборки/разукрупнения материальных ценностей;</w:t>
      </w:r>
    </w:p>
    <w:p>
      <w:pPr>
        <w:pStyle w:val="Normal"/>
        <w:numPr>
          <w:ilvl w:val="0"/>
          <w:numId w:val="32"/>
        </w:numPr>
        <w:spacing w:lineRule="auto" w:line="240"/>
        <w:ind w:left="0" w:firstLine="567"/>
        <w:rPr>
          <w:sz w:val="24"/>
          <w:szCs w:val="24"/>
        </w:rPr>
      </w:pPr>
      <w:r>
        <w:rPr>
          <w:sz w:val="24"/>
          <w:szCs w:val="24"/>
        </w:rPr>
        <w:t>о сроках передачи и складе/площадке для размещения материальных ценностей;</w:t>
      </w:r>
    </w:p>
    <w:p>
      <w:pPr>
        <w:pStyle w:val="Normal"/>
        <w:numPr>
          <w:ilvl w:val="0"/>
          <w:numId w:val="32"/>
        </w:numPr>
        <w:spacing w:lineRule="auto" w:line="240"/>
        <w:ind w:left="0" w:firstLine="567"/>
        <w:rPr>
          <w:sz w:val="24"/>
          <w:szCs w:val="24"/>
        </w:rPr>
      </w:pPr>
      <w:r>
        <w:rPr>
          <w:sz w:val="24"/>
          <w:szCs w:val="24"/>
        </w:rPr>
        <w:t>о сроках и порядке проведения взвешивания (при необходимости).</w:t>
      </w:r>
    </w:p>
    <w:p>
      <w:pPr>
        <w:pStyle w:val="Normal"/>
        <w:numPr>
          <w:ilvl w:val="1"/>
          <w:numId w:val="31"/>
        </w:numPr>
        <w:spacing w:lineRule="auto" w:line="240"/>
        <w:ind w:left="0" w:firstLine="567"/>
        <w:rPr>
          <w:sz w:val="24"/>
          <w:szCs w:val="24"/>
        </w:rPr>
      </w:pPr>
      <w:r>
        <w:rPr>
          <w:sz w:val="24"/>
          <w:szCs w:val="24"/>
        </w:rPr>
        <w:t xml:space="preserve"> </w:t>
      </w:r>
      <w:r>
        <w:rPr>
          <w:sz w:val="24"/>
          <w:szCs w:val="24"/>
        </w:rPr>
        <w:t>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том числе:</w:t>
      </w:r>
    </w:p>
    <w:p>
      <w:pPr>
        <w:pStyle w:val="Normal"/>
        <w:numPr>
          <w:ilvl w:val="0"/>
          <w:numId w:val="32"/>
        </w:numPr>
        <w:spacing w:lineRule="auto" w:line="240"/>
        <w:ind w:left="0" w:firstLine="567"/>
        <w:rPr>
          <w:sz w:val="24"/>
          <w:szCs w:val="24"/>
        </w:rPr>
      </w:pPr>
      <w:r>
        <w:rPr>
          <w:sz w:val="24"/>
          <w:szCs w:val="24"/>
        </w:rPr>
        <w:t>о необходимости разделки лома металлов, сортировки по видам металлов, видам, группам и категориям металлолома;</w:t>
      </w:r>
    </w:p>
    <w:p>
      <w:pPr>
        <w:pStyle w:val="Normal"/>
        <w:numPr>
          <w:ilvl w:val="0"/>
          <w:numId w:val="32"/>
        </w:numPr>
        <w:spacing w:lineRule="auto" w:line="240"/>
        <w:ind w:left="0" w:firstLine="567"/>
        <w:rPr>
          <w:sz w:val="24"/>
          <w:szCs w:val="24"/>
        </w:rPr>
      </w:pPr>
      <w:r>
        <w:rPr>
          <w:sz w:val="24"/>
          <w:szCs w:val="24"/>
        </w:rPr>
        <w:t xml:space="preserve">о допустимых габаритах отдельных кусков лома, маркировке демонтированных деталей; </w:t>
      </w:r>
    </w:p>
    <w:p>
      <w:pPr>
        <w:pStyle w:val="Normal"/>
        <w:numPr>
          <w:ilvl w:val="0"/>
          <w:numId w:val="32"/>
        </w:numPr>
        <w:spacing w:lineRule="auto" w:line="240"/>
        <w:ind w:left="0" w:firstLine="567"/>
        <w:rPr>
          <w:sz w:val="24"/>
          <w:szCs w:val="24"/>
        </w:rPr>
      </w:pPr>
      <w:r>
        <w:rPr>
          <w:sz w:val="24"/>
          <w:szCs w:val="24"/>
        </w:rPr>
        <w:t>об условиях размещения лома и месте накопления отходов;</w:t>
      </w:r>
    </w:p>
    <w:p>
      <w:pPr>
        <w:pStyle w:val="Normal"/>
        <w:numPr>
          <w:ilvl w:val="0"/>
          <w:numId w:val="32"/>
        </w:numPr>
        <w:spacing w:lineRule="auto" w:line="240"/>
        <w:ind w:left="0" w:firstLine="567"/>
        <w:rPr>
          <w:sz w:val="24"/>
          <w:szCs w:val="24"/>
        </w:rPr>
      </w:pPr>
      <w:r>
        <w:rPr>
          <w:sz w:val="24"/>
          <w:szCs w:val="24"/>
        </w:rPr>
        <w:t>о сроках и условиях размещения лома в месте накопления отходов и взвешивания лома;</w:t>
      </w:r>
    </w:p>
    <w:p>
      <w:pPr>
        <w:pStyle w:val="Normal"/>
        <w:numPr>
          <w:ilvl w:val="0"/>
          <w:numId w:val="32"/>
        </w:numPr>
        <w:spacing w:lineRule="auto" w:line="240"/>
        <w:ind w:left="0" w:firstLine="567"/>
        <w:rPr>
          <w:sz w:val="24"/>
          <w:szCs w:val="24"/>
        </w:rPr>
      </w:pPr>
      <w:r>
        <w:rPr>
          <w:sz w:val="24"/>
          <w:szCs w:val="24"/>
        </w:rPr>
        <w:t>о необходимости определения засоренности и требованиях к порядку и срокам определения засоренности лома цветных металлов;</w:t>
      </w:r>
    </w:p>
    <w:p>
      <w:pPr>
        <w:pStyle w:val="Normal"/>
        <w:numPr>
          <w:ilvl w:val="0"/>
          <w:numId w:val="31"/>
        </w:numPr>
        <w:spacing w:lineRule="auto" w:line="240"/>
        <w:ind w:left="0" w:firstLine="567"/>
        <w:rPr>
          <w:sz w:val="24"/>
          <w:szCs w:val="24"/>
        </w:rPr>
      </w:pPr>
      <w:r>
        <w:rPr>
          <w:sz w:val="24"/>
          <w:szCs w:val="24"/>
        </w:rPr>
        <w:t>Подрядчик должен передать Заказчику в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засоренности лома цветных металлов, в т.ч.:</w:t>
      </w:r>
    </w:p>
    <w:p>
      <w:pPr>
        <w:pStyle w:val="Normal"/>
        <w:numPr>
          <w:ilvl w:val="1"/>
          <w:numId w:val="31"/>
        </w:numPr>
        <w:spacing w:lineRule="auto" w:line="240"/>
        <w:ind w:left="0" w:firstLine="567"/>
        <w:rPr>
          <w:sz w:val="24"/>
          <w:szCs w:val="24"/>
        </w:rPr>
      </w:pPr>
      <w:r>
        <w:rPr>
          <w:sz w:val="24"/>
          <w:szCs w:val="24"/>
        </w:rPr>
        <w:t>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pPr>
        <w:pStyle w:val="Normal"/>
        <w:numPr>
          <w:ilvl w:val="1"/>
          <w:numId w:val="31"/>
        </w:numPr>
        <w:spacing w:lineRule="auto" w:line="240"/>
        <w:ind w:left="0" w:firstLine="567"/>
        <w:rPr>
          <w:sz w:val="24"/>
          <w:szCs w:val="24"/>
        </w:rPr>
      </w:pPr>
      <w:r>
        <w:rPr>
          <w:sz w:val="24"/>
          <w:szCs w:val="24"/>
        </w:rPr>
        <w:t>Выполнить разделку крупногабаритного демонтированного лома металлов;</w:t>
      </w:r>
    </w:p>
    <w:p>
      <w:pPr>
        <w:pStyle w:val="Normal"/>
        <w:numPr>
          <w:ilvl w:val="1"/>
          <w:numId w:val="31"/>
        </w:numPr>
        <w:spacing w:lineRule="auto" w:line="240"/>
        <w:ind w:left="0" w:firstLine="567"/>
        <w:rPr>
          <w:sz w:val="24"/>
          <w:szCs w:val="24"/>
        </w:rPr>
      </w:pPr>
      <w:r>
        <w:rPr>
          <w:sz w:val="24"/>
          <w:szCs w:val="24"/>
        </w:rPr>
        <w:t>Выполнить перемещение лома металлов в место накопления отходов и размещение лома в месте накопления отходов;</w:t>
      </w:r>
    </w:p>
    <w:p>
      <w:pPr>
        <w:pStyle w:val="Normal"/>
        <w:numPr>
          <w:ilvl w:val="1"/>
          <w:numId w:val="31"/>
        </w:numPr>
        <w:spacing w:lineRule="auto" w:line="240"/>
        <w:ind w:left="0" w:firstLine="567"/>
        <w:rPr>
          <w:sz w:val="24"/>
          <w:szCs w:val="24"/>
        </w:rPr>
      </w:pPr>
      <w:r>
        <w:rPr>
          <w:sz w:val="24"/>
          <w:szCs w:val="24"/>
        </w:rPr>
        <w:t>Произвести взвешивание демонтированного лома металлов. При взвешивании крупных узлов/деталей не допускается подмешивание мелких деталей/материалов;</w:t>
      </w:r>
    </w:p>
    <w:p>
      <w:pPr>
        <w:pStyle w:val="Normal"/>
        <w:numPr>
          <w:ilvl w:val="1"/>
          <w:numId w:val="31"/>
        </w:numPr>
        <w:spacing w:lineRule="auto" w:line="240"/>
        <w:ind w:left="0" w:firstLine="567"/>
        <w:rPr>
          <w:sz w:val="24"/>
          <w:szCs w:val="24"/>
        </w:rPr>
      </w:pPr>
      <w:r>
        <w:rPr>
          <w:sz w:val="24"/>
          <w:szCs w:val="24"/>
        </w:rPr>
        <w:t>Выполнить очистку от засора образцов лома цветных металлов для определения засоренности.</w:t>
      </w:r>
    </w:p>
    <w:p>
      <w:pPr>
        <w:pStyle w:val="Normal"/>
        <w:spacing w:lineRule="auto" w:line="240"/>
        <w:ind w:hanging="0"/>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c>
          <w:tcPr>
            <w:tcW w:w="4642" w:type="dxa"/>
            <w:tcBorders/>
            <w:shd w:color="auto" w:fill="auto" w:val="clear"/>
          </w:tcPr>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994"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rPr>
          <w:sz w:val="24"/>
          <w:szCs w:val="24"/>
        </w:rPr>
      </w:pPr>
      <w:r>
        <w:rPr/>
      </w:r>
    </w:p>
    <w:sectPr>
      <w:headerReference w:type="default" r:id="rId8"/>
      <w:footerReference w:type="default" r:id="rId9"/>
      <w:footerReference w:type="first" r:id="rId10"/>
      <w:footnotePr>
        <w:numFmt w:val="decimal"/>
      </w:footnotePr>
      <w:type w:val="nextPage"/>
      <w:pgSz w:w="11906" w:h="16838"/>
      <w:pgMar w:left="851"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33</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44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t xml:space="preserve"> </w:t>
      </w:r>
      <w:r>
        <w:rPr/>
        <w:t>Состав Работ корректируется исходя из содержания Технического задания.</w:t>
      </w:r>
    </w:p>
  </w:footnote>
  <w:footnote w:id="3">
    <w:p>
      <w:pPr>
        <w:pStyle w:val="FootnoteText"/>
        <w:jc w:val="both"/>
        <w:rPr/>
      </w:pPr>
      <w:r>
        <w:rPr>
          <w:rStyle w:val="Style6"/>
        </w:rPr>
        <w:footnoteRef/>
      </w:r>
      <w:r>
        <w:rPr/>
        <w:t xml:space="preserve">  </w:t>
      </w:r>
      <w:r>
        <w:rPr/>
        <w:t>Не требуется членство в СРО контрагентов по договорам на проведение инженерных изысканий, разработку проектной документации и договорам строительного подряда в следующих случаях:</w:t>
      </w:r>
    </w:p>
    <w:p>
      <w:pPr>
        <w:pStyle w:val="FootnoteText"/>
        <w:tabs>
          <w:tab w:val="clear" w:pos="709"/>
          <w:tab w:val="left" w:pos="284" w:leader="none"/>
        </w:tabs>
        <w:jc w:val="both"/>
        <w:rPr/>
      </w:pPr>
      <w:r>
        <w:rPr/>
        <w:t>-</w:t>
        <w:tab/>
        <w:t>размер обязательств по одному договору не превышает 10 000 000 (десяти миллионов) рублей (по договорам строительного подряда);</w:t>
      </w:r>
    </w:p>
    <w:p>
      <w:pPr>
        <w:pStyle w:val="FootnoteText"/>
        <w:tabs>
          <w:tab w:val="clear" w:pos="709"/>
          <w:tab w:val="left" w:pos="284" w:leader="none"/>
        </w:tabs>
        <w:jc w:val="both"/>
        <w:rPr/>
      </w:pPr>
      <w:r>
        <w:rPr/>
        <w:t>-</w:t>
        <w:tab/>
        <w:t>при выполнении работ по строительству, реконструкции, капитальному ремонту объектов, не являющихся объектами капитального строительства;</w:t>
      </w:r>
    </w:p>
    <w:p>
      <w:pPr>
        <w:pStyle w:val="FootnoteText"/>
        <w:tabs>
          <w:tab w:val="clear" w:pos="709"/>
          <w:tab w:val="left" w:pos="284" w:leader="none"/>
        </w:tabs>
        <w:jc w:val="both"/>
        <w:rPr/>
      </w:pPr>
      <w:r>
        <w:rPr/>
        <w:t>-</w:t>
        <w:tab/>
        <w:t>при выполнении работ по строительству, реконструкции, капитальному ремонту на земельном участке строений и сооружений вспомогательного использования;</w:t>
      </w:r>
    </w:p>
    <w:p>
      <w:pPr>
        <w:pStyle w:val="FootnoteText"/>
        <w:tabs>
          <w:tab w:val="clear" w:pos="709"/>
          <w:tab w:val="left" w:pos="284" w:leader="none"/>
        </w:tabs>
        <w:jc w:val="both"/>
        <w:rPr/>
      </w:pPr>
      <w:r>
        <w:rPr/>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4">
    <w:p>
      <w:pPr>
        <w:pStyle w:val="FootnoteText"/>
        <w:jc w:val="both"/>
        <w:rPr>
          <w:highlight w:val="lightGray"/>
        </w:rPr>
      </w:pPr>
      <w:r>
        <w:rPr>
          <w:rStyle w:val="Style6"/>
        </w:rPr>
        <w:footnoteRef/>
      </w:r>
      <w:r>
        <w:rPr>
          <w:highlight w:val="lightGray"/>
        </w:rPr>
        <w:t xml:space="preserve"> </w:t>
      </w:r>
      <w:r>
        <w:rPr>
          <w:highlight w:val="lightGray"/>
        </w:rPr>
        <w:t>Для договоров, заключенных в рамках реализации инвестиционной программы Заказчика.</w:t>
      </w:r>
    </w:p>
  </w:footnote>
  <w:footnote w:id="5">
    <w:p>
      <w:pPr>
        <w:pStyle w:val="FootnoteText"/>
        <w:jc w:val="both"/>
        <w:rPr/>
      </w:pPr>
      <w:r>
        <w:rPr>
          <w:rStyle w:val="Style6"/>
        </w:rPr>
        <w:footnoteRef/>
      </w:r>
      <w:r>
        <w:rPr>
          <w:highlight w:val="lightGray"/>
        </w:rPr>
        <w:t xml:space="preserve"> </w:t>
      </w:r>
      <w:r>
        <w:rPr>
          <w:highlight w:val="lightGray"/>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pPr>
      <w:r>
        <w:rPr>
          <w:rStyle w:val="Style6"/>
        </w:rPr>
        <w:footnoteRef/>
      </w:r>
      <w:r>
        <w:rPr>
          <w:highlight w:val="lightGray"/>
        </w:rPr>
        <w:t>В случае, если контрагент является субъектом МСП, при этом Заказчик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6"/>
        </w:rPr>
        <w:footnoteRef/>
      </w:r>
      <w:r>
        <w:rPr/>
        <w:t xml:space="preserve"> </w:t>
      </w:r>
      <w:r>
        <w:rPr/>
        <w:t xml:space="preserve">Затраты на временные здания и сооружения, а также непредвиденные работы и затраты, не включаются в стоимость Этапов Работ. Лимиты на такие работы и затраты указываются на основании Сводного сметного расчета в </w:t>
      </w:r>
      <w:r>
        <w:rPr>
          <w:bCs/>
        </w:rPr>
        <w:t>Календарном графике выполнения работ (Приложение № 3 к Договору) справочно за рамками Этапов Работ.</w:t>
      </w:r>
    </w:p>
  </w:footnote>
  <w:footnote w:id="8">
    <w:p>
      <w:pPr>
        <w:pStyle w:val="FootnoteText"/>
        <w:jc w:val="both"/>
        <w:rPr>
          <w:highlight w:val="lightGray"/>
        </w:rPr>
      </w:pPr>
      <w:r>
        <w:rPr>
          <w:rStyle w:val="Style6"/>
        </w:rPr>
        <w:footnoteRef/>
      </w:r>
      <w:r>
        <w:rPr>
          <w:highlight w:val="lightGray"/>
        </w:rPr>
        <w:t xml:space="preserve"> </w:t>
      </w:r>
      <w:r>
        <w:rPr>
          <w:highlight w:val="lightGray"/>
        </w:rPr>
        <w:t>Для договоров, заключенных в рамках реализации инвестиционной программы Заказчика.</w:t>
      </w:r>
    </w:p>
  </w:footnote>
  <w:footnote w:id="9">
    <w:p>
      <w:pPr>
        <w:pStyle w:val="FootnoteText"/>
        <w:jc w:val="both"/>
        <w:rPr/>
      </w:pPr>
      <w:r>
        <w:rPr>
          <w:rStyle w:val="Style6"/>
        </w:rPr>
        <w:footnoteRef/>
      </w:r>
      <w:r>
        <w:rPr>
          <w:highlight w:val="lightGray"/>
        </w:rPr>
        <w:t xml:space="preserve"> </w:t>
      </w:r>
      <w:r>
        <w:rPr>
          <w:highlight w:val="lightGray"/>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pPr>
      <w:r>
        <w:rPr>
          <w:rStyle w:val="Style6"/>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6"/>
        </w:rPr>
        <w:footnoteRef/>
      </w:r>
      <w:r>
        <w:rPr/>
        <w:t xml:space="preserve"> </w:t>
      </w:r>
      <w:r>
        <w:rPr/>
        <w:t>В случае непредоставления Банковской гарантии надлежащего исполнения Договора.</w:t>
      </w:r>
    </w:p>
  </w:footnote>
  <w:footnote w:id="12">
    <w:p>
      <w:pPr>
        <w:pStyle w:val="FootnoteText"/>
        <w:jc w:val="both"/>
        <w:rPr/>
      </w:pPr>
      <w:r>
        <w:rPr>
          <w:rStyle w:val="Style6"/>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3">
    <w:p>
      <w:pPr>
        <w:pStyle w:val="FootnoteText"/>
        <w:jc w:val="both"/>
        <w:rPr/>
      </w:pPr>
      <w:r>
        <w:rPr>
          <w:rStyle w:val="Style6"/>
        </w:rPr>
        <w:footnoteRef/>
      </w:r>
      <w:r>
        <w:rPr/>
        <w:t xml:space="preserve"> </w:t>
      </w:r>
      <w:r>
        <w:rPr/>
        <w:t xml:space="preserve">В случае, если членство в СРО требуется в соответствии с законодательством Российской Федерации </w:t>
      </w:r>
    </w:p>
  </w:footnote>
  <w:footnote w:id="14">
    <w:p>
      <w:pPr>
        <w:pStyle w:val="FootnoteText"/>
        <w:jc w:val="both"/>
        <w:rPr/>
      </w:pPr>
      <w:r>
        <w:rPr>
          <w:rStyle w:val="Style6"/>
        </w:rPr>
        <w:footnoteRef/>
      </w:r>
      <w:r>
        <w:rPr/>
        <w:t xml:space="preserve"> </w:t>
      </w:r>
      <w:r>
        <w:rPr/>
        <w:t>В случае, если членство в СРО требуется в соответствии с законодательством Российской Федерации</w:t>
      </w:r>
    </w:p>
  </w:footnote>
  <w:footnote w:id="15">
    <w:p>
      <w:pPr>
        <w:pStyle w:val="FootnoteText"/>
        <w:jc w:val="both"/>
        <w:rPr/>
      </w:pPr>
      <w:r>
        <w:rPr>
          <w:rStyle w:val="Style6"/>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6">
    <w:p>
      <w:pPr>
        <w:pStyle w:val="FootnoteText"/>
        <w:jc w:val="both"/>
        <w:rPr/>
      </w:pPr>
      <w:r>
        <w:rPr>
          <w:rStyle w:val="Style6"/>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7">
    <w:p>
      <w:pPr>
        <w:pStyle w:val="FootnoteText"/>
        <w:rPr/>
      </w:pPr>
      <w:r>
        <w:rPr>
          <w:rStyle w:val="Style6"/>
        </w:rPr>
        <w:footnoteRef/>
      </w:r>
      <w:r>
        <w:rPr/>
        <w:t xml:space="preserve"> </w:t>
      </w:r>
      <w:r>
        <w:rPr/>
        <w:t xml:space="preserve">Наименование Объекта, в отношении которого выполняются Этапы Работ. </w:t>
      </w:r>
    </w:p>
  </w:footnote>
  <w:footnote w:id="18">
    <w:p>
      <w:pPr>
        <w:pStyle w:val="FootnoteText"/>
        <w:jc w:val="both"/>
        <w:rPr/>
      </w:pPr>
      <w:r>
        <w:rPr>
          <w:rStyle w:val="Style6"/>
        </w:rPr>
        <w:footnoteRef/>
      </w:r>
      <w:r>
        <w:rPr/>
        <w:t xml:space="preserve"> </w:t>
      </w:r>
      <w:r>
        <w:rPr/>
        <w:t>Актуальный Перечень Банков-Гарантов Группы РусГидро размещен на официальном сайте ПАО «РусГидро» http://zakupki.rushydro.ru/PublicContent/Section/6</w:t>
      </w:r>
    </w:p>
  </w:footnote>
  <w:footnote w:id="19">
    <w:p>
      <w:pPr>
        <w:pStyle w:val="FootnoteText"/>
        <w:jc w:val="both"/>
        <w:rPr/>
      </w:pPr>
      <w:r>
        <w:rPr>
          <w:rStyle w:val="Style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0">
    <w:p>
      <w:pPr>
        <w:pStyle w:val="FootnoteText"/>
        <w:jc w:val="both"/>
        <w:rPr/>
      </w:pPr>
      <w:r>
        <w:rPr>
          <w:rStyle w:val="Style6"/>
        </w:rPr>
        <w:footnoteRef/>
      </w:r>
      <w:r>
        <w:rPr/>
        <w:t xml:space="preserve"> </w:t>
      </w:r>
      <w:r>
        <w:rPr/>
        <w:t>Данное требование не применяется в отношении небанковских кредитных организаций.</w:t>
      </w:r>
    </w:p>
  </w:footnote>
  <w:footnote w:id="21">
    <w:p>
      <w:pPr>
        <w:pStyle w:val="FootnoteText"/>
        <w:jc w:val="both"/>
        <w:rPr/>
      </w:pPr>
      <w:r>
        <w:rPr>
          <w:rStyle w:val="Style6"/>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2">
    <w:p>
      <w:pPr>
        <w:pStyle w:val="FootnoteText"/>
        <w:jc w:val="both"/>
        <w:rPr/>
      </w:pPr>
      <w:r>
        <w:rPr>
          <w:rStyle w:val="Style6"/>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3907"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20">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3">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7"/>
      <w:numFmt w:val="decimal"/>
      <w:lvlText w:val="%1."/>
      <w:lvlJc w:val="left"/>
      <w:pPr>
        <w:tabs>
          <w:tab w:val="num" w:pos="0"/>
        </w:tabs>
        <w:ind w:left="660" w:hanging="660"/>
      </w:pPr>
      <w:rPr/>
    </w:lvl>
    <w:lvl w:ilvl="1">
      <w:start w:val="12"/>
      <w:numFmt w:val="decimal"/>
      <w:lvlText w:val="%1.%2."/>
      <w:lvlJc w:val="left"/>
      <w:pPr>
        <w:tabs>
          <w:tab w:val="num" w:pos="0"/>
        </w:tabs>
        <w:ind w:left="1231" w:hanging="660"/>
      </w:pPr>
      <w:rPr/>
    </w:lvl>
    <w:lvl w:ilvl="2">
      <w:start w:val="1"/>
      <w:numFmt w:val="decimal"/>
      <w:lvlText w:val="%1.%2.%3."/>
      <w:lvlJc w:val="left"/>
      <w:pPr>
        <w:tabs>
          <w:tab w:val="num" w:pos="0"/>
        </w:tabs>
        <w:ind w:left="1862" w:hanging="720"/>
      </w:pPr>
      <w:rPr/>
    </w:lvl>
    <w:lvl w:ilvl="3">
      <w:start w:val="1"/>
      <w:numFmt w:val="decimal"/>
      <w:lvlText w:val="%1.%2.%3.%4."/>
      <w:lvlJc w:val="left"/>
      <w:pPr>
        <w:tabs>
          <w:tab w:val="num" w:pos="0"/>
        </w:tabs>
        <w:ind w:left="2433" w:hanging="720"/>
      </w:pPr>
      <w:rPr/>
    </w:lvl>
    <w:lvl w:ilvl="4">
      <w:start w:val="1"/>
      <w:numFmt w:val="decimal"/>
      <w:lvlText w:val="%1.%2.%3.%4.%5."/>
      <w:lvlJc w:val="left"/>
      <w:pPr>
        <w:tabs>
          <w:tab w:val="num" w:pos="0"/>
        </w:tabs>
        <w:ind w:left="3364" w:hanging="1080"/>
      </w:pPr>
      <w:rPr/>
    </w:lvl>
    <w:lvl w:ilvl="5">
      <w:start w:val="1"/>
      <w:numFmt w:val="decimal"/>
      <w:lvlText w:val="%1.%2.%3.%4.%5.%6."/>
      <w:lvlJc w:val="left"/>
      <w:pPr>
        <w:tabs>
          <w:tab w:val="num" w:pos="0"/>
        </w:tabs>
        <w:ind w:left="3935" w:hanging="1080"/>
      </w:pPr>
      <w:rPr/>
    </w:lvl>
    <w:lvl w:ilvl="6">
      <w:start w:val="1"/>
      <w:numFmt w:val="decimal"/>
      <w:lvlText w:val="%1.%2.%3.%4.%5.%6.%7."/>
      <w:lvlJc w:val="left"/>
      <w:pPr>
        <w:tabs>
          <w:tab w:val="num" w:pos="0"/>
        </w:tabs>
        <w:ind w:left="4866" w:hanging="1440"/>
      </w:pPr>
      <w:rPr/>
    </w:lvl>
    <w:lvl w:ilvl="7">
      <w:start w:val="1"/>
      <w:numFmt w:val="decimal"/>
      <w:lvlText w:val="%1.%2.%3.%4.%5.%6.%7.%8."/>
      <w:lvlJc w:val="left"/>
      <w:pPr>
        <w:tabs>
          <w:tab w:val="num" w:pos="0"/>
        </w:tabs>
        <w:ind w:left="5437" w:hanging="1440"/>
      </w:pPr>
      <w:rPr/>
    </w:lvl>
    <w:lvl w:ilvl="8">
      <w:start w:val="1"/>
      <w:numFmt w:val="decimal"/>
      <w:lvlText w:val="%1.%2.%3.%4.%5.%6.%7.%8.%9."/>
      <w:lvlJc w:val="left"/>
      <w:pPr>
        <w:tabs>
          <w:tab w:val="num" w:pos="0"/>
        </w:tabs>
        <w:ind w:left="6368" w:hanging="1800"/>
      </w:pPr>
      <w:rPr/>
    </w:lvl>
  </w:abstractNum>
  <w:abstractNum w:abstractNumId="27">
    <w:lvl w:ilvl="0">
      <w:start w:val="12"/>
      <w:numFmt w:val="decimal"/>
      <w:lvlText w:val="%1."/>
      <w:lvlJc w:val="left"/>
      <w:pPr>
        <w:tabs>
          <w:tab w:val="num" w:pos="0"/>
        </w:tabs>
        <w:ind w:left="480" w:hanging="480"/>
      </w:pPr>
      <w:rPr/>
    </w:lvl>
    <w:lvl w:ilvl="1">
      <w:start w:val="1"/>
      <w:numFmt w:val="decimal"/>
      <w:lvlText w:val="%1.%2."/>
      <w:lvlJc w:val="left"/>
      <w:pPr>
        <w:tabs>
          <w:tab w:val="num" w:pos="0"/>
        </w:tabs>
        <w:ind w:left="2342" w:hanging="480"/>
      </w:pPr>
      <w:rPr/>
    </w:lvl>
    <w:lvl w:ilvl="2">
      <w:start w:val="1"/>
      <w:numFmt w:val="decimal"/>
      <w:lvlText w:val="%1.%2.%3."/>
      <w:lvlJc w:val="left"/>
      <w:pPr>
        <w:tabs>
          <w:tab w:val="num" w:pos="0"/>
        </w:tabs>
        <w:ind w:left="4444" w:hanging="720"/>
      </w:pPr>
      <w:rPr/>
    </w:lvl>
    <w:lvl w:ilvl="3">
      <w:start w:val="1"/>
      <w:numFmt w:val="decimal"/>
      <w:lvlText w:val="%1.%2.%3.%4."/>
      <w:lvlJc w:val="left"/>
      <w:pPr>
        <w:tabs>
          <w:tab w:val="num" w:pos="0"/>
        </w:tabs>
        <w:ind w:left="6306" w:hanging="720"/>
      </w:pPr>
      <w:rPr/>
    </w:lvl>
    <w:lvl w:ilvl="4">
      <w:start w:val="1"/>
      <w:numFmt w:val="decimal"/>
      <w:lvlText w:val="%1.%2.%3.%4.%5."/>
      <w:lvlJc w:val="left"/>
      <w:pPr>
        <w:tabs>
          <w:tab w:val="num" w:pos="0"/>
        </w:tabs>
        <w:ind w:left="8528" w:hanging="1080"/>
      </w:pPr>
      <w:rPr/>
    </w:lvl>
    <w:lvl w:ilvl="5">
      <w:start w:val="1"/>
      <w:numFmt w:val="decimal"/>
      <w:lvlText w:val="%1.%2.%3.%4.%5.%6."/>
      <w:lvlJc w:val="left"/>
      <w:pPr>
        <w:tabs>
          <w:tab w:val="num" w:pos="0"/>
        </w:tabs>
        <w:ind w:left="10390" w:hanging="1080"/>
      </w:pPr>
      <w:rPr/>
    </w:lvl>
    <w:lvl w:ilvl="6">
      <w:start w:val="1"/>
      <w:numFmt w:val="decimal"/>
      <w:lvlText w:val="%1.%2.%3.%4.%5.%6.%7."/>
      <w:lvlJc w:val="left"/>
      <w:pPr>
        <w:tabs>
          <w:tab w:val="num" w:pos="0"/>
        </w:tabs>
        <w:ind w:left="12612" w:hanging="1440"/>
      </w:pPr>
      <w:rPr/>
    </w:lvl>
    <w:lvl w:ilvl="7">
      <w:start w:val="1"/>
      <w:numFmt w:val="decimal"/>
      <w:lvlText w:val="%1.%2.%3.%4.%5.%6.%7.%8."/>
      <w:lvlJc w:val="left"/>
      <w:pPr>
        <w:tabs>
          <w:tab w:val="num" w:pos="0"/>
        </w:tabs>
        <w:ind w:left="14474" w:hanging="1440"/>
      </w:pPr>
      <w:rPr/>
    </w:lvl>
    <w:lvl w:ilvl="8">
      <w:start w:val="1"/>
      <w:numFmt w:val="decimal"/>
      <w:lvlText w:val="%1.%2.%3.%4.%5.%6.%7.%8.%9."/>
      <w:lvlJc w:val="left"/>
      <w:pPr>
        <w:tabs>
          <w:tab w:val="num" w:pos="0"/>
        </w:tabs>
        <w:ind w:left="16696" w:hanging="1800"/>
      </w:pPr>
      <w:rPr/>
    </w:lvl>
  </w:abstractNum>
  <w:abstractNum w:abstractNumId="28">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9">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0">
    <w:lvl w:ilvl="0">
      <w:start w:val="8"/>
      <w:numFmt w:val="decimal"/>
      <w:lvlText w:val="%1."/>
      <w:lvlJc w:val="left"/>
      <w:pPr>
        <w:tabs>
          <w:tab w:val="num" w:pos="0"/>
        </w:tabs>
        <w:ind w:left="360" w:hanging="360"/>
      </w:pPr>
      <w:rPr/>
    </w:lvl>
    <w:lvl w:ilvl="1">
      <w:start w:val="1"/>
      <w:numFmt w:val="decimal"/>
      <w:lvlText w:val="%1.%2."/>
      <w:lvlJc w:val="left"/>
      <w:pPr>
        <w:tabs>
          <w:tab w:val="num" w:pos="0"/>
        </w:tabs>
        <w:ind w:left="931" w:hanging="360"/>
      </w:pPr>
      <w:rPr/>
    </w:lvl>
    <w:lvl w:ilvl="2">
      <w:start w:val="1"/>
      <w:numFmt w:val="decimal"/>
      <w:lvlText w:val="%1.%2.%3."/>
      <w:lvlJc w:val="left"/>
      <w:pPr>
        <w:tabs>
          <w:tab w:val="num" w:pos="0"/>
        </w:tabs>
        <w:ind w:left="1862" w:hanging="720"/>
      </w:pPr>
      <w:rPr/>
    </w:lvl>
    <w:lvl w:ilvl="3">
      <w:start w:val="1"/>
      <w:numFmt w:val="decimal"/>
      <w:lvlText w:val="%1.%2.%3.%4."/>
      <w:lvlJc w:val="left"/>
      <w:pPr>
        <w:tabs>
          <w:tab w:val="num" w:pos="0"/>
        </w:tabs>
        <w:ind w:left="2433" w:hanging="720"/>
      </w:pPr>
      <w:rPr/>
    </w:lvl>
    <w:lvl w:ilvl="4">
      <w:start w:val="1"/>
      <w:numFmt w:val="decimal"/>
      <w:lvlText w:val="%1.%2.%3.%4.%5."/>
      <w:lvlJc w:val="left"/>
      <w:pPr>
        <w:tabs>
          <w:tab w:val="num" w:pos="0"/>
        </w:tabs>
        <w:ind w:left="3364" w:hanging="1080"/>
      </w:pPr>
      <w:rPr/>
    </w:lvl>
    <w:lvl w:ilvl="5">
      <w:start w:val="1"/>
      <w:numFmt w:val="decimal"/>
      <w:lvlText w:val="%1.%2.%3.%4.%5.%6."/>
      <w:lvlJc w:val="left"/>
      <w:pPr>
        <w:tabs>
          <w:tab w:val="num" w:pos="0"/>
        </w:tabs>
        <w:ind w:left="3935" w:hanging="1080"/>
      </w:pPr>
      <w:rPr/>
    </w:lvl>
    <w:lvl w:ilvl="6">
      <w:start w:val="1"/>
      <w:numFmt w:val="decimal"/>
      <w:lvlText w:val="%1.%2.%3.%4.%5.%6.%7."/>
      <w:lvlJc w:val="left"/>
      <w:pPr>
        <w:tabs>
          <w:tab w:val="num" w:pos="0"/>
        </w:tabs>
        <w:ind w:left="4866" w:hanging="1440"/>
      </w:pPr>
      <w:rPr/>
    </w:lvl>
    <w:lvl w:ilvl="7">
      <w:start w:val="1"/>
      <w:numFmt w:val="decimal"/>
      <w:lvlText w:val="%1.%2.%3.%4.%5.%6.%7.%8."/>
      <w:lvlJc w:val="left"/>
      <w:pPr>
        <w:tabs>
          <w:tab w:val="num" w:pos="0"/>
        </w:tabs>
        <w:ind w:left="5437" w:hanging="1440"/>
      </w:pPr>
      <w:rPr/>
    </w:lvl>
    <w:lvl w:ilvl="8">
      <w:start w:val="1"/>
      <w:numFmt w:val="decimal"/>
      <w:lvlText w:val="%1.%2.%3.%4.%5.%6.%7.%8.%9."/>
      <w:lvlJc w:val="left"/>
      <w:pPr>
        <w:tabs>
          <w:tab w:val="num" w:pos="0"/>
        </w:tabs>
        <w:ind w:left="6368" w:hanging="1800"/>
      </w:pPr>
      <w:rPr/>
    </w:lvl>
  </w:abstractNum>
  <w:abstractNum w:abstractNumId="3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33"/>
    <w:lvlOverride w:ilvl="0">
      <w:startOverride w:val="1"/>
    </w:lvlOverride>
  </w:num>
  <w:num w:numId="48">
    <w:abstractNumId w:val="33"/>
  </w:num>
  <w:num w:numId="49">
    <w:abstractNumId w:val="33"/>
  </w:num>
  <w:num w:numId="50">
    <w:abstractNumId w:val="33"/>
  </w:num>
  <w:num w:numId="51">
    <w:abstractNumId w:val="33"/>
  </w:num>
  <w:num w:numId="52">
    <w:abstractNumId w:val="33"/>
  </w:num>
  <w:num w:numId="53">
    <w:abstractNumId w:val="33"/>
  </w:num>
  <w:num w:numId="54">
    <w:abstractNumId w:val="33"/>
  </w:num>
  <w:num w:numId="55">
    <w:abstractNumId w:val="33"/>
  </w:num>
  <w:num w:numId="56">
    <w:abstractNumId w:val="33"/>
  </w:num>
  <w:num w:numId="57">
    <w:abstractNumId w:val="33"/>
  </w:num>
  <w:num w:numId="58">
    <w:abstractNumId w:val="33"/>
  </w:num>
  <w:num w:numId="59">
    <w:abstractNumId w:val="33"/>
  </w:num>
  <w:num w:numId="60">
    <w:abstractNumId w:val="33"/>
  </w:num>
</w:numbering>
</file>

<file path=word/settings.xml><?xml version="1.0" encoding="utf-8"?>
<w:settings xmlns:w="http://schemas.openxmlformats.org/wordprocessingml/2006/main">
  <w:zoom w:percent="12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d45657"/>
    <w:rPr>
      <w:vertAlign w:val="superscript"/>
    </w:rPr>
  </w:style>
  <w:style w:type="character" w:styleId="FootnoteReference">
    <w:name w:val="Footnote Reference"/>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3"/>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link w:val="14"/>
    <w:qFormat/>
    <w:rsid w:val="00ae674d"/>
    <w:rPr>
      <w:b/>
      <w:sz w:val="22"/>
      <w:szCs w:val="22"/>
      <w:shd w:fill="FFFFFF" w:val="clear"/>
    </w:rPr>
  </w:style>
  <w:style w:type="character" w:styleId="11" w:customStyle="1">
    <w:name w:val="Заголовок 1 Знак"/>
    <w:qFormat/>
    <w:rsid w:val="00ae674d"/>
    <w:rPr>
      <w:rFonts w:ascii="Cambria" w:hAnsi="Cambria" w:eastAsia="Times New Roman" w:cs="Times New Roman"/>
      <w:b/>
      <w:bCs/>
      <w:kern w:val="2"/>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customStyle="1">
    <w:name w:val="Символ концевой сноски"/>
    <w:uiPriority w:val="99"/>
    <w:semiHidden/>
    <w:unhideWhenUsed/>
    <w:qFormat/>
    <w:rsid w:val="008c02d8"/>
    <w:rPr>
      <w:vertAlign w:val="superscript"/>
    </w:rPr>
  </w:style>
  <w:style w:type="character" w:styleId="EndnoteReference">
    <w:name w:val="Endnote Reference"/>
    <w:rPr>
      <w:vertAlign w:val="superscript"/>
    </w:rPr>
  </w:style>
  <w:style w:type="character" w:styleId="Style16" w:customStyle="1">
    <w:name w:val="Текст Знак"/>
    <w:basedOn w:val="DefaultParagraphFont"/>
    <w:link w:val="PlainText"/>
    <w:uiPriority w:val="99"/>
    <w:semiHidden/>
    <w:qFormat/>
    <w:rsid w:val="002e4670"/>
    <w:rPr>
      <w:rFonts w:ascii="Calibri" w:hAnsi="Calibri" w:eastAsia="Calibri" w:cs="" w:cstheme="minorBidi" w:eastAsiaTheme="minorHAnsi"/>
      <w:sz w:val="22"/>
      <w:szCs w:val="21"/>
      <w:lang w:eastAsia="en-US"/>
    </w:rPr>
  </w:style>
  <w:style w:type="character" w:styleId="Style17" w:customStyle="1">
    <w:name w:val="Абзац списка Знак"/>
    <w:link w:val="ListParagraph"/>
    <w:uiPriority w:val="34"/>
    <w:qFormat/>
    <w:locked/>
    <w:rsid w:val="002e4670"/>
    <w:rPr>
      <w:sz w:val="24"/>
      <w:szCs w:val="24"/>
    </w:rPr>
  </w:style>
  <w:style w:type="character" w:styleId="Linenumber">
    <w:name w:val="line number"/>
    <w:qFormat/>
    <w:rPr/>
  </w:style>
  <w:style w:type="character" w:styleId="FollowedHyperlink">
    <w:name w:val="FollowedHyperlink"/>
    <w:rPr>
      <w:color w:val="800000"/>
      <w:u w:val="single"/>
    </w:rPr>
  </w:style>
  <w:style w:type="character" w:styleId="12" w:customStyle="1">
    <w:name w:val="Знак сноски1"/>
    <w:qFormat/>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4b090f"/>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0" w:customStyle="1">
    <w:name w:val="Колонтитул"/>
    <w:basedOn w:val="Normal"/>
    <w:qFormat/>
    <w:pPr/>
    <w:rPr/>
  </w:style>
  <w:style w:type="paragraph" w:styleId="Header">
    <w:name w:val="Header"/>
    <w:basedOn w:val="Normal"/>
    <w:rsid w:val="004b090f"/>
    <w:pPr>
      <w:tabs>
        <w:tab w:val="clear" w:pos="709"/>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1"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2"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3"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4"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5" w:customStyle="1">
    <w:name w:val="Подпункт договора"/>
    <w:basedOn w:val="Normal"/>
    <w:qFormat/>
    <w:rsid w:val="00617a62"/>
    <w:pPr>
      <w:tabs>
        <w:tab w:val="clear" w:pos="709"/>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7"/>
    <w:uiPriority w:val="34"/>
    <w:qFormat/>
    <w:rsid w:val="005f3f9e"/>
    <w:pPr>
      <w:spacing w:lineRule="auto" w:line="240" w:before="0" w:after="0"/>
      <w:ind w:left="720" w:hanging="0"/>
      <w:contextualSpacing/>
      <w:jc w:val="left"/>
    </w:pPr>
    <w:rPr>
      <w:sz w:val="24"/>
      <w:szCs w:val="24"/>
    </w:rPr>
  </w:style>
  <w:style w:type="paragraph" w:styleId="13" w:customStyle="1">
    <w:name w:val="1. Статья"/>
    <w:basedOn w:val="Heading3"/>
    <w:link w:val="1"/>
    <w:qFormat/>
    <w:rsid w:val="005f4a86"/>
    <w:pPr>
      <w:keepNext w:val="false"/>
      <w:widowControl w:val="false"/>
      <w:numPr>
        <w:ilvl w:val="0"/>
        <w:numId w:val="2"/>
      </w:numPr>
      <w:tabs>
        <w:tab w:val="clear" w:pos="709"/>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numPr>
        <w:ilvl w:val="1"/>
        <w:numId w:val="2"/>
      </w:numPr>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numPr>
        <w:ilvl w:val="2"/>
        <w:numId w:val="2"/>
      </w:numPr>
      <w:tabs>
        <w:tab w:val="clear" w:pos="709"/>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next w:val="Annotationtext"/>
    <w:link w:val="Style9"/>
    <w:qFormat/>
    <w:rsid w:val="00f50d64"/>
    <w:pPr/>
    <w:rPr>
      <w:b/>
      <w:bCs/>
    </w:rPr>
  </w:style>
  <w:style w:type="paragraph" w:styleId="Footer">
    <w:name w:val="Footer"/>
    <w:basedOn w:val="Normal"/>
    <w:link w:val="Style10"/>
    <w:uiPriority w:val="99"/>
    <w:rsid w:val="0043217c"/>
    <w:pPr>
      <w:tabs>
        <w:tab w:val="clear" w:pos="709"/>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4" w:customStyle="1">
    <w:name w:val="Заголовок1"/>
    <w:basedOn w:val="Normal"/>
    <w:link w:val="Style11"/>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9"/>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ae674d"/>
    <w:pPr>
      <w:widowControl w:val="false"/>
      <w:spacing w:lineRule="auto" w:line="240" w:before="120" w:after="120"/>
      <w:ind w:hanging="0"/>
      <w:textAlignment w:val="baseline"/>
    </w:pPr>
    <w:rPr>
      <w:b/>
      <w:bCs/>
      <w:sz w:val="24"/>
      <w:szCs w:val="24"/>
    </w:rPr>
  </w:style>
  <w:style w:type="paragraph" w:styleId="15"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numPr>
        <w:ilvl w:val="0"/>
        <w:numId w:val="5"/>
      </w:numPr>
      <w:tabs>
        <w:tab w:val="clear" w:pos="709"/>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numPr>
        <w:ilvl w:val="1"/>
        <w:numId w:val="5"/>
      </w:numPr>
    </w:pPr>
    <w:rPr/>
  </w:style>
  <w:style w:type="paragraph" w:styleId="-2" w:customStyle="1">
    <w:name w:val="Контракт-подпункт"/>
    <w:basedOn w:val="Normal"/>
    <w:qFormat/>
    <w:rsid w:val="00f43f0d"/>
    <w:pPr>
      <w:numPr>
        <w:ilvl w:val="2"/>
        <w:numId w:val="5"/>
      </w:numPr>
    </w:pPr>
    <w:rPr/>
  </w:style>
  <w:style w:type="paragraph" w:styleId="-3" w:customStyle="1">
    <w:name w:val="Контракт-подподпункт"/>
    <w:basedOn w:val="Normal"/>
    <w:qFormat/>
    <w:rsid w:val="00f43f0d"/>
    <w:pPr>
      <w:numPr>
        <w:ilvl w:val="3"/>
        <w:numId w:val="5"/>
      </w:numPr>
    </w:pPr>
    <w:rPr/>
  </w:style>
  <w:style w:type="paragraph" w:styleId="EndnoteText">
    <w:name w:val="Endnote Text"/>
    <w:basedOn w:val="Normal"/>
    <w:link w:val="Style14"/>
    <w:uiPriority w:val="99"/>
    <w:semiHidden/>
    <w:unhideWhenUsed/>
    <w:rsid w:val="008c02d8"/>
    <w:pPr/>
    <w:rPr>
      <w:sz w:val="20"/>
      <w:szCs w:val="20"/>
      <w:lang w:val="x-none" w:eastAsia="x-none"/>
    </w:rPr>
  </w:style>
  <w:style w:type="paragraph" w:styleId="PlainText">
    <w:name w:val="Plain Text"/>
    <w:basedOn w:val="Normal"/>
    <w:link w:val="Style16"/>
    <w:uiPriority w:val="99"/>
    <w:semiHidden/>
    <w:unhideWhenUsed/>
    <w:qFormat/>
    <w:rsid w:val="002e4670"/>
    <w:pPr>
      <w:spacing w:lineRule="auto" w:line="240"/>
      <w:ind w:hanging="0"/>
      <w:jc w:val="left"/>
    </w:pPr>
    <w:rPr>
      <w:rFonts w:ascii="Calibri" w:hAnsi="Calibri" w:eastAsia="Calibri" w:cs="" w:cstheme="minorBidi" w:eastAsiaTheme="minorHAnsi"/>
      <w:sz w:val="22"/>
      <w:szCs w:val="21"/>
      <w:lang w:eastAsia="en-US"/>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uiPriority w:val="39"/>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hyperlink" Target="http://www.cbr.ru/" TargetMode="External"/><Relationship Id="rId7" Type="http://schemas.openxmlformats.org/officeDocument/2006/relationships/hyperlink" Target="http://www.cbr.ru/" TargetMode="Externa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Relationship Id="rId20"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58912-A860-4625-B7F6-93D124AA8AD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A49A2865-4CBB-4361-B71B-1EF57E007EC8}">
  <ds:schemaRefs>
    <ds:schemaRef ds:uri="http://schemas.openxmlformats.org/officeDocument/2006/bibliography"/>
  </ds:schemaRefs>
</ds:datastoreItem>
</file>

<file path=customXml/itemProps4.xml><?xml version="1.0" encoding="utf-8"?>
<ds:datastoreItem xmlns:ds="http://schemas.openxmlformats.org/officeDocument/2006/customXml" ds:itemID="{118BA4AA-2569-4756-8C7C-EA4E7C228C47}">
  <ds:schemaRefs>
    <ds:schemaRef ds:uri="http://schemas.openxmlformats.org/officeDocument/2006/bibliography"/>
  </ds:schemaRefs>
</ds:datastoreItem>
</file>

<file path=customXml/itemProps5.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415</TotalTime>
  <Application>AlterOffice/2025.3.1.0$Linux_X86_64 LibreOffice_project/431cd1b79110582f53535c95ed0a2449aadc8bf9</Application>
  <AppVersion>15.0000</AppVersion>
  <Pages>44</Pages>
  <Words>15502</Words>
  <Characters>111412</Characters>
  <CharactersWithSpaces>126334</CharactersWithSpaces>
  <Paragraphs>749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2020-05-31T20:50:00Z</dcterms:created>
  <dc:creator>UK VoHEC</dc:creator>
  <dc:description/>
  <dc:language>ru-RU</dc:language>
  <cp:lastModifiedBy/>
  <cp:lastPrinted>2017-07-18T10:53:00Z</cp:lastPrinted>
  <dcterms:modified xsi:type="dcterms:W3CDTF">2026-08-10T15:33:35Z</dcterms:modified>
  <cp:revision>157</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