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360"/>
        <w:ind w:hanging="0" w:left="0" w:right="0"/>
        <w:jc w:val="center"/>
        <w:outlineLvl w:val="0"/>
        <w:rPr>
          <w:b/>
          <w:sz w:val="24"/>
          <w:szCs w:val="24"/>
        </w:rPr>
      </w:pPr>
      <w:bookmarkStart w:id="0" w:name="__RefHeading___Toc7015_899461045"/>
      <w:bookmarkEnd w:id="0"/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spacing w:lineRule="auto" w:line="360"/>
        <w:jc w:val="center"/>
        <w:rPr>
          <w:color w:val="000000"/>
          <w:sz w:val="18"/>
        </w:rPr>
      </w:pPr>
      <w:r>
        <w:rPr>
          <w:b/>
          <w:color w:val="000000"/>
          <w:sz w:val="24"/>
          <w:szCs w:val="24"/>
        </w:rPr>
        <w:t>ОКПД2 27.40.2 Поставка осветительных устройств на Колымскую ГЭС для нужд Башкирского филиала.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0"/>
        </w:numPr>
        <w:ind w:hanging="0" w:left="284" w:right="0"/>
        <w:jc w:val="center"/>
        <w:rPr>
          <w:b/>
          <w:color w:val="000000"/>
          <w:shd w:fill="FFFFFF" w:val="clear"/>
        </w:rPr>
      </w:pPr>
      <w:r>
        <w:rPr>
          <w:b/>
          <w:color w:val="000000"/>
          <w:shd w:fill="FFFFFF" w:val="clear"/>
        </w:rPr>
      </w:r>
      <w:bookmarkStart w:id="1" w:name="__RefHeading___Toc12781_1771583711"/>
      <w:bookmarkStart w:id="2" w:name="__RefHeading___Toc12781_1771583711"/>
      <w:bookmarkEnd w:id="2"/>
    </w:p>
    <w:p>
      <w:pPr>
        <w:pStyle w:val="Normal"/>
        <w:ind w:hanging="0" w:left="284" w:right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</w:numPr>
            <w:ind w:hanging="0" w:left="284" w:right="0"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  <w:t>Содержание</w:t>
          </w:r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6"/>
            </w:rPr>
            <w:instrText xml:space="preserve"> TOC \f \o "1-9" \h</w:instrText>
          </w:r>
          <w:r>
            <w:rPr>
              <w:rStyle w:val="Style16"/>
            </w:rPr>
            <w:fldChar w:fldCharType="separate"/>
          </w:r>
          <w:hyperlink w:anchor="__RefHeading___Toc7015_899461045">
            <w:r>
              <w:rPr>
                <w:rStyle w:val="Style16"/>
              </w:rPr>
              <w:t>ТЕХНИЧЕСКИЕ ТРЕБОВАНИЯ</w:t>
              <w:tab/>
              <w:t>1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17_899461045">
            <w:r>
              <w:rPr>
                <w:rStyle w:val="Style16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19_899461045">
            <w:r>
              <w:rPr>
                <w:rStyle w:val="Style16"/>
              </w:rPr>
              <w:t>1.1.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21_899461045">
            <w:r>
              <w:rPr>
                <w:rStyle w:val="Style16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23_2243388018">
            <w:r>
              <w:rPr>
                <w:rStyle w:val="Style16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8325_2243388018">
            <w:r>
              <w:rPr>
                <w:rStyle w:val="Style16"/>
              </w:rPr>
              <w:t>2.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23_899461045">
            <w:r>
              <w:rPr>
                <w:rStyle w:val="Style16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025_899461045">
            <w:r>
              <w:rPr>
                <w:rStyle w:val="Style16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27_899461045">
            <w:r>
              <w:rPr>
                <w:rStyle w:val="Style16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029_899461045">
            <w:r>
              <w:rPr>
                <w:rStyle w:val="Style16"/>
              </w:rPr>
              <w:t>2.1.2. Требования к срокам поставки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7031_899461045">
            <w:r>
              <w:rPr>
                <w:rStyle w:val="Style16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33_899461045">
            <w:r>
              <w:rPr>
                <w:rStyle w:val="Style16"/>
              </w:rPr>
              <w:t>2.2.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rPr/>
            <w:t xml:space="preserve">Таблица </w:t>
          </w:r>
          <w:hyperlink w:anchor="__RefHeading___Toc7035_899461045">
            <w:r>
              <w:rPr>
                <w:rStyle w:val="Style16"/>
              </w:rPr>
              <w:t>3. Требования к продукции</w:t>
              <w:tab/>
              <w:t>5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7037_899461045">
            <w:r>
              <w:rPr>
                <w:rStyle w:val="Style16"/>
              </w:rPr>
              <w:t>3. Требования к документации по ценообразованию на этапе закупки</w:t>
              <w:tab/>
              <w:t>1</w:t>
            </w:r>
          </w:hyperlink>
          <w:r>
            <w:rPr/>
            <w:t>4</w:t>
          </w:r>
          <w:r>
            <w:rPr/>
            <w:fldChar w:fldCharType="end"/>
          </w:r>
        </w:p>
      </w:sdtContent>
    </w:sdt>
    <w:p>
      <w:pPr>
        <w:pStyle w:val="TOC1"/>
        <w:tabs>
          <w:tab w:val="clear" w:pos="708"/>
          <w:tab w:val="right" w:pos="9921" w:leader="dot"/>
        </w:tabs>
        <w:rPr/>
      </w:pPr>
      <w:r>
        <w:rPr/>
        <w:t>4</w:t>
      </w:r>
      <w:hyperlink w:anchor="__RefHeading___Toc7035_899461045">
        <w:r>
          <w:rPr>
            <w:rStyle w:val="Style16"/>
          </w:rPr>
          <w:t>. Приложение</w:t>
          <w:tab/>
        </w:r>
      </w:hyperlink>
      <w:r>
        <w:rPr/>
        <w:t>14</w:t>
      </w:r>
      <w:r>
        <w:br w:type="page"/>
      </w:r>
    </w:p>
    <w:p>
      <w:pPr>
        <w:pStyle w:val="Heading1"/>
        <w:numPr>
          <w:ilvl w:val="0"/>
          <w:numId w:val="3"/>
        </w:numPr>
        <w:ind w:hanging="432" w:left="432" w:right="0"/>
        <w:rPr>
          <w:b/>
          <w:sz w:val="24"/>
          <w:szCs w:val="24"/>
        </w:rPr>
      </w:pPr>
      <w:bookmarkStart w:id="3" w:name="__RefHeading___Toc7017_899461045"/>
      <w:bookmarkStart w:id="4" w:name="_Toc75446568"/>
      <w:bookmarkStart w:id="5" w:name="_Toc46743506"/>
      <w:bookmarkEnd w:id="3"/>
      <w:r>
        <w:rPr>
          <w:b/>
          <w:sz w:val="24"/>
          <w:szCs w:val="24"/>
        </w:rPr>
        <w:t>Общие сведения</w:t>
      </w:r>
      <w:bookmarkEnd w:id="4"/>
      <w:bookmarkEnd w:id="5"/>
    </w:p>
    <w:p>
      <w:pPr>
        <w:pStyle w:val="Heading4"/>
        <w:numPr>
          <w:ilvl w:val="1"/>
          <w:numId w:val="3"/>
        </w:numPr>
        <w:ind w:hanging="432" w:left="432" w:right="0"/>
        <w:rPr>
          <w:b/>
        </w:rPr>
      </w:pPr>
      <w:bookmarkStart w:id="6" w:name="__RefHeading___Toc7019_899461045"/>
      <w:bookmarkEnd w:id="6"/>
      <w:r>
        <w:rPr>
          <w:b/>
        </w:rPr>
        <w:t>Наименование закупаемой продукции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стандарт организации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</w:tbl>
    <w:p>
      <w:pPr>
        <w:pStyle w:val="Heading4"/>
        <w:numPr>
          <w:ilvl w:val="1"/>
          <w:numId w:val="3"/>
        </w:numPr>
        <w:ind w:hanging="432" w:left="432" w:right="0"/>
        <w:rPr>
          <w:b/>
        </w:rPr>
      </w:pPr>
      <w:bookmarkStart w:id="7" w:name="__RefHeading___Toc7021_899461045"/>
      <w:bookmarkEnd w:id="7"/>
      <w:r>
        <w:rPr>
          <w:b/>
        </w:rPr>
        <w:t>Наименование закупаемой продукции</w:t>
      </w:r>
    </w:p>
    <w:p>
      <w:pPr>
        <w:pStyle w:val="Normal"/>
        <w:spacing w:lineRule="auto" w:line="360"/>
        <w:jc w:val="left"/>
        <w:rPr>
          <w:b w:val="false"/>
          <w:bCs w:val="false"/>
        </w:rPr>
      </w:pPr>
      <w:r>
        <w:rPr>
          <w:b w:val="false"/>
          <w:bCs w:val="false"/>
          <w:color w:val="000000"/>
          <w:sz w:val="24"/>
          <w:szCs w:val="24"/>
        </w:rPr>
        <w:t>ОКПД2 27.40.2 Поставка осветительных устройств на Колымскую ГЭС для нужд Башкирского филиала.</w:t>
      </w:r>
    </w:p>
    <w:p>
      <w:pPr>
        <w:pStyle w:val="Heading4"/>
        <w:numPr>
          <w:ilvl w:val="1"/>
          <w:numId w:val="3"/>
        </w:numPr>
        <w:ind w:hanging="432" w:left="432" w:right="0"/>
        <w:rPr>
          <w:b/>
        </w:rPr>
      </w:pPr>
      <w:bookmarkStart w:id="8" w:name="__RefHeading___Toc8323_2243388018"/>
      <w:bookmarkEnd w:id="8"/>
      <w:r>
        <w:rPr>
          <w:b/>
        </w:rPr>
        <w:t>Цель использования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360"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Закупаемая продукция предназначена для Выполнение монтажных работ в части инженерно-технических средств защиты, включая поставку оборудования и материалов по 3-м системам (системе контроля и управление доступом; системе охранной, телевизионной; инженерно-технических средств защиты) комплексной системы безопасности Колымской ГЭС в рамках инвестиционного проекта у взаимозависимого лица по лоту №0012-ТПиР БЕЗОП-2026-КЭ-КГЭС, подписанного между ПАО «Колымаэнерго» и АО «Гидроремонт-ВКК».</w:t>
      </w:r>
    </w:p>
    <w:p>
      <w:pPr>
        <w:pStyle w:val="Heading1"/>
        <w:numPr>
          <w:ilvl w:val="0"/>
          <w:numId w:val="3"/>
        </w:numPr>
        <w:spacing w:before="0" w:after="0"/>
        <w:ind w:hanging="709" w:left="709" w:right="0"/>
        <w:rPr>
          <w:b/>
          <w:bCs/>
        </w:rPr>
      </w:pPr>
      <w:bookmarkStart w:id="9" w:name="__RefHeading___Toc8325_2243388018"/>
      <w:bookmarkStart w:id="10" w:name="_Toc51339693"/>
      <w:bookmarkStart w:id="11" w:name="_Toc75446573"/>
      <w:bookmarkStart w:id="12" w:name="_Toc124846885"/>
      <w:bookmarkStart w:id="13" w:name="_Toc46743510_Копия_1"/>
      <w:bookmarkStart w:id="14" w:name="_Toc50125126"/>
      <w:bookmarkEnd w:id="9"/>
      <w:bookmarkEnd w:id="13"/>
      <w:bookmarkEnd w:id="14"/>
      <w:r>
        <w:rPr>
          <w:b/>
          <w:bCs/>
          <w:sz w:val="24"/>
          <w:szCs w:val="24"/>
        </w:rPr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3"/>
        </w:numPr>
        <w:ind w:hanging="432" w:left="432" w:right="0"/>
        <w:rPr>
          <w:b/>
        </w:rPr>
      </w:pPr>
      <w:bookmarkStart w:id="15" w:name="__RefHeading___Toc7023_899461045"/>
      <w:bookmarkStart w:id="16" w:name="_Toc75446574"/>
      <w:bookmarkEnd w:id="15"/>
      <w:r>
        <w:rPr>
          <w:b/>
        </w:rPr>
        <w:t>Требования к объемам и срокам поставки</w:t>
      </w:r>
      <w:bookmarkEnd w:id="16"/>
    </w:p>
    <w:p>
      <w:pPr>
        <w:pStyle w:val="Heading3"/>
        <w:numPr>
          <w:ilvl w:val="2"/>
          <w:numId w:val="3"/>
        </w:numPr>
        <w:ind w:hanging="504" w:left="1224" w:right="0"/>
        <w:rPr>
          <w:b/>
        </w:rPr>
      </w:pPr>
      <w:bookmarkStart w:id="17" w:name="__RefHeading___Toc7025_899461045"/>
      <w:bookmarkStart w:id="18" w:name="_Toc75446575"/>
      <w:bookmarkEnd w:id="17"/>
      <w:r>
        <w:rPr>
          <w:b/>
        </w:rPr>
        <w:t>Перечень и объем закупаемой продукции</w:t>
      </w:r>
      <w:bookmarkEnd w:id="18"/>
    </w:p>
    <w:p>
      <w:pPr>
        <w:pStyle w:val="Heading1"/>
        <w:numPr>
          <w:ilvl w:val="0"/>
        </w:numPr>
        <w:ind w:hanging="0" w:left="284" w:right="0"/>
        <w:rPr>
          <w:b/>
          <w:sz w:val="24"/>
          <w:szCs w:val="24"/>
        </w:rPr>
      </w:pPr>
      <w:bookmarkStart w:id="19" w:name="__RefHeading___Toc7027_899461045"/>
      <w:bookmarkStart w:id="20" w:name="_Toc75446576"/>
      <w:bookmarkStart w:id="21" w:name="_Toc51339695"/>
      <w:bookmarkEnd w:id="19"/>
      <w:r>
        <w:rPr>
          <w:b/>
          <w:sz w:val="24"/>
          <w:szCs w:val="24"/>
        </w:rPr>
        <w:t xml:space="preserve">Таблица 1.1 Перечень </w:t>
      </w:r>
      <w:bookmarkEnd w:id="21"/>
      <w:r>
        <w:rPr>
          <w:b/>
          <w:sz w:val="24"/>
          <w:szCs w:val="24"/>
        </w:rPr>
        <w:t>и объем закупаемой продукции</w:t>
      </w:r>
      <w:bookmarkEnd w:id="20"/>
    </w:p>
    <w:tbl>
      <w:tblPr>
        <w:tblW w:w="10065" w:type="dxa"/>
        <w:jc w:val="left"/>
        <w:tblInd w:w="-5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18"/>
        <w:gridCol w:w="3998"/>
        <w:gridCol w:w="1276"/>
        <w:gridCol w:w="1988"/>
        <w:gridCol w:w="1985"/>
      </w:tblGrid>
      <w:tr>
        <w:trPr>
          <w:tblHeader w:val="true"/>
          <w:trHeight w:val="454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>
        <w:trPr>
          <w:trHeight w:val="256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454" w:hRule="atLeast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ind w:hanging="227" w:left="340"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Светильник уличный ДКУ62-40-001 Champion 7</w:t>
            </w:r>
            <w:r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p>
      <w:pPr>
        <w:pStyle w:val="Heading3"/>
        <w:numPr>
          <w:ilvl w:val="2"/>
          <w:numId w:val="3"/>
        </w:numPr>
        <w:ind w:hanging="504" w:left="1224" w:right="0"/>
        <w:rPr>
          <w:b/>
        </w:rPr>
      </w:pPr>
      <w:bookmarkStart w:id="22" w:name="__RefHeading___Toc7029_899461045"/>
      <w:bookmarkEnd w:id="22"/>
      <w:r>
        <w:rPr>
          <w:b/>
        </w:rPr>
        <w:t xml:space="preserve">Требования к срокам поставки продукции </w:t>
      </w:r>
    </w:p>
    <w:p>
      <w:pPr>
        <w:pStyle w:val="Heading1"/>
        <w:numPr>
          <w:ilvl w:val="0"/>
        </w:numPr>
        <w:ind w:hanging="0" w:left="142" w:right="0"/>
        <w:rPr>
          <w:b/>
          <w:sz w:val="24"/>
        </w:rPr>
      </w:pPr>
      <w:bookmarkStart w:id="23" w:name="__RefHeading___Toc7031_899461045"/>
      <w:bookmarkStart w:id="24" w:name="_Toc75446579"/>
      <w:bookmarkStart w:id="25" w:name="_Toc50125127"/>
      <w:bookmarkStart w:id="26" w:name="_Toc51339697"/>
      <w:bookmarkStart w:id="27" w:name="_Toc501251261"/>
      <w:bookmarkEnd w:id="23"/>
      <w:bookmarkEnd w:id="27"/>
      <w:r>
        <w:rPr>
          <w:b/>
          <w:sz w:val="24"/>
        </w:rPr>
        <w:t xml:space="preserve">Таблица 2.1 </w:t>
      </w:r>
      <w:bookmarkStart w:id="28" w:name="_Hlk50465284"/>
      <w:r>
        <w:rPr>
          <w:b/>
          <w:sz w:val="24"/>
        </w:rPr>
        <w:t xml:space="preserve">Требования по срокам </w:t>
      </w:r>
      <w:bookmarkEnd w:id="25"/>
      <w:bookmarkEnd w:id="26"/>
      <w:bookmarkEnd w:id="28"/>
      <w:r>
        <w:rPr>
          <w:b/>
          <w:sz w:val="24"/>
        </w:rPr>
        <w:t>поставки продукции</w:t>
      </w:r>
      <w:bookmarkEnd w:id="24"/>
      <w:r>
        <w:rPr>
          <w:b/>
          <w:sz w:val="24"/>
        </w:rPr>
        <w:t xml:space="preserve"> </w:t>
      </w:r>
    </w:p>
    <w:tbl>
      <w:tblPr>
        <w:tblW w:w="9878" w:type="dxa"/>
        <w:jc w:val="left"/>
        <w:tblInd w:w="1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1"/>
        <w:gridCol w:w="3470"/>
        <w:gridCol w:w="3877"/>
        <w:gridCol w:w="2079"/>
      </w:tblGrid>
      <w:tr>
        <w:trPr/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4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bookmarkStart w:id="29" w:name="_Toc46743510"/>
            <w:r>
              <w:rPr>
                <w:b/>
                <w:szCs w:val="22"/>
              </w:rPr>
              <w:t>6</w:t>
            </w:r>
            <w:bookmarkEnd w:id="29"/>
          </w:p>
        </w:tc>
      </w:tr>
      <w:tr>
        <w:trPr>
          <w:trHeight w:val="919" w:hRule="atLeas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hanging="0" w:left="113"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ОКПД2 27.40.2 Поставка осветительных устройств на Колымскую ГЭС для нужд Башкирского филиала.</w:t>
            </w:r>
          </w:p>
        </w:tc>
        <w:tc>
          <w:tcPr>
            <w:tcW w:w="38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течении </w:t>
            </w:r>
            <w:r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 xml:space="preserve"> календарных дней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1276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hanging="432" w:left="432" w:right="0"/>
        <w:rPr>
          <w:b/>
        </w:rPr>
      </w:pPr>
      <w:bookmarkStart w:id="30" w:name="__RefHeading___Toc7033_899461045"/>
      <w:bookmarkStart w:id="31" w:name="_Toc51339698"/>
      <w:bookmarkStart w:id="32" w:name="_Toc75446581"/>
      <w:bookmarkStart w:id="33" w:name="_Toc46743511"/>
      <w:bookmarkStart w:id="34" w:name="_Toc547856221"/>
      <w:bookmarkEnd w:id="30"/>
      <w:bookmarkEnd w:id="34"/>
      <w:r>
        <w:rPr>
          <w:b/>
        </w:rPr>
        <w:t xml:space="preserve">Требования к </w:t>
      </w:r>
      <w:bookmarkEnd w:id="33"/>
      <w:r>
        <w:rPr>
          <w:b/>
        </w:rPr>
        <w:t>качеству продукции</w:t>
      </w:r>
      <w:bookmarkEnd w:id="32"/>
    </w:p>
    <w:p>
      <w:pPr>
        <w:pStyle w:val="Heading1"/>
        <w:numPr>
          <w:ilvl w:val="0"/>
        </w:numPr>
        <w:ind w:hanging="0" w:left="0" w:right="0"/>
        <w:rPr>
          <w:b/>
          <w:sz w:val="24"/>
          <w:szCs w:val="24"/>
        </w:rPr>
      </w:pPr>
      <w:bookmarkStart w:id="35" w:name="__RefHeading___Toc7035_899461045"/>
      <w:bookmarkStart w:id="36" w:name="_Toc75446582"/>
      <w:bookmarkEnd w:id="35"/>
      <w:r>
        <w:rPr>
          <w:b/>
          <w:sz w:val="24"/>
          <w:szCs w:val="24"/>
        </w:rPr>
        <w:t>Таблица 3. Требования к продукции</w:t>
      </w:r>
      <w:bookmarkEnd w:id="36"/>
      <w:r>
        <w:rPr>
          <w:b/>
          <w:sz w:val="24"/>
          <w:szCs w:val="24"/>
        </w:rPr>
        <w:t xml:space="preserve"> </w:t>
      </w:r>
      <w:bookmarkEnd w:id="31"/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>Наименование продукции (позиция №1 Таблицы 1.1. «Перечень и объем закупаемой продукции»):</w:t>
      </w:r>
      <w:r>
        <w:rPr>
          <w:iCs/>
          <w:sz w:val="24"/>
          <w:szCs w:val="24"/>
        </w:rPr>
        <w:t xml:space="preserve"> </w:t>
      </w:r>
      <w:r>
        <w:rPr>
          <w:b w:val="false"/>
          <w:bCs w:val="false"/>
          <w:iCs/>
          <w:color w:val="000000"/>
          <w:sz w:val="24"/>
          <w:szCs w:val="24"/>
        </w:rPr>
        <w:t>ОКПД2 27.40.2 Поставка осветительных устройств на Колымскую ГЭС для нужд Башкирского филиала.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28"/>
        <w:gridCol w:w="4687"/>
        <w:gridCol w:w="2270"/>
        <w:gridCol w:w="2114"/>
        <w:gridCol w:w="1714"/>
        <w:gridCol w:w="1564"/>
        <w:gridCol w:w="1634"/>
      </w:tblGrid>
      <w:tr>
        <w:trPr>
          <w:tblHeader w:val="true"/>
          <w:trHeight w:val="20" w:hRule="atLeast"/>
        </w:trPr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продукции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3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blHeader w:val="true"/>
          <w:trHeight w:val="20" w:hRule="atLeast"/>
        </w:trPr>
        <w:tc>
          <w:tcPr>
            <w:tcW w:w="7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6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3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  <w:lang w:val="en-US"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  <w:lang w:val="en-US"/>
              </w:rPr>
              <w:t>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shd w:fill="FFFFFF" w:val="clear"/>
                <w:lang w:val="en-US"/>
              </w:rPr>
              <w:t>7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7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</w:t>
            </w:r>
          </w:p>
        </w:tc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Светильник уличный ДКУ62-40-001 Champion 7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5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1.1.1</w:t>
            </w:r>
          </w:p>
        </w:tc>
        <w:tc>
          <w:tcPr>
            <w:tcW w:w="46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Мощность светильника, </w:t>
            </w:r>
            <w:r>
              <w:rPr>
                <w:color w:val="000000"/>
                <w:sz w:val="22"/>
                <w:szCs w:val="22"/>
              </w:rPr>
              <w:t>Вт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40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1.1.2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лампы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встроенные светодиоды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594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1.1.3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цоколя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встроенные светодиоды(LED)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1.1.4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Питание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сеть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1.1.5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Напряжение питания, </w:t>
            </w:r>
            <w:r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 xml:space="preserve">220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1.1.6</w:t>
            </w:r>
          </w:p>
        </w:tc>
        <w:tc>
          <w:tcPr>
            <w:tcW w:w="46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Защитное стекло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наличие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1.1.7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Способ установки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консольный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1.1.8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Степень защиты, </w:t>
            </w:r>
            <w:r>
              <w:rPr>
                <w:sz w:val="22"/>
                <w:szCs w:val="22"/>
              </w:rPr>
              <w:t>IP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66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1.1.9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fill="FFFFFF" w:val="clear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алюминий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1.1.10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рассеивателя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fill="FFFFFF" w:val="clear"/>
              <w:jc w:val="center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 xml:space="preserve"> </w:t>
            </w:r>
            <w:r>
              <w:rPr>
                <w:color w:val="000000"/>
                <w:sz w:val="22"/>
                <w:szCs w:val="22"/>
                <w:shd w:fill="FFFFFF" w:val="clear"/>
              </w:rPr>
              <w:t>полимер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1.1.11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Цветовая температура, </w:t>
            </w:r>
            <w:r>
              <w:rPr>
                <w:sz w:val="22"/>
                <w:szCs w:val="22"/>
              </w:rPr>
              <w:t>К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fill="FFFFFF" w:val="clear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5</w:t>
            </w:r>
            <w:r>
              <w:rPr>
                <w:sz w:val="22"/>
                <w:szCs w:val="22"/>
                <w:shd w:fill="FFFFFF" w:val="clear"/>
              </w:rPr>
              <w:t xml:space="preserve"> 000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1.1.12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Световой поток, </w:t>
            </w:r>
            <w:r>
              <w:rPr>
                <w:sz w:val="22"/>
                <w:szCs w:val="22"/>
              </w:rPr>
              <w:t>лм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fill="FFFFFF" w:val="clear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6600 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1.1.13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Цветопередача, </w:t>
            </w:r>
            <w:r>
              <w:rPr>
                <w:sz w:val="22"/>
                <w:szCs w:val="22"/>
                <w:shd w:fill="FFFFFF" w:val="clear"/>
              </w:rPr>
              <w:t>Ra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fill="FFFFFF" w:val="clear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 xml:space="preserve">70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r>
              <w:rPr>
                <w:sz w:val="22"/>
                <w:szCs w:val="22"/>
                <w:shd w:fill="FFFFFF" w:val="clear"/>
              </w:rPr>
              <w:t>мм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fill="FFFFFF" w:val="clear"/>
              <w:jc w:val="center"/>
              <w:rPr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490</w:t>
            </w:r>
            <w:r>
              <w:rPr>
                <w:sz w:val="22"/>
                <w:szCs w:val="22"/>
                <w:shd w:fill="FFFFFF" w:val="clear"/>
              </w:rPr>
              <w:t xml:space="preserve"> 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1.1.15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r>
              <w:rPr>
                <w:sz w:val="22"/>
                <w:szCs w:val="22"/>
                <w:shd w:fill="FFFFFF" w:val="clear"/>
              </w:rPr>
              <w:t>мм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1.1.16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r>
              <w:rPr>
                <w:sz w:val="22"/>
                <w:szCs w:val="22"/>
                <w:shd w:fill="FFFFFF" w:val="clear"/>
              </w:rPr>
              <w:t>мм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1.1.17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Диаметр трубы, </w:t>
            </w:r>
            <w:r>
              <w:rPr>
                <w:sz w:val="22"/>
                <w:szCs w:val="22"/>
                <w:shd w:fill="FFFFFF" w:val="clear"/>
              </w:rPr>
              <w:t>мм</w:t>
            </w:r>
          </w:p>
        </w:tc>
        <w:tc>
          <w:tcPr>
            <w:tcW w:w="2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ListParagraph"/>
              <w:widowControl w:val="false"/>
              <w:spacing w:before="60" w:after="60"/>
              <w:ind w:hanging="360" w:left="360" w:right="-53"/>
              <w:contextualSpacing/>
              <w:jc w:val="center"/>
              <w:rPr>
                <w:sz w:val="22"/>
                <w:szCs w:val="22"/>
              </w:rPr>
            </w:pPr>
            <w:r>
              <w:rPr>
                <w:shd w:fill="FFFFFF" w:val="clear"/>
              </w:rPr>
              <w:t>1.1.18</w:t>
            </w:r>
          </w:p>
        </w:tc>
        <w:tc>
          <w:tcPr>
            <w:tcW w:w="46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стандарту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3461-051-05014337-2012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22"/>
                <w:szCs w:val="22"/>
                <w:shd w:fill="FFFFFF" w:val="clear"/>
              </w:rPr>
              <w:t>Паспорт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80" w:right="-53"/>
              <w:contextualSpacing/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2.</w:t>
            </w:r>
          </w:p>
        </w:tc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spacing w:before="2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Согласие с требованием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  <w:shd w:fill="FFFFFF" w:val="clear"/>
              </w:rPr>
            </w:pPr>
            <w:r>
              <w:rPr>
                <w:b/>
                <w:sz w:val="22"/>
                <w:szCs w:val="22"/>
                <w:shd w:fill="FFFFFF" w:val="clear"/>
              </w:rPr>
              <w:t>-//-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bookmarkStart w:id="37" w:name="_GoBack"/>
            <w:bookmarkStart w:id="38" w:name="_GoBack"/>
            <w:bookmarkEnd w:id="38"/>
          </w:p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80" w:right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2.1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поставкиМагаданская область, Ягоднинский муниципальный округ, посёлок городского типа Синегорье</w:t>
            </w:r>
          </w:p>
        </w:tc>
        <w:tc>
          <w:tcPr>
            <w:tcW w:w="4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Магаданская область, Ягоднинский муниципальный округ, посёлок городского типа Синегорье,  Колымск</w:t>
            </w:r>
            <w:r>
              <w:rPr>
                <w:color w:val="000000"/>
                <w:sz w:val="22"/>
                <w:szCs w:val="22"/>
              </w:rPr>
              <w:t>ая</w:t>
            </w:r>
            <w:r>
              <w:rPr>
                <w:color w:val="000000"/>
                <w:sz w:val="22"/>
                <w:szCs w:val="22"/>
              </w:rPr>
              <w:t xml:space="preserve"> ГЭС.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80" w:right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2.2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</w:t>
            </w:r>
          </w:p>
        </w:tc>
        <w:tc>
          <w:tcPr>
            <w:tcW w:w="4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 производится в рабочие дни с 8-00 до 12-00 и с 13-00 до 16-00 (по местному времени), в пятницу с 8-00 до 12-00 и с 13-00 до 15-00 (по местному времени).</w:t>
            </w:r>
          </w:p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Поставка товара осуществляется по заявкам транспортом и силами Поставщика.</w:t>
            </w:r>
          </w:p>
          <w:p>
            <w:pPr>
              <w:pStyle w:val="NormalWeb"/>
              <w:widowControl w:val="false"/>
              <w:spacing w:lineRule="auto" w:line="276"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Упаковка должна обеспечивать сохранность товара при погрузочно-разгрузочных работах и транспортировке к конечному месту поставки. Поставка Товаров должна быть выполнена с надлежащим качеством и в установленные Договором сроки.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80" w:right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2.3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Приемка</w:t>
            </w:r>
          </w:p>
        </w:tc>
        <w:tc>
          <w:tcPr>
            <w:tcW w:w="4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Соответствие продукции и представленных документов договору и техническим требованиям.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0" w:right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eastAsia="x-none"/>
              </w:rPr>
              <w:t>3.</w:t>
            </w:r>
          </w:p>
        </w:tc>
        <w:tc>
          <w:tcPr>
            <w:tcW w:w="90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18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0" w:right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3.1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Гарантия, не менее</w:t>
            </w:r>
          </w:p>
        </w:tc>
        <w:tc>
          <w:tcPr>
            <w:tcW w:w="43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12 месяцев</w:t>
            </w:r>
          </w:p>
          <w:p>
            <w:pPr>
              <w:pStyle w:val="Normal"/>
              <w:widowControl w:val="false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Исчисляется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0" w:right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4.</w:t>
            </w:r>
          </w:p>
        </w:tc>
        <w:tc>
          <w:tcPr>
            <w:tcW w:w="90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0" w:right="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4.1</w:t>
            </w:r>
          </w:p>
        </w:tc>
        <w:tc>
          <w:tcPr>
            <w:tcW w:w="4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Документ о качестве продукции (паспорт)</w:t>
            </w:r>
          </w:p>
        </w:tc>
        <w:tc>
          <w:tcPr>
            <w:tcW w:w="43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x-none"/>
              </w:rPr>
              <w:t>Документы на русском языке (декларация соответствия и сертификат качества, паспорт)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0" w:right="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5.</w:t>
            </w:r>
          </w:p>
        </w:tc>
        <w:tc>
          <w:tcPr>
            <w:tcW w:w="9071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0" w:right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5.1</w:t>
            </w:r>
          </w:p>
        </w:tc>
        <w:tc>
          <w:tcPr>
            <w:tcW w:w="9071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ранее не использовавшейся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hanging="0" w:left="0" w:right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5.2</w:t>
            </w:r>
          </w:p>
        </w:tc>
        <w:tc>
          <w:tcPr>
            <w:tcW w:w="9071" w:type="dxa"/>
            <w:gridSpan w:val="3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документа-ми,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7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Heading4"/>
        <w:numPr>
          <w:ilvl w:val="0"/>
        </w:numPr>
        <w:ind w:hanging="0" w:left="0" w:right="0"/>
        <w:rPr>
          <w:b/>
          <w:shd w:fill="FFFFFF" w:val="clear"/>
        </w:rPr>
      </w:pPr>
      <w:r>
        <w:rPr>
          <w:b/>
          <w:shd w:fill="FFFFFF" w:val="clear"/>
        </w:rPr>
      </w:r>
    </w:p>
    <w:p>
      <w:pPr>
        <w:pStyle w:val="Heading4"/>
        <w:numPr>
          <w:ilvl w:val="0"/>
        </w:numPr>
        <w:spacing w:lineRule="auto" w:line="360"/>
        <w:ind w:hanging="0" w:left="0" w:right="0"/>
        <w:rPr/>
      </w:pPr>
      <w:bookmarkStart w:id="39" w:name="__RefHeading___Toc7037_899461045"/>
      <w:bookmarkEnd w:id="39"/>
      <w:r>
        <w:rPr>
          <w:b/>
          <w:shd w:fill="FFFFFF" w:val="clear"/>
        </w:rPr>
        <w:t xml:space="preserve">3. </w:t>
      </w:r>
      <w:r>
        <w:rPr>
          <w:rFonts w:eastAsia="Times New Roman"/>
          <w:b/>
          <w:shd w:fill="FFFFFF" w:val="clear"/>
          <w:lang w:eastAsia="ru-RU"/>
        </w:rPr>
        <w:t xml:space="preserve">Требования </w:t>
      </w:r>
      <w:r>
        <w:rPr>
          <w:b/>
          <w:shd w:fill="FFFFFF" w:val="clear"/>
        </w:rPr>
        <w:t>к документации по ценообразованию на этапе закупки</w:t>
      </w:r>
    </w:p>
    <w:p>
      <w:pPr>
        <w:pStyle w:val="Normal"/>
        <w:spacing w:lineRule="auto" w:line="360" w:before="0" w:after="120"/>
        <w:contextualSpacing/>
        <w:jc w:val="both"/>
        <w:rPr/>
      </w:pPr>
      <w:r>
        <w:rPr>
          <w:sz w:val="24"/>
          <w:szCs w:val="24"/>
          <w:shd w:fill="FFFFFF" w:val="clear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40" w:name="_Hlk88325985"/>
      <w:r>
        <w:rPr>
          <w:sz w:val="24"/>
          <w:szCs w:val="24"/>
          <w:shd w:fill="FFFFFF" w:val="clear"/>
          <w:lang w:eastAsia="x-none"/>
        </w:rPr>
        <w:t>(с учетом прилагаемой к ней инструкции по заполнению)</w:t>
      </w:r>
      <w:bookmarkEnd w:id="40"/>
      <w:r>
        <w:rPr>
          <w:sz w:val="24"/>
          <w:szCs w:val="24"/>
          <w:shd w:fill="FFFFFF" w:val="clear"/>
          <w:lang w:eastAsia="x-none"/>
        </w:rPr>
        <w:t>, приведенной в Документации о закупке.</w:t>
      </w:r>
    </w:p>
    <w:p>
      <w:pPr>
        <w:pStyle w:val="Normal"/>
        <w:spacing w:lineRule="auto" w:line="360" w:before="0" w:after="120"/>
        <w:contextualSpacing/>
        <w:jc w:val="both"/>
        <w:rPr>
          <w:color w:val="DBDBDB"/>
          <w:sz w:val="20"/>
          <w:szCs w:val="20"/>
          <w:shd w:fill="171717" w:val="clear"/>
        </w:rPr>
      </w:pPr>
      <w:r>
        <w:rPr>
          <w:sz w:val="24"/>
          <w:szCs w:val="24"/>
          <w:shd w:fill="FFFFFF" w:val="clear"/>
          <w:lang w:eastAsia="x-none"/>
        </w:rPr>
        <w:t xml:space="preserve">3.2. </w:t>
      </w:r>
      <w:bookmarkStart w:id="41" w:name="_Hlk88327292"/>
      <w:r>
        <w:rPr>
          <w:sz w:val="24"/>
          <w:szCs w:val="24"/>
          <w:shd w:fill="FFFFFF" w:val="clear"/>
          <w:lang w:eastAsia="x-none"/>
        </w:rPr>
        <w:t>Дополнительные документы по ценообразованию</w:t>
      </w:r>
      <w:bookmarkEnd w:id="41"/>
      <w:r>
        <w:rPr>
          <w:sz w:val="24"/>
          <w:szCs w:val="24"/>
          <w:shd w:fill="FFFFFF" w:val="clear"/>
          <w:lang w:eastAsia="x-none"/>
        </w:rPr>
        <w:t xml:space="preserve"> в состав заявки не включаются.</w:t>
      </w:r>
    </w:p>
    <w:p>
      <w:pPr>
        <w:pStyle w:val="Normal"/>
        <w:spacing w:lineRule="auto" w:line="360" w:before="0" w:after="120"/>
        <w:contextualSpacing/>
        <w:jc w:val="both"/>
        <w:rPr/>
      </w:pPr>
      <w:r>
        <w:rPr/>
      </w:r>
    </w:p>
    <w:sectPr>
      <w:headerReference w:type="default" r:id="rId4"/>
      <w:headerReference w:type="first" r:id="rId5"/>
      <w:type w:val="nextPage"/>
      <w:pgSz w:orient="landscape" w:w="16838" w:h="11906"/>
      <w:pgMar w:left="1134" w:right="992" w:gutter="0" w:header="680" w:top="851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pPr>
      <w:numPr>
        <w:ilvl w:val="0"/>
        <w:numId w:val="0"/>
      </w:numPr>
      <w:ind w:hanging="0" w:left="284" w:right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2"/>
        <w:numId w:val="3"/>
      </w:numPr>
      <w:spacing w:before="120" w:after="60"/>
      <w:ind w:hanging="1191" w:left="0" w:right="0"/>
      <w:outlineLvl w:val="2"/>
    </w:pPr>
    <w:rPr>
      <w:rFonts w:eastAsia="Calibri"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ind w:hanging="1191" w:left="284" w:right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1">
    <w:name w:val="Гиперссылка1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sz w:val="24"/>
      <w:szCs w:val="24"/>
      <w:lang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link w:val="17"/>
    <w:qFormat/>
    <w:rPr>
      <w:sz w:val="28"/>
    </w:rPr>
  </w:style>
  <w:style w:type="character" w:styleId="Style2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2">
    <w:name w:val="Подпункт Знак1"/>
    <w:link w:val="Style23"/>
    <w:qFormat/>
    <w:rPr>
      <w:sz w:val="28"/>
    </w:rPr>
  </w:style>
  <w:style w:type="character" w:styleId="Style5">
    <w:name w:val="Текст сноски Знак"/>
    <w:qFormat/>
    <w:rPr/>
  </w:style>
  <w:style w:type="character" w:styleId="Style6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7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Подподпункт Знак"/>
    <w:link w:val="Style31"/>
    <w:qFormat/>
    <w:rPr>
      <w:sz w:val="26"/>
      <w:szCs w:val="26"/>
    </w:rPr>
  </w:style>
  <w:style w:type="character" w:styleId="3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примечания Знак"/>
    <w:link w:val="Annotationtext"/>
    <w:qFormat/>
    <w:rPr/>
  </w:style>
  <w:style w:type="character" w:styleId="Style12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22">
    <w:name w:val="Пункт2 Знак"/>
    <w:link w:val="24"/>
    <w:qFormat/>
    <w:rPr>
      <w:b/>
      <w:sz w:val="28"/>
    </w:rPr>
  </w:style>
  <w:style w:type="character" w:styleId="13">
    <w:name w:val="УРОВЕНЬ_1. Знак"/>
    <w:link w:val="111"/>
    <w:qFormat/>
    <w:rPr>
      <w:rFonts w:eastAsia="Calibri"/>
      <w:caps/>
      <w:sz w:val="28"/>
      <w:szCs w:val="28"/>
      <w:lang w:eastAsia="en-US"/>
    </w:rPr>
  </w:style>
  <w:style w:type="character" w:styleId="14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>
    <w:name w:val="Основной текст с отступом 3 Знак"/>
    <w:link w:val="BodyTextIndent3"/>
    <w:qFormat/>
    <w:rPr>
      <w:sz w:val="16"/>
      <w:szCs w:val="16"/>
    </w:rPr>
  </w:style>
  <w:style w:type="character" w:styleId="Fontstyle01">
    <w:name w:val="fontstyle01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14">
    <w:name w:val="Основной текст_"/>
    <w:link w:val="112"/>
    <w:qFormat/>
    <w:rPr>
      <w:sz w:val="28"/>
      <w:shd w:fill="FFFFFF" w:val="clear"/>
    </w:rPr>
  </w:style>
  <w:style w:type="character" w:styleId="Style15">
    <w:name w:val="Символ нумерации"/>
    <w:qFormat/>
    <w:rPr/>
  </w:style>
  <w:style w:type="character" w:styleId="Ecattext">
    <w:name w:val="ecattext"/>
    <w:qFormat/>
    <w:rPr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Style16">
    <w:name w:val="Ссылка указателя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>
    <w:name w:val="index heading11"/>
    <w:basedOn w:val="Title"/>
    <w:qFormat/>
    <w:pPr/>
    <w:rPr/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>
    <w:name w:val="index heading111"/>
    <w:basedOn w:val="Title"/>
    <w:qFormat/>
    <w:pPr/>
    <w:rPr/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>
    <w:name w:val="index heading1111"/>
    <w:basedOn w:val="15"/>
    <w:qFormat/>
    <w:pPr/>
    <w:rPr/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>
    <w:name w:val="index heading11111"/>
    <w:basedOn w:val="Title"/>
    <w:qFormat/>
    <w:pPr/>
    <w:rPr/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>
    <w:name w:val="index heading111111"/>
    <w:basedOn w:val="Title"/>
    <w:qFormat/>
    <w:pPr/>
    <w:rPr/>
  </w:style>
  <w:style w:type="paragraph" w:styleId="Caption1111111">
    <w:name w:val="caption111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1111">
    <w:name w:val="index heading1111111"/>
    <w:basedOn w:val="Title"/>
    <w:qFormat/>
    <w:pPr/>
    <w:rPr/>
  </w:style>
  <w:style w:type="paragraph" w:styleId="Style19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0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6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hanging="0" w:left="360" w:right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hanging="0" w:left="283" w:right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hanging="0" w:left="283" w:right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3">
    <w:name w:val="Подпункт"/>
    <w:basedOn w:val="Normal"/>
    <w:link w:val="12"/>
    <w:qFormat/>
    <w:pPr>
      <w:tabs>
        <w:tab w:val="clear" w:pos="708"/>
        <w:tab w:val="left" w:pos="1134" w:leader="none"/>
      </w:tabs>
      <w:snapToGrid w:val="false"/>
      <w:spacing w:lineRule="auto" w:line="360"/>
      <w:ind w:hanging="1134" w:left="1134" w:right="0"/>
      <w:jc w:val="both"/>
    </w:pPr>
    <w:rPr>
      <w:szCs w:val="20"/>
      <w:lang w:val="x-none" w:eastAsia="x-none"/>
    </w:rPr>
  </w:style>
  <w:style w:type="paragraph" w:styleId="24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napToGrid w:val="false"/>
      <w:spacing w:before="240" w:after="120"/>
      <w:ind w:hanging="1134" w:left="1134" w:right="0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hanging="0" w:left="280" w:right="0"/>
    </w:pPr>
    <w:rPr>
      <w:rFonts w:cs="Calibri"/>
      <w:sz w:val="20"/>
      <w:szCs w:val="20"/>
    </w:rPr>
  </w:style>
  <w:style w:type="paragraph" w:styleId="Style24">
    <w:name w:val="Раздел регламента"/>
    <w:basedOn w:val="Normal"/>
    <w:qFormat/>
    <w:pPr/>
    <w:rPr/>
  </w:style>
  <w:style w:type="paragraph" w:styleId="Style25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8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hanging="0" w:left="1960" w:right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hanging="0" w:left="840" w:right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hanging="0" w:left="560" w:right="0"/>
    </w:pPr>
    <w:rPr>
      <w:rFonts w:cs="Calibri"/>
      <w:sz w:val="20"/>
      <w:szCs w:val="20"/>
    </w:rPr>
  </w:style>
  <w:style w:type="paragraph" w:styleId="25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6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qFormat/>
    <w:pPr>
      <w:ind w:firstLine="709" w:left="1066" w:right="0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hanging="0" w:left="720" w:right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7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9">
    <w:name w:val="Абзац списка1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/>
      <w:sz w:val="22"/>
      <w:szCs w:val="22"/>
      <w:lang w:eastAsia="en-US"/>
    </w:rPr>
  </w:style>
  <w:style w:type="paragraph" w:styleId="Style29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>
    <w:name w:val="Таблица шапка"/>
    <w:basedOn w:val="Normal"/>
    <w:qFormat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31">
    <w:name w:val="Подподпункт"/>
    <w:basedOn w:val="Style23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 w:right="0"/>
    </w:pPr>
    <w:rPr>
      <w:sz w:val="26"/>
      <w:szCs w:val="26"/>
      <w:lang w:val="ru-RU" w:eastAsia="ru-RU"/>
    </w:rPr>
  </w:style>
  <w:style w:type="paragraph" w:styleId="Style32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>
    <w:name w:val="Стиль Заголовок 1 + по ширине"/>
    <w:basedOn w:val="Heading1"/>
    <w:qFormat/>
    <w:pPr>
      <w:keepLines/>
      <w:tabs>
        <w:tab w:val="clear" w:pos="708"/>
        <w:tab w:val="left" w:pos="567" w:leader="none"/>
      </w:tabs>
      <w:spacing w:before="480" w:after="240"/>
      <w:ind w:hanging="567" w:left="567" w:right="0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>
    <w:name w:val="Таблица текст"/>
    <w:basedOn w:val="Normal"/>
    <w:qFormat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11">
    <w:name w:val="УРОВЕНЬ_1."/>
    <w:basedOn w:val="ListParagraph"/>
    <w:link w:val="13"/>
    <w:qFormat/>
    <w:pPr>
      <w:keepNext w:val="true"/>
      <w:keepLines/>
      <w:numPr>
        <w:ilvl w:val="0"/>
        <w:numId w:val="0"/>
      </w:numPr>
      <w:spacing w:lineRule="auto" w:line="276" w:before="240" w:after="120"/>
      <w:ind w:hanging="0" w:left="0" w:righ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hanging="0" w:left="1120" w:right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hanging="0" w:left="1400" w:right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hanging="0" w:left="1680" w:right="0"/>
    </w:pPr>
    <w:rPr>
      <w:rFonts w:ascii="Calibri" w:hAnsi="Calibri" w:cs="Calibri"/>
      <w:sz w:val="20"/>
      <w:szCs w:val="20"/>
    </w:rPr>
  </w:style>
  <w:style w:type="paragraph" w:styleId="37">
    <w:name w:val="Абзац списка3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/>
      <w:sz w:val="22"/>
      <w:szCs w:val="22"/>
      <w:lang w:eastAsia="en-US"/>
    </w:rPr>
  </w:style>
  <w:style w:type="paragraph" w:styleId="112">
    <w:name w:val="Основной текст1"/>
    <w:basedOn w:val="Normal"/>
    <w:link w:val="Style14"/>
    <w:qFormat/>
    <w:pPr>
      <w:widowControl w:val="false"/>
      <w:shd w:val="clear" w:fill="FFFFFF"/>
      <w:spacing w:lineRule="exact" w:line="302"/>
    </w:pPr>
    <w:rPr>
      <w:szCs w:val="20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jc w:val="center"/>
    </w:pPr>
    <w:rPr>
      <w:b/>
      <w:bCs/>
    </w:rPr>
  </w:style>
  <w:style w:type="numbering" w:styleId="113">
    <w:name w:val="Стиль1"/>
    <w:qFormat/>
  </w:style>
  <w:style w:type="numbering" w:styleId="29">
    <w:name w:val="Стиль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Application>AlterOffice/2026.2.0.0$Linux_X86_64 LibreOffice_project/bc4ef1adf80b36c7a6365f8ed6cbf29021361edd</Application>
  <AppVersion>15.0000</AppVersion>
  <Pages>8</Pages>
  <Words>842</Words>
  <Characters>5623</Characters>
  <CharactersWithSpaces>6232</CharactersWithSpaces>
  <Paragraphs>235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2025-06-05T06:49:00Z</dcterms:created>
  <dc:creator>Быстров Олег Геннадьевич</dc:creator>
  <dc:description/>
  <dc:language>ru-RU</dc:language>
  <cp:lastModifiedBy>mikhailovvvl@corp.gidroogk.com</cp:lastModifiedBy>
  <dcterms:modified xsi:type="dcterms:W3CDTF">2026-09-11T12:07:31Z</dcterms:modified>
  <cp:revision>78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