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на о</w:t>
      </w:r>
      <w:r>
        <w:rPr>
          <w:sz w:val="26"/>
          <w:szCs w:val="26"/>
        </w:rPr>
        <w:t>казание услуг технической поддержки и сопровождения системы обеспечения вызова экстренных оперативных служб по единому номеру "112" на базе единых дежурно-диспетчерских служб Республики Хакасия в целях создания, развития, эксплуатации и вывода из эксплуатации государственных информационных систем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СПИСОК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ТЕРМИНОВ И ОПРЕДЕЛЕНИЙ:</w:t>
      </w:r>
    </w:p>
    <w:tbl>
      <w:tblPr>
        <w:tblStyle w:val="StGen5"/>
        <w:tblW w:w="9809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010"/>
        <w:gridCol w:w="7799"/>
      </w:tblGrid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Термины и сокращения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Расшифровка и определения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АРМ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Автоматизированное рабочее место персонала ЦОВ, РЦОВ, ЕДДС и ДДС, установленное на их территории в рамках создания системы-112 на территории Республики Хакасия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Единый номер вызова экстренных оперативных служб на территории Российской Федерации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ДДС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Дежурно-диспетчерская служба экстренных оперативных служб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ЕДДС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Единая дежурно-диспетчерская служба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Объекты системы-112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ЦОВ, РЦОВ, ЕДДС, ДДС, ЦУКС, где располагаются ПАК системы-112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Оператор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Сотрудник ЦОВ, РЦОВ, ЕДДС, осуществляющий прием и обработку вызовов по номеру 112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ПАК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Программно-аппаратный комплекс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ПО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Программное обеспечение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Система-112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Система обеспечения вызова экстренных оперативных служб по единому номеру «112» на территории Республики Хакасия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З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Техническое задание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ТП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Технический проект «Система обеспечения вызова экстренных оперативных служб по единому номеру «112» на базе единых дежурно-диспетчерских служб муниципальных образований Республики Хакасии, ПАМР.425790.118 (коррекция 2019 г.)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ТСКС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Технические средства доведения коротких текстовых сообщений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ТСМН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Технические средства определения места нахождения оконечного оборудования пользователя (абонента)</w:t>
            </w:r>
          </w:p>
        </w:tc>
      </w:tr>
      <w:tr>
        <w:trPr>
          <w:trHeight w:val="550" w:hRule="atLeast"/>
        </w:trPr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Услуги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Услуги, которые Исполнитель обязуется выполнить по настоящему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ТЗ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УСПО-112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Унифицированное Специальное Программное Обеспечение системы обеспечения вызова экстренных оперативных служб по единому номеру «112» на территории Республики Хакасия, разработанное по требованиям МЧС России на основании организационно-финансового плана МЧС России по реализации федеральной целевой программы «Создание системы обеспечения вызова экстренных оперативных служб по единому номеру «112» в Российской Федерации на 2013 – 2017 годы» и переданное  Заказчику по лицензионному соглашению от </w:t>
            </w:r>
            <w:bookmarkStart w:id="1" w:name="_Hlk210390184"/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21.06.2016 года № 16062109.</w:t>
            </w:r>
            <w:bookmarkEnd w:id="1"/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СПО-112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Специальное программное обеспечение, которое является предметом по технической поддержке и сопровождению в рамках настоящего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ТЗ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 в составе следующих программных продуктов: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Специальное программное обеспечение «Интеграционно-аналитическая сервисная платформа ПРОТЕЙ», IASP PROTEI (Запись в Реестре российского программного обеспечения от 20.09.2019 № 5820).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Центр обслуживания вызовов «ПРОТЕЙ» в составе компонентов:</w:t>
            </w:r>
          </w:p>
          <w:p>
            <w:pPr>
              <w:pStyle w:val="ListParagraph"/>
              <w:widowControl w:val="false"/>
              <w:spacing w:lineRule="auto" w:line="240" w:before="0" w:after="0"/>
              <w:ind w:start="56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LBS Mobile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мобильной связи (1 шт.);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start="56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LBS Fixed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фиксированной связи (1 шт.);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start="56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Дополнительная лицензия LBS Mobile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мобильной связи (4 шт.);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start="56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Дополнительная лицензия LBS Fixed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фиксированной связи (1 шт.);</w:t>
            </w:r>
            <w:bookmarkStart w:id="2" w:name="_Hlk181009314"/>
            <w:bookmarkEnd w:id="2"/>
          </w:p>
          <w:p>
            <w:pPr>
              <w:pStyle w:val="ListParagraph"/>
              <w:widowControl w:val="false"/>
              <w:spacing w:lineRule="auto" w:line="240" w:before="0" w:after="0"/>
              <w:ind w:start="56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SMS шлюз - обеспечивает прием SMS от операторов связи, обеспечивает взаимодействие УОВЭОС с ТСКС, инкапсулирует координаты в сообщения SIP (1 шт.)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Программное обеспечение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en-US" w:eastAsia="ru-RU" w:bidi="ar-SA"/>
              </w:rPr>
              <w:t xml:space="preserve">Call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центра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ЦОВ-112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Центр обработки вызовов Системы обеспечения вызова экстренных оперативных служб по единому номеру «112» на территории Республики Хакасия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РЦОВ-112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Резервный центр обработки вызовов Системы обеспечения вызова экстренных оперативных служб по единому номеру «112» на территории Республики Хакасия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CRM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Система подачи Заказчиком заявок на обслуживание и их обработка Исполнителем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SIP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Протокол установления сеанса в соответствии с RFC 3261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ВЧС (VPN)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Виртуальная частная сеть, построенная на базе опорной сети Исполнителя путем организации виртуальных каналов связи VPN.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MPLS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(MultiprotocolLabelSwitching — мультипротокольная коммутация по меткам) механизм передачи данных, который эмулирует различные свойства сетей с коммутацией каналов поверх сетей с коммутацией пакетов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L3 VPN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Передача данных на базе виртуальной частной IP сети (ВЧС на базе протокола IP)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CE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(CustomerEdgerouter) Оборудование Заказчика, выполняющее функции пограничного маршрутизатора сети Заказчика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PE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(ProviderEdgerouter) пограничный маршрутизатор Сети MPLS Исполнителя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DSCP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(DifferentiatedServicesCodePoint) метод кодирования классов обслуживания в заголовке IP пакета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Опорная сеть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Сетевая инфраструктура Исполнителя, состоящая из опорных маршрутизаторов (P), граничных маршрутизаторов Исполнителя (PE), соединяющих их магистральные каналы и иные средства связи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ОТМУС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Опорно-транзитный местный узел связи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МО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Муниципальное образование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УОВЭОС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Узел обеспечения вызовов экстренных оперативных служб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ТЗУС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Транзитный зоновый узел связи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ВЗПС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Внутризоновая первичная сеть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ЗИП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Запасные части и принадлежности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НСД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Несанкционированный доступ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СЗИ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Средства защиты информации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СКН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Средства контроля подключения съемных машинных носителей информации</w:t>
            </w:r>
          </w:p>
        </w:tc>
      </w:tr>
      <w:tr>
        <w:trPr/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en-US" w:eastAsia="ru-RU" w:bidi="ar-SA"/>
              </w:rPr>
              <w:t xml:space="preserve">Call </w:t>
            </w: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центр</w:t>
            </w:r>
          </w:p>
        </w:tc>
        <w:tc>
          <w:tcPr>
            <w:tcW w:w="7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Является неотъемлемой частью компонентов телекоммуникационной подсистемы Системы-112, состоящей из функциональности программно-аппаратных средств, оснащенных программным обеспечением «Программный комплекс «Протей-imSwitch» в составе:</w:t>
            </w:r>
          </w:p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Многофункциональный интеллектуальный шлюз Tiger.MSC.60/2000;</w:t>
            </w:r>
          </w:p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Многофункциональный интеллектуальный шлюз Tiger.MS.60/2000;</w:t>
            </w:r>
          </w:p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Протей-imSwitch5 Автоматическая телефонная станция.</w:t>
            </w:r>
          </w:p>
          <w:p>
            <w:pPr>
              <w:pStyle w:val="Normal"/>
              <w:widowControl w:val="false"/>
              <w:spacing w:before="0" w:after="0"/>
              <w:ind w:start="205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Количественные характеристики указанного оборудования, определены в Приложении 3 к настоящему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ТЗ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.</w:t>
            </w:r>
          </w:p>
        </w:tc>
      </w:tr>
    </w:tbl>
    <w:p>
      <w:pPr>
        <w:pStyle w:val="Normal"/>
        <w:widowControl w:val="false"/>
        <w:ind w:start="567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  <w:tab/>
        <w:t>ОБЩИЕ ПОЛОЖЕНИЯ: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ТЗ</w:t>
      </w:r>
      <w:r>
        <w:rPr>
          <w:sz w:val="26"/>
          <w:szCs w:val="26"/>
        </w:rPr>
        <w:t xml:space="preserve"> разработано с учетом требований Технического проекта на создание системы-112 в Республике Хакасия «Система обеспечения вызова экстренных оперативных служб по единому номеру «112» на базе единых дежурно-диспетчерских служб муниципальных образований Республики Хакасии, ПАМР.425790.118.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Основание для оказания услуг: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ГОСТ Р 22.7.01-2021 «Безопасность в чрезвычайных ситуациях. Единая дежурно-диспетчерская служба. Основные положения».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Правительства Российской Федерации № 1240-р от 25 августа 2008 года, утверждающее «Концепцию создания системы обеспечения вызова экстренных оперативных служб через единый номер «112» на базе единых дежурно-диспетчерских служб муниципальных образований».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Российской Федерации от 28 декабря 2010 года №1632 «О совершенствовании системы обеспечения вызова экстренных служб на территории Российской Федерации».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Российской Федерации от 9 мая 2017 года № 203 «Стратегия развития информационного общества в Российской Федерации на 2017-2030 годы».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 Президента Российской Федерации 07 мая 2024 года № 309 «О национальных целях и стратегических задачах развития Российской Федерации на период до 2030 года и перспективу до 2036 года».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РФ от 30.12.2003 № 794 «О единой государственной системе предупреждения и ликвидации чрезвычайных ситуаций» (вместе с Положением о единой государственной системе предупреждения и ликвидации чрезвычайных ситуаций»).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РФ от 31 декабря 2004 г. № 894 «Об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связи, и о назначении единого номера вызова экстренных оперативных служб».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РФ от 21 ноября 2011 г. № 958 «О системе обеспечения вызова экстренных оперативных служб по единому номеру «112».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Российской Федерации от 16 ноября 2015 года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РФ от 27.11.2021 № 2071 «Об утверждении Правил взаимодействия сил и средств систем обеспечения вызова экстренных оперативных служб по единому номеру «112».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Правительства РФ от 31.08.2021 № 1453 «Об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Методические материалы по созданию системы-112 в субъектах Российской Федерации, утв. МЧС России от 1 сентября 2014 года.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«Методические рекомендации по порядку использования единого номера «112» на территории субъекта Российской Федерации», утв. Министерством связи и массовых коммуникаций РФ 25.03.2015 г.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21 декабря 1994 года № 68-ФЗ «О защите населения и территорий от чрезвычайных ситуаций природного и техногенного характера».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07 июля 2003 года № 126–ФЗ «О связи».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27 июля 2006 года № 149-ФЗ «Об информации, информационных технологиях и о защите информации».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27 июля 2006 года № 152-ФЗ «О персональных данных».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«О внесении изменений в статью 52 Федерального закона «О связи», № 346-ФЗ от 2 декабря 2013 года.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30.12.2020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Методические рекомендации по программе и методике комплексных приемочных испытаний телекоммуникационной подсистемы системы-112 в субъекте Российской Федерации в рамках проведения Государственных приемочных испытаний системы-112 (утв. Министерством связи и массовых коммуникаций РФ 18 марта 2016 г.).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Технический проект «Система обеспечения вызова экстренных оперативных служб по единому номеру «112» на базе единых дежурно-диспетчерских служб муниципальных образований Республики Хакасии, ПАМР.425790.118 (коррекция 2019 г.).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Системный проект 17039-СП «Телекоммуникационная подсистема и организация каналов связи для обеспечения вызова экстренных оперативных служб по единому номеру «112» Республики Хакасия.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Приказ Минцифры России от 09.03.2022 № 180 «Об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«112»Приказ Министерства связи и массовых коммуникаций РФ от 15 сентября 2015 № 346 «Об утверждении правил применения оборудования узлов обслуживания вызовов экстренных оперативных служб».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ГОСТ Р ИСО/МЭК 14764-2002 «Информационная технология. Сопровождение программных средств».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ГОСТ Р ИСО/МЭК 12207-2010. «Национальный стандарт Российской Федерации. Информационная технология. Системная и программная инженерия. Процессы жизненного цикла программных средств».</w:t>
      </w:r>
    </w:p>
    <w:p>
      <w:pPr>
        <w:pStyle w:val="Normal"/>
        <w:widowControl w:val="false"/>
        <w:ind w:start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Место оказания услуг: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Места оказания услуг и перечень объектов указаны в Приложении 1 к настоящему Техническому заданию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Срок оказания услуг</w:t>
      </w:r>
      <w:r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b/>
          <w:sz w:val="26"/>
          <w:szCs w:val="26"/>
        </w:rPr>
        <w:t>в течении 40 (сорок) календарных дней.</w:t>
      </w:r>
    </w:p>
    <w:p>
      <w:pPr>
        <w:pStyle w:val="ListParagraph"/>
        <w:widowControl w:val="false"/>
        <w:spacing w:lineRule="auto" w:line="240" w:before="0" w:after="0"/>
        <w:ind w:start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ОКПД 2 - 62.02.30.000.</w:t>
      </w:r>
    </w:p>
    <w:p>
      <w:pPr>
        <w:pStyle w:val="ListParagraph"/>
        <w:widowControl w:val="false"/>
        <w:spacing w:lineRule="auto" w:line="240" w:before="0" w:after="0"/>
        <w:ind w:start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Требования к объему предоставления гарантий качества услуги: не установлено.</w:t>
      </w:r>
    </w:p>
    <w:p>
      <w:pPr>
        <w:pStyle w:val="ListParagraph"/>
        <w:widowControl w:val="false"/>
        <w:spacing w:lineRule="auto" w:line="240" w:before="0" w:after="0"/>
        <w:ind w:start="1134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ЦЕЛИ: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Цели оказания услуг: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стабильного, бесперебойного функционирования объектов системы обеспечения вызова экстренных оперативных служб по единому номеру «112» на базе СПО-112 и компонентов УСПО-112;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услуги по обеспечению постоянного технического сопровождения системы информационной безопасности защищенной сети передачи данных и передаче сертификатов активации технической поддержки производителей имеющихся средств защиты информации.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Услуги оказываются для Системы-112 как единого объекта информатизации. Одновременное оказание услуг вышеуказанных услуг обусловлено сложностью процессов, автоматизируемых в системе и условий ее функционирования при сохранении непрерывного режима работы и достижения целевых показателей функционирования Системы, установленных в соответствии с Постановлением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диспетчерскими службам».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Услуги относятся к типу услуг по полному техническому сопровождению и должны оказываться с надлежащим качеством, обеспечивающим работоспособность программных компонентов Системы-112, в том числе с соблюдением требований в отношении охраняемых результатов интеллектуальной деятельности, установленных Правообладателями СПО-112, которые указаны в пунктах 2.3 – 2.6 к настоящему Техническому заданию.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Объем оказываемых услуг соответствует требованиям, предъявляемым к циклу полного сопровождения согласно ГОСТ Р ИСО/МЭК 14764-2002 «Информационная технология. Сопровождение программных средств» (далее – ГОСТ Р ИСО/МЭК 14764-2002), ГОСТ Р ИСО/МЭК 12207-2010. «Национальный стандарт Российской Федерации. Информационная технология. Системная и программная инженерия. Процессы жизненного цикла программных средств».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Назначение системы-112: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Система-112 Республики Хакасия предназначена для обеспечения информационного взаимодействия органов повседневного управления единой государственной системой предупреждения и ликвидации чрезвычайных ситуаций, в том числе ЕДДС муниципальных образований, а также ДДС.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Система-112 функционирует в непрерывном круглосуточном режиме </w:t>
      </w:r>
      <w:bookmarkStart w:id="3" w:name="_Hlk210390824"/>
      <w:r>
        <w:rPr>
          <w:sz w:val="26"/>
          <w:szCs w:val="26"/>
        </w:rPr>
        <w:t xml:space="preserve">(24 часа в сутки, 7 дней в неделю, 365 дней в году – круглый год) </w:t>
      </w:r>
      <w:bookmarkEnd w:id="3"/>
      <w:r>
        <w:rPr>
          <w:sz w:val="26"/>
          <w:szCs w:val="26"/>
        </w:rPr>
        <w:t>и находится в постоянной готовности к обеспечению экстренного реагирования на вызовы от населения и сообщения о происшествиях, возникающих на территории Республики Хакасия.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Специального программного обеспечения «Интеграционно-аналитическая сервисная платформа ПРОТЕЙ», IASP PROTEI (Запись в Реестре российского программного обеспечения от 20.09.2019 № 5820).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bookmarkStart w:id="4" w:name="_Hlk210389507"/>
      <w:r>
        <w:rPr>
          <w:sz w:val="26"/>
          <w:szCs w:val="26"/>
        </w:rPr>
        <w:t xml:space="preserve">Специальное программное обеспечение «Интеграционно-аналитическая сервисная платформа ПРОТЕЙ», IASP PROTEI </w:t>
      </w:r>
      <w:bookmarkEnd w:id="4"/>
      <w:r>
        <w:rPr>
          <w:sz w:val="26"/>
          <w:szCs w:val="26"/>
        </w:rPr>
        <w:t xml:space="preserve">используется в Системе-112 в качестве специального программного обеспечения, предназначенного для обеспечения основных функций Системы-112, указанных в пункте 3.1 настоящего Технического задания.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Правообладателем проприетарного программного обеспечения IASP PROTEI является ООО «НТЦ ПРОТЕЙ» (ИНН 7825483961). Использование проприетарного программного обеспечения допускается только в строгом соответствии с законодательством Российской Федерации.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 отношении вышеуказанного проприетарного программного обеспечения производства ООО «НТЦ ПРОТЕЙ», в том числе Заказчик не имеет права сублицензировать, сдавать программное обеспечение и документацию к нему в аренду или передавать на безвозмездной основе третьим сторонам.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целей оказания услуг в рамках настоящего Технического задания Исполнитель или привлекаемый им соисполнитель,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10 (десяти) рабочих дней с момента подписания Сторонами Договора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требованию подтверждается предоставлением документа(ов) или его (их) копии(й).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Неисключительное (пользовательское) право в отношении специального программного обеспечения «Интеграционно-аналитическая сервисная платформа ПРОТЕЙ», IASP PROTEI передано Заказчику по государственному контракту от 05.08.2024 № ф.2024.4718.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Специальное программное обеспечение «Интеграционно-аналитическая сервисная платформа ПРОТЕЙ», IASP PROTEI (далее – СПО IASP PROTEI) обеспечивает следующий функционал: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прием и обработку вызовов в Системе-112 с возможностью их передачи в диспетчерские службы (ЕДДС, ДДС ЭОС);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формирование УКИО с возможностью заполнения основных характеристик происшествия или чрезвычайной ситуации (о начале, завершении и об основных результатах реагирования) в соответствующих информационных полях.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WEB-интерфейс СПО IASP PROTEI состоит из приложения «Рабочее место центра обслуживания вызовов», предназначенного для автоматизации деятельности операторов (далее по тексту — РМ Оператора, РМО) при обслуживании вызовов.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РМО обладает следующими функциональными возможностями: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осуществлять обслуживание поступающих на систему вызовов, в том числе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от старшего оператора;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совершать исходящие вызовы на службу, группу, другого оператора или ТФОП;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создавать конференции;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получать консультации во время обслуживания вызова;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выполнять постановку абонента на удержание;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осуществлять блокирование/разблокирование рабочего места.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Рабочее окно WEB-интерфейса СПО IASP PROTEI разделено на две логические части: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панель управления (расположена в верхней строке интерфейса);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область работы с виджетами (расположена в нижней части интерфейса).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панели управления WEB-интерфейсом СПО IASP PROTEI располагаются следующие функциональные элементы: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кнопка, отображающая состояние оператора;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вкладки рабочих столов — позволяют осуществлять быструю навигацию между рабочими столами оператора;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экранная кнопка, которая позволяет включить/выключить микрофон во время разговора;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строка-логин с иконкой и номером учетной записи пользователя в системе, предоставляющая возможность оператору открыть меню.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Меню содержит активные ссылки для перехода к следующим разделам: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Включить/Отключить редактор — переход в раздел настройки рабочих столов;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Горячие клавиши — открывает окно, в котором можно произвести настройку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посмотреть информацию о сочетании клавиш клавиатуры, позволяющих осуществлять быстрый доступ к основным функциям системы;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Информация о РМО — открывает окно, в котором можно посмотреть полную справочную информацию о рабочем месте оператора;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Выйти из системы — выход из учётной записи пользователя, завершение сеанса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 переход на страницу авторизации.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WEB-интерфейс СПО IASP PROTEI содержит следующие виджеты: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Виджет «Управление активностями»;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Виджет «Работы с УКИО».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Виджет «Управление активностями» обеспечивает возможность обработки вызовов: прием входящего вызова, отклонение вызова, перенаправление вызова, приостановка вызова, получение консультации и организация конференции.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Виджет «Управление активностями» содержит следующие области: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Статус оператора;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 xml:space="preserve">Абонент — информация о номере вызываемой/вызывающей стороны, группе операторов и услуге; 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Управление вызовами — управление входящими и исходящими вызовами.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Виджет «Работы с УКИО» отображает информацию для просмотра и работы с УКИО, содержит список всех обращений, элементы для сортировки и экранные кнопки для настройки.</w:t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УКИО имеет единую для всех диспетчерских служб общую информационную часть, включающую в том числе данные от ЭРА-ГЛОНАСС и специальную часть для организации межведомственного информационного обмена с каждой экстренной оперативной службой с учетом специфики привлекаемых сил и обрабатываемых запросов. Информационные поля УКИО соответствуют требованиям Постановления № 1931.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start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2.4. Описание Специального программного обеспечения «Центр обслуживания вызовов «ПРОТЕЙ» (Реестровая запись № 1428 от 05.09.2016 в Реестре российского программного обеспечения) </w:t>
      </w:r>
      <w:r>
        <w:rPr>
          <w:sz w:val="26"/>
          <w:szCs w:val="26"/>
        </w:rPr>
        <w:t xml:space="preserve">Правообладателем проприетарного программного обеспечения является ООО «НТЦ ПРОТЕЙ» (ИНН 7825483961). Использование проприетарного программного обеспечения допускается только в строгом соответствии с законодательством Российской Федерации.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 отношении вышеуказанного проприетарного программного обеспечения производства ООО «НТЦ ПРОТЕЙ», в том числе Заказчик не имеет права сублицензировать, сдавать программное обеспечение и документацию к нему в аренду или передавать на безвозмездной основе третьим сторонам.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целей оказания услуг в рамках настоящего Технического задания Исполнитель или привлекаемый им соисполнитель,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10 (десяти) рабочих дней с момента подписания Сторонами Договора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требованию подтверждается предоставлением документа(ов) или его (их) копии(й).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Неисключительное (пользовательское) право в отношении специального программного обеспечения «Центр обслуживания вызовов «ПРОТЕЙ» передано Заказчику по государственному контракту от 19.03.2018 № Ф.2018.93533 в составе следующих программных компонентов (модулей):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2.4.1. Программное обеспечение подсистемы определения места нахождения пользовательского оборудования, с которого были осуществлены вызов или передача короткого текстового сообщения о происшествии по единому номеру вызова экстренных оперативных служб «112» Республики Хакасия (ТСМН):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LBS Mobile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мобильной связи (1 шт.);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LBS Fixed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фиксированной связи (1 шт.);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Дополнительная лицензия LBS Mobile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мобильной связи (4 шт.);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Дополнительная лицензия LBS Fixed сервер - программное обеспечение определения местоположения оконечного оборудования пользователя для обеспечения интерфейса взаимодействия между оборудованием ЦОВ-112 и оператором фиксированной связи (1 шт.).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Программное обеспечение данной подсистемы предоставляет и обрабатывает информацию о месте нахождения пользовательского оборудования, подключенного к сети фиксированной телефонной связи в виде адреса места установки пользовательского оборудования.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Адрес установки пользовательского оборудования предоставляется оператором связи в ЦОВ Системы-112 в формате ФИАС.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месте нахождения абонентской станции, подключенной к сети подвижной радиотелефонной связи, определяется в форме: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двумерной геодезической координаты абонентской станции с указанием точности;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идентификатора обслуживающей сети.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Геодезическая координата абонентской станции предоставляется в формате, обеспечивающем однозначное определение ее места нахождения с указанной точностью на территории Российской Федерации.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Идентификатор обслуживающей сети предоставляется в виде, обеспечивающем уникальную идентификацию оператора обслуживающей сети подвижной радиотелефонной связи на территории Российской Федерации.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2.4.2. Программное обеспечение подсистемы приема коротких текстовых сообщений – сервер приема коротких текстовых сообщений от операторов связи (ТСКС) (</w:t>
      </w:r>
      <w:r>
        <w:rPr>
          <w:b/>
          <w:sz w:val="26"/>
          <w:szCs w:val="26"/>
          <w:lang w:val="en-US"/>
        </w:rPr>
        <w:t>SMS</w:t>
      </w:r>
      <w:r>
        <w:rPr>
          <w:b/>
          <w:sz w:val="26"/>
          <w:szCs w:val="26"/>
        </w:rPr>
        <w:t xml:space="preserve"> шлюз)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Программное обеспечение данной подсистемы коротких текстовых сообщений предназначено для реализации функций приема, маршрутизации и доставки коротких текстовых сообщений по единому номеру «112», включая: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>
        <w:rPr>
          <w:sz w:val="26"/>
          <w:szCs w:val="26"/>
        </w:rPr>
        <w:tab/>
        <w:t>прием коротких текстовых сообщений, адресованных на единый номер «112», в том числе непосредственно от ТСКС операторов подвижной радиотелефонной связи;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>
        <w:rPr>
          <w:sz w:val="26"/>
          <w:szCs w:val="26"/>
        </w:rPr>
        <w:tab/>
        <w:t>получение информации о месте нахождения пользовательского оборудования (оконечного оборудования) от информационных систем операторов связи при передаче данной информации от оператора связи;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>
        <w:rPr>
          <w:sz w:val="26"/>
          <w:szCs w:val="26"/>
        </w:rPr>
        <w:tab/>
        <w:t>определение ЦОВ, в который должно быть направлено короткое текстовое сообщение на основе информации о месте нахождения пользовательского оборудования (оконечного оборудования);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>
        <w:rPr>
          <w:sz w:val="26"/>
          <w:szCs w:val="26"/>
        </w:rPr>
        <w:tab/>
        <w:t>передача по протоколу прикладного уровня SIP короткого текстового сообщения, адресованного на единый номер «112», идентификатора обслуживающей сети и информации о месте нахождения пользовательского оборудования (оконечного оборудования), с которого поступило данное короткое текстовое сообщение на единый номер «112», в ЦОВ, определенный на основании полученных данных о месте нахождения пользовательского оборудования;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>
        <w:rPr>
          <w:sz w:val="26"/>
          <w:szCs w:val="26"/>
        </w:rPr>
        <w:tab/>
        <w:t>возможность повторной доставки короткого текстового сообщения в Систему-112 в случае неуспешной доставки сообщения;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>
        <w:rPr>
          <w:sz w:val="26"/>
          <w:szCs w:val="26"/>
        </w:rPr>
        <w:tab/>
        <w:t>обеспечение конфиденциальности коротких текстовых сообщений (посредством защищенного канала связи).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2.5. Программно-аппаратные комплексы телекоммуникационной подсистемы Системы-112, оснащенные программным обеспечением «Программный комплекс «Протей-imSwitch» (Запись в Реестре российского программного обеспечения от 03.05.2017 № 3361).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Указанное в подпунктах 2.5.1, 2.5.2 оборудование в соответствии с Сертификатами соответствия в области связи № ОС-2-Г-0119, ОС-2-Г-0130, ОС-1-Г-0132 оснащено программным обеспечением «Программный комплекс «Протей-imSwitch». Правообладателем программного обеспечения является ООО «НТЦ ПРОТЕЙ» (ИНН 7825483961).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 отношении вышеуказанного проприетарного программного обеспечения производства ООО «НТЦ ПРОТЕЙ», в том числе Заказчик не имеет права сублицензировать, сдавать программное обеспечение и документацию к нему в аренду или передавать на безвозмездной основе третьим сторонам.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целей оказания услуг в рамках настоящего Технического задания Исполнитель или привлекаемый им соисполнитель,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10 (десяти) рабочих дней с момента подписания Сторонами Договора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  <w:tab/>
        <w:t>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требованию подтверждается предоставлением документа(ов) или его (их) копии(й).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2.5.1. Телекоммуникационный шлюз семейства Tiger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Телекоммуникационный шлюз семейства Tiger производства ООО «НТЦ ПРОТЕЙ» – это телекоммуникационный шлюз операторского класса, предназначенный для сопряжения сети связи, использующей для передачи информации IP-сети, с традиционными сетями связи, работа которых основана на принципе коммутации каналов. Телекоммуникационный шлюз Tiger конструктивно выполнен в виде моноблока высотой 1U (приблизительно 45 мм) и шириной 19</w:t>
      </w:r>
      <w:r>
        <w:rPr>
          <w:rStyle w:val="docdata"/>
          <w:rFonts w:eastAsia="Arial"/>
          <w:sz w:val="26"/>
          <w:szCs w:val="26"/>
        </w:rPr>
        <w:t>"</w:t>
      </w:r>
      <w:r>
        <w:rPr>
          <w:sz w:val="26"/>
          <w:szCs w:val="26"/>
        </w:rPr>
        <w:t xml:space="preserve">. Рабочим компонентом Tiger является плата Consul. Плата Consul представляет собой телекоммуникационный шлюз и имеет конкретный IP-адрес, присвоенный ей администратором сети в процессе настройки.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Tiger как в программно-аппаратном комплексе, подавляющую долю функциональности реализует программное обеспечение, что позволяет значительно повысить эффективность эксплуатации и развития оборудования. Программное обеспечение Tiger имеет развитую систему самодиагностики, предупреждения и автоматического исправления нештатных ситуаций. Для мониторинга текущего состояния в Tiger реализована поддержка стандартного протокола SNMP, что позволяет без лишних затрат использовать готовые программные продукты сторонних производителей для визуализации данных, передаваемых от Tiger с помощью SNMP-протокола.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2.5.2. АТС Протей-imSwitch5 112Т5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управления вызовами, поступающими на операторов Системы 112 и выполнения маршрутизации вызовов между операторами, а также основных функций по автоматизации процесса приема и обработки вызовов по единому номеру «112» в составе ЦОВ, РЦОВ предусмотрено использование автоматической телефонной станции (АТС). АТС Протей-imSwitch5 представляет собой оборудование цифровой автоматической телефонной станции разработки ООО «НТЦ ПРОТЕЙ», предназначенное для применения в качестве оконечного, оконечного-транзитного, транзитного местного узла связи.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2.6.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Описание вспомогательных программных средств из числа компонентов УСПО-112: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работе Системы-112 частично используются компоненты УСПО-112. Компоненты УСПО-112 используются Заказчиком в качестве вспомогательных компонентов в части клиентского ПО, обеспечивающих дополнительную резервную возможность приема и обработки вызовов по единому номеру «112» на автоматизированных рабочих местах ДДС ЭОС и ЕДДС путем их подключения к ядру Системы-112 на базе СПО </w:t>
      </w:r>
      <w:r>
        <w:rPr>
          <w:sz w:val="26"/>
          <w:szCs w:val="26"/>
          <w:lang w:val="en-US"/>
        </w:rPr>
        <w:t>IASP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PROTEI</w:t>
      </w:r>
      <w:r>
        <w:rPr>
          <w:sz w:val="26"/>
          <w:szCs w:val="26"/>
        </w:rPr>
        <w:t xml:space="preserve">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Состав и объем компонентов УСПО-112 может быть изменен в течение срока оказания услуг в рамках реализации Заказчиком Плана мероприятий по импортозамещению в порядке, предусмотренном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связи с чем компоненты УСПО-112 не планируются Заказчиком к развитию, в том числе плановому или внеплановому обновлению (модификации).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Правообладателем УСПО-112 является Министерство Российской Федерации по делам гражданской обороны, чрезвычайным ситуациям и ликвидации последствий стихийных бедствий (далее – МЧС России).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Сведения об УСПО-112 включены в единый реестр российских программ для электронных вычислительных машин и баз данных на основании постановления Правительства Российской Федерации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Приказом Министра Минкомсвязи России от 23.12.2016 № 682.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Неисключительные права на использование УСПО-112 на территории Республики Хакасия переданы Заказчику по лицензионному соглашению от 21.06.2016 года </w:t>
        <w:br/>
        <w:t>№ 16062109.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5" w:name="_30j0zll"/>
      <w:bookmarkStart w:id="6" w:name="_30j0zll"/>
      <w:bookmarkEnd w:id="6"/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СОСТАВУ УСЛУГИ: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Состав услуги: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Услуга по оказанию технической поддержки и сопровождению СПО-112 и компонентов УСПО-112 Системы-112.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Услуга по диагностике телекоммуникационного оборудования системы-112 в составе, указанном в Приложении 1 к настоящему </w:t>
      </w:r>
      <w:r>
        <w:rPr>
          <w:sz w:val="26"/>
          <w:szCs w:val="26"/>
        </w:rPr>
        <w:t>ТЗ</w:t>
      </w:r>
      <w:r>
        <w:rPr>
          <w:sz w:val="26"/>
          <w:szCs w:val="26"/>
        </w:rPr>
        <w:t>. Услуга не включает в себя ремонт оборудования и/или замену его составных частей.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hanging="0" w:star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ind w:hanging="0" w:star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рамках настоящей услуги в интересах Республики Хакасия должно быть обеспечено выполнение функций СПО-112 Системы-112, в том числе: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прием и обработка вызовов и коротких текстовых сообщений (SMS), поступающих на единый номер «112» от населения через операторов связи, расположенных на территории Республики Хакасия;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передача в дежурно-диспетчерские службы экстренных оперативных служб сообщений о вызовах с возможностью подключения их диспетчеров к разговорам с позвонившим лицом;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координацию действий ДДС при реагировании на вызовы;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прием всех вызовов, поступающих через УОЭВОС в соответствии с Приказом Минкомсвязи России «Об утверждении правил применения оборудования узлов обслуживания вызовов экстренных оперативных служб» № 346 от 15.09.2015;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интеграция и информационное взаимодействие с системой «ЭРА-ГЛОНАСС»;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интеграция и информационное взаимодействие с системой ПК АДИС;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bookmarkStart w:id="7" w:name="_Hlk179827746"/>
      <w:r>
        <w:rPr>
          <w:sz w:val="26"/>
          <w:szCs w:val="26"/>
        </w:rPr>
        <w:t xml:space="preserve">интеграция и информационное взаимодействие с </w:t>
      </w:r>
      <w:bookmarkEnd w:id="7"/>
      <w:r>
        <w:rPr>
          <w:sz w:val="26"/>
          <w:szCs w:val="26"/>
        </w:rPr>
        <w:t>«СОДЧ ИСОД МВД РФ»;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интеграция и информационное взаимодействие с операторами связи </w:t>
        <w:br/>
        <w:t>в рамках передачи данных в соответствии с Приказом Минцифры России от 09.03.2022 № 180 «Об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«112»: ПАО «Мобильные телесистемы», ПАО «Вымпелком», ООО «Т2Мобайл», ПАО «Мегафон», ПАО «Ростелеком».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прохождения вызова в рамках межсубъектовой интеграции с Система-112 смежных субъектов Российской Федерации: Кемеровская область, Алтайский край, Красноярский край, Республика Алтай, Республика Тыва;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модифицированных версий СПО-112 в порядке и сроки, предусмотренные пунктом 4.2 настоящего Технического задания.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зону ответственности Исполнителя не входят работы по доработке, модификации, адаптации и(или) настройке сторонних автоматизированных систем, перечисленных в настоящем пункте ООЗ.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ТРЕБОВАНИЯ К УСЛУГЕ ПО ОКАЗАНИЮ ТЕХНИЧЕСКОЙ ПОДДЕРЖКИ ПРОГРАММНОГО ОБЕСПЕЧЕНИЯ СИСТЕМЫ-112 (СПО-112 и компонентов УСПО-112): 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Устранение сбоев в работе СПО-112: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 данным видом услуги понимается организация комплекса организационно-технических мер, осуществляемых Исполнителем путем удаленного доступа (в соответствии с требованием п.7), гарантирующих устранение сбоя в работе СПО-112 и компонентов УСПО-112, исправление причин возникновения сбоев.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Сбоем является факт прекращения выполнения СПО-112 и компонентами УСПО-112 своих функций (части функций), не позволяющий Заказчику выполнить свои прямые задачи. Устранение сбоев может быть осуществлено путем предоставления Заказчику консультаций, рекомендаций и программных средств (по телефону, либо электронной почте, подачей заявок в CRM).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Обновление и модификация версии СПО-112 клиентской и серверной части:</w:t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модифицированных версий СПО-112, выпускаемых для обеспечения соответствия требованиям федерального и регионального законодательства.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 данным видом услуги понимается предоставление модифицированных версий СПО-112, соответствующей измененным требованиям федерального и регионального законодательства в объеме реализованной функциональности.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предоставляет модифицированные версии СПО-112, соответствующие измененным требованиям Федерального законодательства, в срок не позднее 3 (трех) календарных месяцев с даты вступления нормативного документа в силу.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производит установку обновления на серверах и АРМ Заказчика, либо передает дистрибутивы и инструкции по установке.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уведомляет пользователей-сотрудников Заказчика о выпуске модифицированной версии по телефону, электронной почте или через </w:t>
      </w:r>
      <w:r>
        <w:rPr>
          <w:sz w:val="26"/>
          <w:szCs w:val="26"/>
          <w:lang w:val="en-US"/>
        </w:rPr>
        <w:t>crm</w:t>
      </w:r>
      <w:r>
        <w:rPr>
          <w:sz w:val="26"/>
          <w:szCs w:val="26"/>
        </w:rPr>
        <w:t>.</w:t>
      </w:r>
    </w:p>
    <w:p>
      <w:pPr>
        <w:pStyle w:val="Normal"/>
        <w:widowControl w:val="false"/>
        <w:ind w:start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Предоставление плановых модифицированных версий, предназначенных для совершенствования функциональности СПО-112 и повышения удобства работы с ним.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 данным видом услуги понимается предоставление Заказчику модифицированной версии СПО-112, включающей реализованные Исполнителем по его инициативе дополнения и усовершенствования функциональности СПО-112.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предоставляет модифицированных версии СПО-112, разработанные с целью совершенствования функциональности СПО-112 и повышения удобства работы с ним, по факту их выпуска. Исполнитель производит установку обновления на серверах и АРМ Заказчика.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уведомляет пользователей услуги о выпуске модифицированной версии по телефону или электронной почте.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предоставляет новые плановые версии сопровождаемого СПО-112 в течение всего срока действия </w:t>
      </w:r>
      <w:r>
        <w:rPr>
          <w:sz w:val="26"/>
          <w:szCs w:val="26"/>
        </w:rPr>
        <w:t>Договора</w:t>
      </w:r>
      <w:r>
        <w:rPr>
          <w:sz w:val="26"/>
          <w:szCs w:val="26"/>
        </w:rPr>
        <w:t xml:space="preserve">. В случае необходимости реализации для Заказчика специфичных для него доработок (модификаций), Заказчик запрашивает Исполнителя о возможности их реализации. В случае наличия принципиальной технической возможности выполнения таких доработок (модификаций) Исполнитель и Заказчик согласовывают функциональную или техническую спецификацию на доработку (модификацию), на основании которой Исполнитель определяет трудоёмкости и сроки реализации доработки (модификации).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таких доработок (модификаций) может являться предметом отдельных контрактов или договоров.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Предоставление внеплановых модифицированных версий СПО-112: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 данным видом услуги понимается предоставление Заказчику модифицированной версии СПО-112, включающей исправления дефектов функциональности СПО-112 и реализованные Исполнителем по его инициативе дополнения и совершенствования функциональности СПО-112.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Модифицированные версии СПО-112 формируются Исполнителем или привлекаемый им соисполнителем по результатам рассмотрения обращений о проблемах в работе СПО-112, созданным Заказчиком с использованием одного из трех каналом связи (электронная почта, телефон, </w:t>
      </w:r>
      <w:r>
        <w:rPr>
          <w:sz w:val="26"/>
          <w:szCs w:val="26"/>
          <w:lang w:val="en-US"/>
        </w:rPr>
        <w:t>CRM</w:t>
      </w:r>
      <w:r>
        <w:rPr>
          <w:sz w:val="26"/>
          <w:szCs w:val="26"/>
        </w:rPr>
        <w:t>). Основной целью выпуска данных модифицированных версий является модификация СПО-112 для устранения выявленной(ых) проблем(ы) в его работе.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При формировании модифицированной версии СПО-112 Исполнитель или привлекаемый им соисполнитель должен(ны) самостоятельно оценить объем и трудоемкость модификации, а также определить влияние вносимых изменений на целостность и бесперебойность функционирования программных компонентов СПО-112, в том числе его интеграционных модулей. Количество модификаций, предоставляемых Исполнителем не ограничено и зависит от результатов, проведенного им анализа обращений Заказчика о проблеме(ах) в работе СПО-112.</w:t>
      </w:r>
    </w:p>
    <w:p>
      <w:pPr>
        <w:pStyle w:val="Normal"/>
        <w:widowControl w:val="false"/>
        <w:numPr>
          <w:ilvl w:val="0"/>
          <w:numId w:val="2"/>
        </w:numPr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Сроки выпуска модифицированных версий СПО-112 устанавливаются в зависимости от степени приоритета обращения согласно параметрам, установленным в разделе 9 настоящего ООЗ.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производит установку обновления на серверах и АРМ Заказчика, либо передает дистрибутивы и инструкции по установке. Заказчик предоставляет доступ к серверам для установки обновлений. </w:t>
      </w:r>
    </w:p>
    <w:p>
      <w:pPr>
        <w:pStyle w:val="Normal"/>
        <w:widowControl w:val="false"/>
        <w:ind w:start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установки обновлений СПО-112: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Серверная часть СПО-112 обновляется Исполнителем посредством удаленного доступа (в соответствии с требованием п.7). Пароли для доступа к сетевым файловым хранилищам с программным обеспечением системы-112 сообщается Заказчику во время установки СПО-112. Исполнитель оставляет за собой право смены паролей доступа к сетевым файловым хранилищам с последующим уведомлением Заказчика в течение 2 часов. Исполнитель не несет ответственность за возможные сбои в процессе загрузки СПО-112 с серверов и не предоставляет гарантии постоянного доступа к ним.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1134" w:leader="none"/>
        </w:tabs>
        <w:ind w:firstLine="567" w:star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Консультации по работе СПО-112: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оказывает консультационные услуги персоналу Заказчика по вопросам эксплуатации, настройки и оптимизации параметров СПО-112 Заказчика. Под консультационными услугами подразумевается получение ответа специалистов исполнителя по телефону, в письменной форме по электронной почте, в CRM.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АВАРИЙНОМУ ОБЛУЖИВАНИЮ: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получении запроса на аварийное обслуживание специалист Исполнителя должен предпринять соответствующие меры для обеспечения Заказчика рекомендациями по идентификации и устранению неисправностей и проблем.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должен проанализировать ситуацию, используя для этого средства удаленного доступа к СПО-112 и компонентам УСПО-112.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РЕЖИМ ОКАЗАНИЯ УСЛУГ ТЕХНИЧЕСКОЙ ПОДДЕРЖКИ: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Оказание услуг по технической поддержке и сопровождению должны осуществляться в круглосуточном режиме (24 часа в сутки, 7 дней в неделю, 365 дней в году – круглый год).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ОРГАНИЗАЦИЯ УДАЛЕННОГО ДОСТУПА: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Техническое сопровождение оказывается удаленно посредством предоставленной Заказчиком возможности удаленного доступа к СПО-112 и компонентам УСПО-112. Технические средства защиты удаленного доступа выполнены на базе оборудования ViPNet.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имеет право привлекать по согласованию с Заказчиком организации для обеспечения оказания услуг (привлекать соисполнителей).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Удаленный доступ осуществляется через организованное защищенное межсетевое соединение на основании заключенного «Соглашения об установлении межсетевого взаимодействия». В случае привлечения соисполнителей «Соглашение об установлении межсетевого взаимодействия» заключается между Заказчиком и Соисполнителем.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Каждая из сторон самостоятельно производит настройку службы удаленного доступа и несет ответственность за работоспособность канала удаленного доступа.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Заказчик может отключать службу удаленного доступа. В этом случае для диагностики, исправления ошибок или последствий ошибок Заказчик обязан предоставить Исполнителю возможность удаленного доступа в течение 30 (тридцати) минут после получения запроса от Исполнителя в рабочие часы. В остальное время Заказчик обязан предоставить возможность удаленного доступа в течение 8 (восьми) часов.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Непредставление Заказчиком возможности удаленного доступа влечет за собой отсрочку в выполнении обязательств на все время отсутствия возможности удаленного доступа.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Проект «Соглашения об установлении межсетевого взаимодействия» указан в Приложении 3 настоящего Технического задания.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ОТЧЕТНОСТИ: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должен представлять Заказчику следующие отчетные документы: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Акт оказанных услуг, счет, счет-фактуру.</w:t>
      </w:r>
    </w:p>
    <w:p>
      <w:pPr>
        <w:pStyle w:val="Normal"/>
        <w:widowControl w:val="false"/>
        <w:ind w:start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СРОКАМ УСТРАНЕНИЯ: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Сроки предоставления услуг определяются срочностью возникшей проблемы и приведены в Таблице 1.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Таблица 1. </w:t>
      </w:r>
    </w:p>
    <w:tbl>
      <w:tblPr>
        <w:tblStyle w:val="StGen6"/>
        <w:tblW w:w="9809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265"/>
        <w:gridCol w:w="3544"/>
      </w:tblGrid>
      <w:tr>
        <w:trPr/>
        <w:tc>
          <w:tcPr>
            <w:tcW w:w="98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Аварийное обслуживание</w:t>
            </w:r>
          </w:p>
        </w:tc>
      </w:tr>
      <w:tr>
        <w:trPr/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Предоставляется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реагирования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Дистанционное диагностирование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восстановления работоспособности системы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решения проблемы</w:t>
            </w:r>
          </w:p>
        </w:tc>
        <w:tc>
          <w:tcPr>
            <w:tcW w:w="3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Круглосуточно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60 минут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При наличии возможности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4 часов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72 часов</w:t>
            </w:r>
          </w:p>
        </w:tc>
      </w:tr>
      <w:tr>
        <w:trPr>
          <w:trHeight w:val="671" w:hRule="atLeast"/>
        </w:trPr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Поддержка по запросу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Предоставляется</w:t>
            </w:r>
          </w:p>
        </w:tc>
        <w:tc>
          <w:tcPr>
            <w:tcW w:w="3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обычного рабочего местного времени Исполнителя</w:t>
            </w:r>
          </w:p>
        </w:tc>
      </w:tr>
      <w:tr>
        <w:trPr/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Дистанционное диагностирование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реагирования на технические вопросы по работе системы: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1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2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3</w:t>
            </w:r>
          </w:p>
        </w:tc>
        <w:tc>
          <w:tcPr>
            <w:tcW w:w="3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При наличии возможности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2 часов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24 часов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24 часов</w:t>
            </w:r>
          </w:p>
        </w:tc>
      </w:tr>
      <w:tr>
        <w:trPr/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предоставления ответа на технические вопросы, вопросы по работе сети: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1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2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3</w:t>
            </w:r>
          </w:p>
        </w:tc>
        <w:tc>
          <w:tcPr>
            <w:tcW w:w="3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24 часов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72 часов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2 недель, 90%</w:t>
            </w:r>
          </w:p>
        </w:tc>
      </w:tr>
      <w:tr>
        <w:trPr/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решения проблемы: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1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2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степень приоритета 3</w:t>
            </w:r>
          </w:p>
        </w:tc>
        <w:tc>
          <w:tcPr>
            <w:tcW w:w="3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72 часов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30 дней, 90%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 течение 90 дней, 90%</w:t>
            </w:r>
          </w:p>
        </w:tc>
      </w:tr>
      <w:tr>
        <w:trPr>
          <w:trHeight w:val="414" w:hRule="atLeast"/>
        </w:trPr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Поставка пакетов актуализации программного обеспечения в рамках поставленной версии</w:t>
            </w:r>
          </w:p>
        </w:tc>
        <w:tc>
          <w:tcPr>
            <w:tcW w:w="3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 мере необходимости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Аварийное обслуживание соответствует Кризисной проблеме</w:t>
      </w:r>
      <w:r>
        <w:rPr>
          <w:rFonts w:eastAsia="Arial" w:cs="Arial" w:ascii="Arial" w:hAnsi="Arial"/>
          <w:sz w:val="22"/>
        </w:rPr>
        <w:t xml:space="preserve"> (</w:t>
      </w:r>
      <w:r>
        <w:rPr>
          <w:sz w:val="26"/>
          <w:szCs w:val="26"/>
        </w:rPr>
        <w:t>Critical)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Степень приоритета 1 – Срочной проблеме (Important)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Степень приоритета 2 – Полусрочной проблеме (Basic)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Степень приоритета 3 – Несрочной проблеме (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>osmetic)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Заказчик определяет степень приоритета </w:t>
      </w:r>
      <w:r>
        <w:rPr>
          <w:rFonts w:eastAsia="Arial" w:cs="Arial" w:ascii="Arial" w:hAnsi="Arial"/>
          <w:sz w:val="22"/>
        </w:rPr>
        <w:t>(</w:t>
      </w:r>
      <w:r>
        <w:rPr>
          <w:sz w:val="26"/>
          <w:szCs w:val="26"/>
        </w:rPr>
        <w:t xml:space="preserve">Critical, Important, Basic,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>osmetic). Понижение степени приоритета возможна только после согласования с заказчиком по электронной почте, и (или) CRM.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star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>
      <w:pPr>
        <w:pStyle w:val="Normal"/>
        <w:widowControl w:val="false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Таблица 2. </w:t>
      </w:r>
    </w:p>
    <w:tbl>
      <w:tblPr>
        <w:tblStyle w:val="StGen4"/>
        <w:tblW w:w="9809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864"/>
        <w:gridCol w:w="6945"/>
      </w:tblGrid>
      <w:tr>
        <w:trPr/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3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Кризисные</w:t>
            </w:r>
          </w:p>
          <w:p>
            <w:pPr>
              <w:pStyle w:val="Normal"/>
              <w:widowControl w:val="false"/>
              <w:spacing w:before="0" w:after="0"/>
              <w:ind w:firstLine="63"/>
              <w:jc w:val="star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6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Пропадание трафика вследствие: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повреждения данных,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повреждения оборудования,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неправильных действий оператора.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Стихийные бедствия (пожар, наводнение, землетрясение и т.п.).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3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Срочные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br/>
              <w:t>(степень приоритета 1)</w:t>
            </w:r>
          </w:p>
        </w:tc>
        <w:tc>
          <w:tcPr>
            <w:tcW w:w="6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Невозможность техобслуживания оборудования или недоступность отдельных важных функций техобслуживания.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Повреждение оборудования, влияющее на суммарную пропускную способность или на трафик на отдельных направлениях.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Отсутствие ЗИПа для восстановления работоспособности оборудования (если конфигурация оборудования не предусматривает резервирование элементов)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3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Полусрочные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br/>
              <w:t>(степень приоритета 2)</w:t>
            </w:r>
          </w:p>
        </w:tc>
        <w:tc>
          <w:tcPr>
            <w:tcW w:w="6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Проблемы, связанные с некорректной работой окружения оборудования.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3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Несрочные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br/>
              <w:t>(степень приоритета 3)</w:t>
            </w:r>
          </w:p>
        </w:tc>
        <w:tc>
          <w:tcPr>
            <w:tcW w:w="6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Незначительные проблемы при выполнении администрирования и техобслуживания.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Различные виды внутренних ошибок, не оказывающих влияния на работу оборудования.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Отсутствие документации на отдельные функции и элементы оборудования.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0"/>
              <w:ind w:firstLine="62" w:start="357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Некорректная работа функций, не оговоренных в документации на оборудование.</w:t>
            </w:r>
          </w:p>
        </w:tc>
      </w:tr>
    </w:tbl>
    <w:p>
      <w:pPr>
        <w:pStyle w:val="Normal"/>
        <w:widowControl w:val="false"/>
        <w:ind w:start="567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ind w:start="567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ЗАЩИТЕ ИНТЕЛЛЕКТУАЛЬНОЙ СОБСТВЕННОСТИ: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Права и обязанности Исполнителя и Заказчика в отношении использования охраняемых результатов интеллектуальной деятельности, принадлежащих третьим лицам, в ходе выполнения Договора должны быть определены действующим законодательством Российской Федерацией и условиями заключаемых с правообладателями договоров.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Услуги по полному техническому сопровождению и поддержке СПО-112 должны оказываться с надлежащим качеством, обеспечивающим работоспособность СПО-112, в том числе с соблюдением требований в отношении охраняемых результатов интеллектуальной деятельности, установленных Правообладателями СПО-112.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Услуги должны быть оказаны Исполнителем в соответствии с требованиями действующего законодательства Российской Федерации в отношении прав на результаты интеллектуальной деятельности, в частности предусмотренных Гражданским кодексом Российской Федерации (часть четвертая) от 18.12.2006 № 230-ФЗ (ГК РФ). В соответствии с положениями ч. 1 ст. 1229, ст. 1261, ч. 1 и пп. 9 ч.2 ст. 1270 Гражданского кодекса Российской Федерации, ГОСТ Р ИСО/МЭК 14764-2002 Заказчик при формировании настоящего ООЗ учитывает и описывает имеющийся объем прав и ограничений по использованию СПО-112.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Предметом настоящего Технического задания не является приобретение и/или расширение объема неисключительных прав на использование СПО-112, имеющегося у Заказчика. Установка обновленных модифицированных версий не влечет за собой создания отдельного производного программного средства и не требует передачи Заказчику неисключительных прав на производный программный продукт. Целью процесса полного технического сопровождения является модификация СПО-112 при сохранении его целостности согласно ГОСТ Р ИСО/МЭК 14764-2002.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Исполнитель обязан: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не демонтировать СПО-112 и компоненты УСПО-112, не разделять на его составные части и не пытаться каким бы то образом реконструировать или выявить любой исходный код или алгоритм СПО-112 и компонентов УСПО-112 какими-то ни было средствами;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не удалять любую идентификацию продукта, товарный знак, уведомление об авторском праве, конфиденциальности, праве собственности или иное уведомление, содержащееся на программном обеспечении или в нем;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не создавать любые произведения, производные от СПО-112 и компонентов УСПО-112 или любой его части за исключением и в пределах тех случаев, когда СПО-112 и УСПО-112 предусматривает компоненты, которые могут быть изменены пользователем.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достижения целей оказания услуг Исполнитель или привлекаемый им соисполнитель должен обладать всеми необходимыми правами и полномочиями в отношении используемого Заказчиком СПО-112 с целью управления обновлениями и модификациями данного программного обеспечения, в порядке и объеме описанном в пункте 4.2 настоящего Технического задания, в том числе правами модифицировать, подвергать изменению, корректировать СПО-112 или вносить в него другие изменения в объеме, требуемом для оказания услуг в рамках настоящего Технического задания.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Вышеуказанные права должны быть подтверждены Исполнителем документально в течение срока, предусмотренного разделом 2 настоящего Технического задания. Всю полноту ответственности за незаконное использование примененных в ходе оказания услуг результатов интеллектуальной деятельности и средств индивидуализации несет Исполнитель.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Заказчик не несет ответственности за нарушение Исполнителем исключительных (неисключительных) прав на результаты интеллектуальной деятельности третьих лиц. В случае предъявления к Заказчику претензий по основанию нарушения им интеллектуальных прав на оборудование, Исполнитель обязуется возместить Заказчику все убытки, причиненные в связи с предъявлением такой претензии.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ВЗАИМОДЕЙСТВИЯ ТЕХНИЧЕСКИХ СЛУЖБ СТОРОН: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Взаимодействие со службой технической поддержки должно быть осуществлено с помощью Аварийных телефонных номеров службы технической поддержки, электронного адреса приема заявок службы технической поддержки и электронной системы учета обращений.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Доступ к CRM должен быть предоставлен Исполнителем в течение 1 (одного) рабочего дня с момента подписания Сторонами </w:t>
      </w:r>
      <w:r>
        <w:rPr>
          <w:sz w:val="26"/>
          <w:szCs w:val="26"/>
        </w:rPr>
        <w:t>Договора</w:t>
      </w:r>
      <w:r>
        <w:rPr>
          <w:sz w:val="26"/>
          <w:szCs w:val="26"/>
        </w:rPr>
        <w:t xml:space="preserve"> и поддерживается весь срок оказания услуг.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CRM должна поддерживать следующий функционал: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аутентификация пользователей Заказчика, реализованная путём ввода логина и пароля;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выставления Заказчиком критичности обращения в соответствии с настоящим разделом ООЗ. Понижение степени приоритета возможна только после согласования с заказчиком по электронной почте, и (или) CRM;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указания в созданном обращении почтовых адресов Заказчика для поступления на них уведомлений о смене статуса и критичности обращения, а также при появлении новых комментариев;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поступление уведомления о смене статуса обращения и новых комментариев к нему на указанный Заказчиком адрес электронной почты;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ответа на комментарии в созданном обращении напрямую из письма-уведомления на электронной почте;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каждому обращению должен присваиваться уникальный номер;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при организации доступа к электронной системе учета обращений через сеть Интернет должен использоваться протокол HTTPs;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bookmarkStart w:id="8" w:name="_1fob9te"/>
      <w:bookmarkEnd w:id="8"/>
      <w:r>
        <w:rPr>
          <w:sz w:val="26"/>
          <w:szCs w:val="26"/>
        </w:rPr>
        <w:t>- корректная работа через мобильный браузер. Техническое сопровождение должно быть оказано удаленно посредством предоставленной Заказчиком возможности удаленного доступа к СПО-112. Каждая из сторон самостоятельно производит настройку службы удаленного доступа в порядке, предусмотренного разделом 7 настоящего ООЗ и несет ответственность за работоспособность канала удаленного доступа.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использовании системы CRM взаимодействие служб сторон осуществляется следующим образом: при создании обращения Заказчик кратко описывает суть проблемы в поле «Описание», добавляя дополнительную информацию добавить в поле «Комментарий» и прикладывая при необходимости соответствующие лог-файлы или данные трассировок.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предварительной диагностики и правил классификации проблем Заказчик указывает степень критичности проблемы в соответствующем поле формы создания обращения: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bookmarkStart w:id="9" w:name="_3znysh7"/>
      <w:bookmarkEnd w:id="9"/>
      <w:r>
        <w:rPr>
          <w:sz w:val="26"/>
          <w:szCs w:val="26"/>
        </w:rPr>
        <w:t xml:space="preserve">Сritical – проблемы наивысшего приоритета, связанные с полной потерей трафика, остановкой системы, соответствуют проблемам Степени приоритета 1 Таблицы 2 настоящего </w:t>
      </w:r>
      <w:r>
        <w:rPr>
          <w:sz w:val="26"/>
          <w:szCs w:val="26"/>
        </w:rPr>
        <w:t>ТЗ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Important – срочные аварийные проблемы, при которых наблюдается частичная потеря трафика или невозможность администрирования платформы; соответствуют проблемам Степени приоритета 2 Таблицы 2 настоящего </w:t>
      </w:r>
      <w:r>
        <w:rPr>
          <w:sz w:val="26"/>
          <w:szCs w:val="26"/>
        </w:rPr>
        <w:t>ТЗ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Basic – другие проблемы, не требующие срочного решения, соответствуют проблемам Степени приоритета 3 Таблицы 2 настоящего </w:t>
      </w:r>
      <w:r>
        <w:rPr>
          <w:sz w:val="26"/>
          <w:szCs w:val="26"/>
        </w:rPr>
        <w:t>ТЗ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возникновении проблем критичности critical или important требуется продублировать информацию о проблеме по телефону круглосуточной технической поддержки.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Информация об изменениях в статусе обращения, новых комментариев и дублируется системой CRM на согласованные адреса электронной почты.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Предусмотрены следующие статусы работы по обращениям: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New – обращение создается Заказчиком (или Исполнителем, если информация о проблеме передана др. способом);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Open – обращение открывается Исполнителем для анализа и исправления;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Inprocess - причины обращения установлены. Обращение передано на реализацию;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Done – обращение закрывается Исполнителем после обработки и устранения проблемы;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6"/>
          <w:szCs w:val="26"/>
        </w:rPr>
      </w:pPr>
      <w:r>
        <w:rPr>
          <w:sz w:val="26"/>
          <w:szCs w:val="26"/>
        </w:rPr>
        <w:t>Verified – исправление проблемы подтверждается Заказчиком (если проблема не исправлена, то Заказчик должен сообщить доп. информацию по проблеме и изменить статус обращения на Open).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Сторона, которой стало известно о наличии ошибки в СПО-112, обязана сообщить об этом другой Стороне в течение 6 часов путем размещения соответствующего сообщения в системе CRM, или другими альтернативными каналами связи, предусмотренными таблицей.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не гарантирует возможность исправления ошибки, если Заказчику было известно о наличии данной ошибки, но Заказчик не сообщил об этом указанным образом.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Исправление ошибки может быть сделано посредством передачи исправленного (модифицированного) дистрибутивного пакета СПО-112, передачи инструкций, содержащих указания по исправлению ошибок силами специалистов Заказчика или путем осуществления удаленного доступа по коммутируемым или выделенным каналам.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4" w:leader="none"/>
        </w:tabs>
        <w:ind w:firstLine="567" w:star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КВАЛИФИКАЦИИ ПЕРСОНАЛА У ИСПОЛНИТЕЛЯ: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Квалификация персонала Исполнителя или привлекаемого им соисполнителя должна быть подтверждена наличием сертификата о прохождении стажировки (обучения) в компании-разработчике СПО-112.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предоставить информационное письмо компании-разработчика СПО-112.  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имеет право привлекать по согласованию с заказчиком организации для обеспечения оказания Услуги, на сопровождение программного обеспечения и оборудования для оказания Услуги. При этом Исполнитель несет полную ответственность перед заказчиком и обеспечивает контроль за ходом оказания соответствующих услуг и обязан предоставить заказчику копии лицензий, сертификатов или свидетельств на оказание данных услуг.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>Таблица 2</w:t>
      </w:r>
    </w:p>
    <w:tbl>
      <w:tblPr>
        <w:tblStyle w:val="StGen13"/>
        <w:tblW w:w="935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538"/>
        <w:gridCol w:w="5813"/>
      </w:tblGrid>
      <w:tr>
        <w:trPr>
          <w:tblHeader w:val="true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Работа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Срок проведения</w:t>
            </w:r>
          </w:p>
        </w:tc>
      </w:tr>
      <w:tr>
        <w:trPr>
          <w:trHeight w:val="289" w:hRule="atLeast"/>
        </w:trPr>
        <w:tc>
          <w:tcPr>
            <w:tcW w:w="9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Уровень 1</w:t>
            </w:r>
          </w:p>
        </w:tc>
      </w:tr>
      <w:tr>
        <w:trPr>
          <w:trHeight w:val="289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Прием заявок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8 часов в сутки, 5 дней в неделю, по рабочим дням, рабочие часы (с 9:00 до 18:00 по местному времени)</w:t>
            </w:r>
          </w:p>
        </w:tc>
      </w:tr>
      <w:tr>
        <w:trPr>
          <w:trHeight w:val="408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Режим обслуживания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Работа по заявкам ведется в рабочие дни рабочие часы (с 9:00 до 18:00 по местному времени)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исполнения (с момента регистрации заявки)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 более 3 часов</w:t>
            </w:r>
          </w:p>
        </w:tc>
      </w:tr>
      <w:tr>
        <w:trPr/>
        <w:tc>
          <w:tcPr>
            <w:tcW w:w="9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Уровень 2</w:t>
            </w:r>
          </w:p>
        </w:tc>
      </w:tr>
      <w:tr>
        <w:trPr>
          <w:trHeight w:val="357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Прием заявок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8 часов в сутки, 5 дней в неделю, по рабочим дням, рабочие часы (с 9:00 до 18:00 по местному времени)</w:t>
            </w:r>
          </w:p>
        </w:tc>
      </w:tr>
      <w:tr>
        <w:trPr>
          <w:trHeight w:val="408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Режим обслуживания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Работа по заявкам ведется в рабочие дни рабочие часы (с 9:00 до 18:00 по местному времени)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восстановления (с момента регистрации заявки)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 более 6 часов</w:t>
            </w:r>
          </w:p>
        </w:tc>
      </w:tr>
      <w:tr>
        <w:trPr/>
        <w:tc>
          <w:tcPr>
            <w:tcW w:w="9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Уровень 3</w:t>
            </w:r>
          </w:p>
        </w:tc>
      </w:tr>
      <w:tr>
        <w:trPr>
          <w:trHeight w:val="351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Прием заявок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8 часов в сутки, 5 дней в неделю, по рабочим дням, рабочие часы (с 9:00 до 18:00 по местному времени)</w:t>
            </w:r>
          </w:p>
        </w:tc>
      </w:tr>
      <w:tr>
        <w:trPr>
          <w:trHeight w:val="408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Режим обслуживания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Работа по заявкам ведется в рабочие дни рабочие часы (с 9:00 до 18:00 по местному времени)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восстановления (с момента регистрации заявки)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 более 48 часов</w:t>
            </w:r>
          </w:p>
        </w:tc>
      </w:tr>
      <w:tr>
        <w:trPr/>
        <w:tc>
          <w:tcPr>
            <w:tcW w:w="9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Уровень 4</w:t>
            </w:r>
          </w:p>
        </w:tc>
      </w:tr>
      <w:tr>
        <w:trPr>
          <w:trHeight w:val="377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Прием заявок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8 часов в сутки, 5 дней в неделю, по рабочим дням, рабочие часы (с 9:00 до 18:00 по местному времени)</w:t>
            </w:r>
          </w:p>
        </w:tc>
      </w:tr>
      <w:tr>
        <w:trPr>
          <w:trHeight w:val="408" w:hRule="atLeast"/>
        </w:trPr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Режим обслуживания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Работа по заявкам ведется в рабочие дни рабочие часы (с 9:00 до 18:00 по местному времени)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Время восстановления (с момента регистрации заявки)</w:t>
            </w:r>
          </w:p>
        </w:tc>
        <w:tc>
          <w:tcPr>
            <w:tcW w:w="5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firstLine="29" w:start="29" w:end="-2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не гарантируется</w:t>
            </w:r>
          </w:p>
        </w:tc>
      </w:tr>
    </w:tbl>
    <w:p>
      <w:pPr>
        <w:pStyle w:val="Normal"/>
        <w:tabs>
          <w:tab w:val="clear" w:pos="708"/>
          <w:tab w:val="left" w:pos="284" w:leader="none"/>
          <w:tab w:val="left" w:pos="93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10" w:name="_2s8eyo1"/>
      <w:bookmarkStart w:id="11" w:name="_2et92p0"/>
      <w:bookmarkStart w:id="12" w:name="_2s8eyo1"/>
      <w:bookmarkStart w:id="13" w:name="_2et92p0"/>
      <w:bookmarkEnd w:id="12"/>
      <w:bookmarkEnd w:id="13"/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13.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ДОПОЛНИТЕЛЬНЫЕТРЕБОВАНИЯ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/>
      </w:pPr>
      <w:r>
        <w:rPr>
          <w:sz w:val="26"/>
          <w:szCs w:val="26"/>
        </w:rPr>
        <w:t>Исполнитель несет ответственность за сбои в работе компонентов программного комплекса Системы-112 и сервисов интеграции с внешними информационными системами, возникших в результате оказания услуг Исполнителем.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/>
      </w:pPr>
      <w:r>
        <w:rPr>
          <w:sz w:val="26"/>
          <w:szCs w:val="26"/>
        </w:rPr>
        <w:t>При оказании услуг, затрагивающих работоспособность Системы-112, Исполнитель обеспечивает переход системы на резервную схему работы, и производит все действия только с выведенными из работы компонентами аппаратного и программного комплекса Системы-112 для недопущения перерывов в работе системы.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/>
      </w:pPr>
      <w:r>
        <w:rPr>
          <w:sz w:val="26"/>
          <w:szCs w:val="26"/>
        </w:rPr>
        <w:t>В связи с высокой социальной значимостью и критичностью работы Системы-112 полное отключение аппаратного и программного комплексов Системы-112 и простой в работе недопустимы.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/>
      </w:pPr>
      <w:r>
        <w:rPr>
          <w:sz w:val="26"/>
          <w:szCs w:val="26"/>
        </w:rPr>
        <w:t>При необходимости изменения существующих конфигураций, установленного ПО Исполнитель предоставляет Заказчику информацию о всех требуемых изменениях и обоснования данных изменений и согласует их с Заказчиком в течение не более 3-х рабочих дней.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/>
      </w:pPr>
      <w:r>
        <w:rPr>
          <w:sz w:val="26"/>
          <w:szCs w:val="26"/>
        </w:rPr>
        <w:t>При необходимости установки дополнительного ПО не установленного до этого на серверах Системы-112 (в том числе требуемого к использованию только на время оказания услуг) Исполнитель предоставляет обоснование установки данного ПО и его планируемую конфигурацию Заказчику и согласовывает с ним в течение не более 5 (пяти) дней возможность установки дополнительного ПО. При выявлении Заказчиком невозможности использования данного ПО в дальнейшей работе Системы-112 (по требованиям безопасности или иным причинам) Исполнитель должен отказаться от использования данного ПО.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spacing w:before="0" w:after="0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№1 </w:t>
      </w:r>
    </w:p>
    <w:p>
      <w:pPr>
        <w:pStyle w:val="Normal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 объектов Системы-112 (точки подключения)</w:t>
      </w:r>
    </w:p>
    <w:tbl>
      <w:tblPr>
        <w:tblStyle w:val="StGen0"/>
        <w:tblW w:w="9640" w:type="dxa"/>
        <w:jc w:val="start"/>
        <w:tblInd w:w="-147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a0" w:noHBand="0" w:noVBand="1" w:firstColumn="1" w:lastRow="0" w:lastColumn="0" w:firstRow="1"/>
      </w:tblPr>
      <w:tblGrid>
        <w:gridCol w:w="851"/>
        <w:gridCol w:w="2265"/>
        <w:gridCol w:w="4678"/>
        <w:gridCol w:w="1846"/>
      </w:tblGrid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-250" w:end="-284"/>
              <w:jc w:val="center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Наименование объекта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Адрес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Пропускная способность канала связи (Кбит/сек)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ЦОВ/ЦОД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4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Советская, д.34/ г. Абакан</w:t>
            </w:r>
          </w:p>
          <w:p>
            <w:pPr>
              <w:pStyle w:val="Normal"/>
              <w:widowControl w:val="false"/>
              <w:spacing w:before="0" w:after="0"/>
              <w:ind w:firstLine="4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пр. Ленина, д.67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РЦОВ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4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Кравченко, д.11 «з»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ЦОД, межсетевая интеграция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4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пр. Ленина, д.67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2048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города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Щетинкина, д. 10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5.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Крылова, д. 133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6.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Щетинкина, д. 6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7.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Шевченко, д. 83а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8.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ДДС-04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Аскизская д. 212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9.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ДДС-Антитеррор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Щетинкина, д. 8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ДДС-ЦУКС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Крылова, д. 133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ЭРА-Глонасс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Советская, д. 45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ТСМН, ТСКС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color w:val="FF0000"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</w:t>
            </w:r>
            <w:r>
              <w:rPr>
                <w:rFonts w:eastAsia="Times New Roman" w:cs="Times New Roman"/>
                <w:color w:val="FF0000"/>
                <w:kern w:val="0"/>
                <w:sz w:val="26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пр. Ленина, д. 67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ЭРА-Глонасс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Кравченко, д.11 «з»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ТСМН, ТСКС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ул. Кравченко, д.11 «з»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15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ЮСПСО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Абакан, Молодёжный квартал, д. 14»В» стр 1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1024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г. Черногорск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города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Черногорск, ул. Советская, д. 68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Черногорск, ул. Мира, д. 008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Черногорск, ул. Красноярская, д. 92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ДДС-04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Черногорск, ул. Бограда 03а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г. Саяногорск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города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Саяногорск, мкр. Ленинградский, д. 25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Саяногорск, ул. Индустриальная, д. 03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Саяногорск, ул. Дорожная, д.7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Саяногорск, Енисейский мкр, д. 30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г. Сорск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города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Сорск, ул. Кирова, д. 3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Сорск, ул. Геологов, д. 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Сорск, ул. Пионерская, д. 18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Сорск, ул. Кирова, д. 17б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Абаза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города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Абаза, ул. Больничная, д. 9 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Абаза, ул. Филатова, д. 1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Абаза, ул. Парковая, д. 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г. Абаза, ул. Осипенко, д. 17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Алтайский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Белый Яр, ул. Ленина, д. 74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Белый Яр, ул. Кирова, д. 30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Белый Яр, ул. Кирова, д. 15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Белый Яр, ул. Пушкина, д. 1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Аскизский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Аскиз, ул. Суворова, д. 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Аскиз, ул. Красных Партизан, д. 51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Аскиз, ул. Красноармейская, д. 16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Аскиз, ул. Первомайская, д. 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Бейский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Бея, Площадь Советов, д. 20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Бея, ул. Октябрьская, д. 97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Бея, ул. Ленина, д. 99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Бея, ул. Горького, д. 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Боградский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Боград, ул. Новая, д. 10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Боград, ул. Горная, д.1-а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Боград, ул. Советская, д. 138а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624" w:leader="none"/>
              </w:tabs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Боград, ул. Новая, д. 22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Орджоникидзевский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Копьево, ул. Кирова, д. 16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Копьево, ул. Новобольничная, д. 17а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Копьево, ул. Ленина 19д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Копьево, ул. Зеленая, д. 50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Таштыпский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Таштып, ул. Ленина, д. 35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Таштып, ул. Ленина, д. 61а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Таштып, ул. М. Цукановой, д. 2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Таштып, ул. Мечникова, д. 1а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52" w:leader="none"/>
              </w:tabs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Усть-Абаканский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Усть-Абакан, ул. Гидролизная, д. 9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Усть-Абакан, ул. Октябрьская, д. 10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Усть-Абакан, ул. Октябрьская, д. 18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п. Усть-Абакан, ул. Дзержинского, д. 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9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0"/>
                <w:lang w:val="ru-RU" w:eastAsia="ru-RU" w:bidi="ar-SA"/>
              </w:rPr>
              <w:t>Ширинский район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ЕДДС района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Шира, ул. Октябрьская, д. 79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ДДС-01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Шира, ул. Чапаева, д. 30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en-US" w:eastAsia="ru-RU" w:bidi="ar-SA"/>
              </w:rPr>
              <w:t>4096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ДДС-02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Шира, ул. Курортная, д. 36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4" w:leader="none"/>
              </w:tabs>
              <w:spacing w:before="0" w:after="0"/>
              <w:ind w:start="34" w:end="-284"/>
              <w:jc w:val="start"/>
              <w:rPr>
                <w:b/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start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ДДС-03</w:t>
            </w:r>
          </w:p>
        </w:tc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4" w:start="-74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с. Шира, ул. Орловская, д. 57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0"/>
                <w:lang w:val="ru-RU" w:eastAsia="ru-RU" w:bidi="ar-SA"/>
              </w:rPr>
              <w:t>128</w:t>
            </w:r>
          </w:p>
        </w:tc>
      </w:tr>
    </w:tbl>
    <w:p>
      <w:pPr>
        <w:pStyle w:val="Normal"/>
        <w:widowControl w:val="false"/>
        <w:ind w:firstLine="709"/>
        <w:jc w:val="both"/>
        <w:rPr>
          <w:b/>
          <w:i/>
          <w:color w:val="4F81BD"/>
          <w:sz w:val="26"/>
          <w:szCs w:val="26"/>
        </w:rPr>
      </w:pPr>
      <w:r>
        <w:rPr>
          <w:b/>
          <w:i/>
          <w:color w:val="4F81BD"/>
          <w:sz w:val="26"/>
          <w:szCs w:val="26"/>
        </w:rPr>
      </w:r>
    </w:p>
    <w:p>
      <w:pPr>
        <w:pStyle w:val="Normal"/>
        <w:ind w:firstLine="709"/>
        <w:rPr>
          <w:b/>
          <w:i/>
          <w:color w:val="4F81BD"/>
          <w:sz w:val="26"/>
          <w:szCs w:val="26"/>
        </w:rPr>
      </w:pPr>
      <w:r>
        <w:rPr>
          <w:b/>
          <w:i/>
          <w:color w:val="4F81BD"/>
          <w:sz w:val="26"/>
          <w:szCs w:val="26"/>
        </w:rPr>
      </w:r>
      <w:r>
        <w:br w:type="page"/>
      </w:r>
    </w:p>
    <w:p>
      <w:pPr>
        <w:pStyle w:val="Normal"/>
        <w:widowControl w:val="false"/>
        <w:spacing w:before="0" w:after="0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№2 </w:t>
      </w:r>
    </w:p>
    <w:p>
      <w:pPr>
        <w:pStyle w:val="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 ЕДДС МО</w:t>
      </w:r>
    </w:p>
    <w:p>
      <w:pPr>
        <w:pStyle w:val="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Style w:val="StGen7"/>
        <w:tblW w:w="9498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80"/>
        <w:gridCol w:w="3993"/>
        <w:gridCol w:w="4825"/>
      </w:tblGrid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п/п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Наименование объекта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Адрес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ЦОВ г. Абакана (основной)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Абакан, ул. Советская, д.34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2.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РЦОВ г. Абакана (резервный)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Абакан, ул. Кравченко, д.11 «з»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3.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ЦОД г. Абакана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Абакан, ул. Ленина, д. 67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4.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Абакан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Абакан ул. Щетинкина д. 10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5.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г. Черногорск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Черногорск, ул. Советская, д. 68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6.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г. Саяногорск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Саяногорск, мкр. Ленинградский, д. 25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7.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г. Сорск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Сорск, ул. Кирова, д. 3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8.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г. Абаза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г. Абаза, ул. Больничная, д. 9 А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9.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Алтайского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с. Белый Яр, ул. Ленина, д. 74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10.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Аскизского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с. Аскиз, ул. Суворова, д. 2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11.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Бейского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с. Бея, Площадь Советов, д. 20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12.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Боградского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с. Боград, ул. Новая, д. 10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13.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Орджоникидзевского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п. Копьево, ул. Кирова, д. 16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14.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Таштыпского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с. Таштып, ул. Ленина, д. 35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15.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Усть-Абаканского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п. Усть-Абакан, ул. Гидролизная, д. 9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09" w:start="-712"/>
              <w:jc w:val="both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16.</w:t>
            </w:r>
          </w:p>
        </w:tc>
        <w:tc>
          <w:tcPr>
            <w:tcW w:w="3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ЕДДС Ширинского района</w:t>
            </w:r>
          </w:p>
        </w:tc>
        <w:tc>
          <w:tcPr>
            <w:tcW w:w="4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с. Шира, ул. Октябрьская, д. 79</w:t>
            </w:r>
          </w:p>
        </w:tc>
      </w:tr>
    </w:tbl>
    <w:p>
      <w:pPr>
        <w:pStyle w:val="Normal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Ввиду того, что технические регламенты, стандарты и иные требования, предусмотренные законодательством Российской Федерации о техническом регулировании, не могут в полной мере охватить все необходимые заказчику функциональные, технические, качественные, эксплуатационные характеристики, в том числе товара (материала), используемого при выполнении работ и оказании услуг, документация содержит иные показатели, требования, условные обозначения и терминологию.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spacing w:before="0" w:after="0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 3</w:t>
      </w:r>
    </w:p>
    <w:p>
      <w:pPr>
        <w:pStyle w:val="Normal"/>
        <w:ind w:firstLine="709"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Количественные характеристики оборудования оснащённого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программным обеспечением «Программный комплекс «Протей-imSwitch»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Style w:val="affd"/>
        <w:tblpPr w:vertAnchor="text" w:horzAnchor="page" w:leftFromText="180" w:rightFromText="180" w:tblpX="1355" w:tblpY="137"/>
        <w:tblW w:w="991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10"/>
        <w:gridCol w:w="7844"/>
        <w:gridCol w:w="1564"/>
      </w:tblGrid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№</w:t>
            </w:r>
          </w:p>
        </w:tc>
        <w:tc>
          <w:tcPr>
            <w:tcW w:w="784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6"/>
                <w:szCs w:val="26"/>
                <w:lang w:val="en-US" w:bidi="ru-RU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ru-RU"/>
              </w:rPr>
              <w:t xml:space="preserve">Наименование </w:t>
            </w: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en-US" w:eastAsia="ru-RU" w:bidi="ru-RU"/>
              </w:rPr>
              <w:t>оборудования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6"/>
                <w:szCs w:val="26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784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ru-RU"/>
              </w:rPr>
              <w:t>Многофункциональный интеллектуальный шлюз Tiger.MS.60/2000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784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ru-RU"/>
              </w:rPr>
              <w:t>Многофункциональный интеллектуальный шлюз Tiger.MS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en-US" w:eastAsia="ru-RU" w:bidi="ru-RU"/>
              </w:rPr>
              <w:t>C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ru-RU"/>
              </w:rPr>
              <w:t>.60/2000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784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ru-RU"/>
              </w:rPr>
              <w:t>Протей-imSwitch5 Автоматическая телефонная станция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4</w:t>
            </w:r>
          </w:p>
        </w:tc>
      </w:tr>
    </w:tbl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989" w:gutter="0" w:header="0" w:top="993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swiss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Noto Sans Symbols">
    <w:charset w:val="01"/>
    <w:family w:val="swiss"/>
    <w:pitch w:val="variable"/>
  </w:font>
  <w:font w:name="Courier New">
    <w:charset w:val="01"/>
    <w:family w:val="modern"/>
    <w:pitch w:val="fixed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928" w:hanging="360"/>
      </w:pPr>
      <w:rPr/>
    </w:lvl>
    <w:lvl w:ilvl="1">
      <w:start w:val="1"/>
      <w:numFmt w:val="decimal"/>
      <w:lvlText w:val="%1.%2."/>
      <w:lvlJc w:val="start"/>
      <w:pPr>
        <w:tabs>
          <w:tab w:val="num" w:pos="1080"/>
        </w:tabs>
        <w:ind w:start="792" w:hanging="432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214" w:hanging="504"/>
      </w:pPr>
      <w:rPr>
        <w:b/>
      </w:rPr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728" w:hanging="647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736" w:hanging="934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4320" w:hanging="1440"/>
      </w:pPr>
      <w:rPr/>
    </w:lvl>
  </w:abstractNum>
  <w:abstractNum w:abstractNumId="2">
    <w:lvl w:ilvl="0">
      <w:start w:val="1"/>
      <w:numFmt w:val="bullet"/>
      <w:lvlText w:val="✔"/>
      <w:lvlJc w:val="start"/>
      <w:pPr>
        <w:tabs>
          <w:tab w:val="num" w:pos="720"/>
        </w:tabs>
        <w:ind w:start="111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255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1800"/>
        </w:tabs>
        <w:ind w:start="327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471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2880"/>
        </w:tabs>
        <w:ind w:start="543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687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✔"/>
      <w:lvlJc w:val="start"/>
      <w:pPr>
        <w:tabs>
          <w:tab w:val="num" w:pos="720"/>
        </w:tabs>
        <w:ind w:start="111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255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1800"/>
        </w:tabs>
        <w:ind w:start="327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471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2880"/>
        </w:tabs>
        <w:ind w:start="543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687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72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180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288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●"/>
      <w:lvlJc w:val="start"/>
      <w:pPr>
        <w:tabs>
          <w:tab w:val="num" w:pos="72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24"/>
      <w:numFmt w:val="bullet"/>
      <w:lvlText w:val="-"/>
      <w:lvlJc w:val="start"/>
      <w:pPr>
        <w:tabs>
          <w:tab w:val="num" w:pos="108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180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288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360" w:hanging="360"/>
      </w:pPr>
      <w:rPr/>
    </w:lvl>
    <w:lvl w:ilvl="1">
      <w:start w:val="1"/>
      <w:numFmt w:val="decimal"/>
      <w:lvlText w:val=""/>
      <w:lvlJc w:val="start"/>
      <w:pPr>
        <w:tabs>
          <w:tab w:val="num" w:pos="108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144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180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216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252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288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324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3600"/>
        </w:tabs>
        <w:ind w:start="0" w:hanging="0"/>
      </w:pPr>
      <w:rPr/>
    </w:lvl>
  </w:abstractNum>
  <w:abstractNum w:abstractNumId="7">
    <w:lvl w:ilvl="0">
      <w:start w:val="1"/>
      <w:numFmt w:val="bullet"/>
      <w:lvlText w:val="−"/>
      <w:lvlJc w:val="start"/>
      <w:pPr>
        <w:tabs>
          <w:tab w:val="num" w:pos="720"/>
        </w:tabs>
        <w:ind w:start="36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"/>
      <w:lvlJc w:val="start"/>
      <w:pPr>
        <w:tabs>
          <w:tab w:val="num" w:pos="108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144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180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216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252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288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324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3600"/>
        </w:tabs>
        <w:ind w:start="0" w:hanging="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1080"/>
        </w:tabs>
        <w:ind w:start="954" w:hanging="600"/>
      </w:pPr>
      <w:rPr/>
    </w:lvl>
    <w:lvl w:ilvl="2">
      <w:start w:val="2"/>
      <w:numFmt w:val="decimal"/>
      <w:lvlText w:val="%1.%2.%3."/>
      <w:lvlJc w:val="start"/>
      <w:pPr>
        <w:tabs>
          <w:tab w:val="num" w:pos="1440"/>
        </w:tabs>
        <w:ind w:start="1428" w:hanging="719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782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49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85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356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91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4632" w:hanging="1800"/>
      </w:pPr>
      <w:rPr/>
    </w:lvl>
  </w:abstractNum>
  <w:abstractNum w:abstractNumId="9">
    <w:lvl w:ilvl="0">
      <w:start w:val="3"/>
      <w:numFmt w:val="decimal"/>
      <w:lvlText w:val="%1."/>
      <w:lvlJc w:val="start"/>
      <w:pPr>
        <w:tabs>
          <w:tab w:val="num" w:pos="720"/>
        </w:tabs>
        <w:ind w:start="360" w:hanging="360"/>
      </w:pPr>
      <w:rPr/>
    </w:lvl>
    <w:lvl w:ilvl="1">
      <w:start w:val="1"/>
      <w:numFmt w:val="decimal"/>
      <w:lvlText w:val=""/>
      <w:lvlJc w:val="start"/>
      <w:pPr>
        <w:tabs>
          <w:tab w:val="num" w:pos="108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144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180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216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252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288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324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3600"/>
        </w:tabs>
        <w:ind w:start="0" w:hanging="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20"/>
        </w:tabs>
        <w:ind w:start="360" w:hanging="360"/>
      </w:pPr>
      <w:rPr/>
    </w:lvl>
    <w:lvl w:ilvl="1">
      <w:start w:val="1"/>
      <w:numFmt w:val="decimal"/>
      <w:lvlText w:val=""/>
      <w:lvlJc w:val="start"/>
      <w:pPr>
        <w:tabs>
          <w:tab w:val="num" w:pos="108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144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180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216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252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288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324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3600"/>
        </w:tabs>
        <w:ind w:start="0" w:hanging="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20"/>
        </w:tabs>
        <w:ind w:start="360" w:hanging="360"/>
      </w:pPr>
      <w:rPr/>
    </w:lvl>
    <w:lvl w:ilvl="1">
      <w:start w:val="1"/>
      <w:numFmt w:val="decimal"/>
      <w:lvlText w:val=""/>
      <w:lvlJc w:val="start"/>
      <w:pPr>
        <w:tabs>
          <w:tab w:val="num" w:pos="108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144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180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216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252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288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324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3600"/>
        </w:tabs>
        <w:ind w:start="0" w:hanging="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20"/>
        </w:tabs>
        <w:ind w:start="565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285" w:hanging="360"/>
      </w:pPr>
      <w:rPr/>
    </w:lvl>
    <w:lvl w:ilvl="2">
      <w:start w:val="1"/>
      <w:numFmt w:val="lowerRoman"/>
      <w:lvlText w:val="%3."/>
      <w:lvlJc w:val="end"/>
      <w:pPr>
        <w:tabs>
          <w:tab w:val="num" w:pos="1440"/>
        </w:tabs>
        <w:ind w:start="2005" w:hanging="18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2725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2160"/>
        </w:tabs>
        <w:ind w:start="3445" w:hanging="36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4165" w:hanging="18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4885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5605" w:hanging="360"/>
      </w:pPr>
      <w:rPr/>
    </w:lvl>
    <w:lvl w:ilvl="8">
      <w:start w:val="1"/>
      <w:numFmt w:val="lowerRoman"/>
      <w:lvlText w:val="%9."/>
      <w:lvlJc w:val="end"/>
      <w:pPr>
        <w:tabs>
          <w:tab w:val="num" w:pos="3600"/>
        </w:tabs>
        <w:ind w:start="6325" w:hanging="180"/>
      </w:pPr>
      <w:rPr/>
    </w:lvl>
  </w:abstractNum>
  <w:abstractNum w:abstractNumId="13">
    <w:lvl w:ilvl="0">
      <w:start w:val="1"/>
      <w:numFmt w:val="bullet"/>
      <w:lvlText w:val=""/>
      <w:lvlJc w:val="start"/>
      <w:pPr>
        <w:tabs>
          <w:tab w:val="num" w:pos="72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44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52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600"/>
        </w:tabs>
        <w:ind w:start="718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1"/>
    <w:uiPriority w:val="9"/>
    <w:qFormat/>
    <w:pPr>
      <w:keepNext w:val="true"/>
      <w:spacing w:before="240" w:after="60"/>
      <w:outlineLvl w:val="0"/>
    </w:pPr>
    <w:rPr>
      <w:rFonts w:ascii="Calibri Light" w:hAnsi="Calibri Light"/>
      <w:b/>
      <w:sz w:val="32"/>
    </w:rPr>
  </w:style>
  <w:style w:type="paragraph" w:styleId="Heading2">
    <w:name w:val="heading 2"/>
    <w:basedOn w:val="Normal"/>
    <w:next w:val="Normal"/>
    <w:link w:val="21"/>
    <w:uiPriority w:val="9"/>
    <w:qFormat/>
    <w:pPr>
      <w:keepNext w:val="true"/>
      <w:jc w:val="center"/>
      <w:outlineLvl w:val="1"/>
    </w:pPr>
    <w:rPr>
      <w:b/>
      <w:sz w:val="32"/>
    </w:rPr>
  </w:style>
  <w:style w:type="paragraph" w:styleId="Heading3">
    <w:name w:val="heading 3"/>
    <w:next w:val="Normal"/>
    <w:link w:val="3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1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1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1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2" w:customStyle="1">
    <w:name w:val="Название Знак2"/>
    <w:basedOn w:val="DefaultParagraphFont"/>
    <w:uiPriority w:val="10"/>
    <w:qFormat/>
    <w:rPr>
      <w:sz w:val="48"/>
      <w:szCs w:val="48"/>
    </w:rPr>
  </w:style>
  <w:style w:type="character" w:styleId="22" w:customStyle="1">
    <w:name w:val="Подзаголовок Знак2"/>
    <w:basedOn w:val="DefaultParagraphFont"/>
    <w:uiPriority w:val="11"/>
    <w:qFormat/>
    <w:rPr>
      <w:sz w:val="24"/>
      <w:szCs w:val="24"/>
    </w:rPr>
  </w:style>
  <w:style w:type="character" w:styleId="23" w:customStyle="1">
    <w:name w:val="Цитата 2 Знак"/>
    <w:link w:val="Quote"/>
    <w:uiPriority w:val="29"/>
    <w:qFormat/>
    <w:rPr>
      <w:i/>
    </w:rPr>
  </w:style>
  <w:style w:type="character" w:styleId="Style5" w:customStyle="1">
    <w:name w:val="Выделенная цитата Знак"/>
    <w:link w:val="IntenseQuote"/>
    <w:uiPriority w:val="30"/>
    <w:qFormat/>
    <w:rPr>
      <w:i/>
    </w:rPr>
  </w:style>
  <w:style w:type="character" w:styleId="Style6" w:customStyle="1">
    <w:name w:val="Верхний колонтитул Знак"/>
    <w:basedOn w:val="DefaultParagraphFont"/>
    <w:uiPriority w:val="99"/>
    <w:qFormat/>
    <w:rPr/>
  </w:style>
  <w:style w:type="character" w:styleId="1" w:customStyle="1">
    <w:name w:val="Нижний колонтитул Знак1"/>
    <w:basedOn w:val="DefaultParagraphFont"/>
    <w:uiPriority w:val="99"/>
    <w:qFormat/>
    <w:rPr/>
  </w:style>
  <w:style w:type="character" w:styleId="Style7" w:customStyle="1">
    <w:name w:val="Название объекта Знак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11" w:customStyle="1">
    <w:name w:val="Гиперссылка1"/>
    <w:qFormat/>
    <w:rPr>
      <w:rFonts w:ascii="Times New Roman" w:hAnsi="Times New Roman"/>
      <w:color w:val="0000FF"/>
      <w:u w:val="single"/>
    </w:rPr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user" w:customStyle="1">
    <w:name w:val="Символ сноски (user)"/>
    <w:uiPriority w:val="99"/>
    <w:unhideWhenUsed/>
    <w:qFormat/>
    <w:rPr>
      <w:vertAlign w:val="superscript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qFormat/>
    <w:rPr>
      <w:sz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11" w:customStyle="1">
    <w:name w:val="Заголовок 1 Знак1"/>
    <w:qFormat/>
    <w:rPr>
      <w:rFonts w:ascii="Times New Roman" w:hAnsi="Times New Roman"/>
      <w:sz w:val="24"/>
    </w:rPr>
  </w:style>
  <w:style w:type="character" w:styleId="24" w:customStyle="1">
    <w:name w:val="Оглавление 2 Знак"/>
    <w:qFormat/>
    <w:rPr>
      <w:rFonts w:ascii="XO Thames" w:hAnsi="XO Thames"/>
      <w:sz w:val="28"/>
    </w:rPr>
  </w:style>
  <w:style w:type="character" w:styleId="12" w:customStyle="1">
    <w:name w:val="Заголовок1"/>
    <w:basedOn w:val="111"/>
    <w:link w:val="116"/>
    <w:qFormat/>
    <w:rPr>
      <w:rFonts w:ascii="Liberation Sans" w:hAnsi="Liberation Sans"/>
      <w:sz w:val="28"/>
    </w:rPr>
  </w:style>
  <w:style w:type="character" w:styleId="61" w:customStyle="1">
    <w:name w:val="Заголовок 61"/>
    <w:link w:val="611"/>
    <w:qFormat/>
    <w:rPr>
      <w:rFonts w:ascii="Calibri" w:hAnsi="Calibri"/>
      <w:b/>
      <w:sz w:val="20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2" w:customStyle="1">
    <w:name w:val="Оглавление 6 Знак"/>
    <w:qFormat/>
    <w:rPr>
      <w:rFonts w:ascii="XO Thames" w:hAnsi="XO Thames"/>
      <w:sz w:val="28"/>
    </w:rPr>
  </w:style>
  <w:style w:type="character" w:styleId="71" w:customStyle="1">
    <w:name w:val="Оглавление 7 Знак"/>
    <w:qFormat/>
    <w:rPr>
      <w:rFonts w:ascii="XO Thames" w:hAnsi="XO Thames"/>
      <w:sz w:val="28"/>
    </w:rPr>
  </w:style>
  <w:style w:type="character" w:styleId="13" w:customStyle="1">
    <w:name w:val="Знак сноски1"/>
    <w:qFormat/>
    <w:rPr>
      <w:vertAlign w:val="superscript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25" w:customStyle="1">
    <w:name w:val="_Заголовок 2"/>
    <w:basedOn w:val="111"/>
    <w:qFormat/>
    <w:rPr>
      <w:rFonts w:ascii="Times New Roman" w:hAnsi="Times New Roman"/>
      <w:b/>
      <w:color w:val="00000A"/>
      <w:spacing w:val="2"/>
      <w:sz w:val="26"/>
    </w:rPr>
  </w:style>
  <w:style w:type="character" w:styleId="112" w:customStyle="1">
    <w:name w:val="Заголовок 11"/>
    <w:qFormat/>
    <w:rPr>
      <w:rFonts w:ascii="Calibri" w:hAnsi="Calibri"/>
      <w:b/>
      <w:sz w:val="48"/>
    </w:rPr>
  </w:style>
  <w:style w:type="character" w:styleId="511" w:customStyle="1">
    <w:name w:val="Заголовок 51"/>
    <w:link w:val="5111"/>
    <w:qFormat/>
    <w:rPr>
      <w:rFonts w:ascii="Calibri" w:hAnsi="Calibri"/>
      <w:b/>
    </w:rPr>
  </w:style>
  <w:style w:type="character" w:styleId="14" w:customStyle="1">
    <w:name w:val="Основной шрифт абзаца1"/>
    <w:link w:val="1110"/>
    <w:qFormat/>
    <w:rPr/>
  </w:style>
  <w:style w:type="character" w:styleId="ConsPlusNonformat" w:customStyle="1">
    <w:name w:val="ConsPlusNonformat"/>
    <w:link w:val="ConsPlusNonformat1"/>
    <w:qFormat/>
    <w:rPr>
      <w:rFonts w:ascii="Courier New" w:hAnsi="Courier New"/>
      <w:sz w:val="20"/>
    </w:rPr>
  </w:style>
  <w:style w:type="character" w:styleId="Style12" w:customStyle="1">
    <w:name w:val="Абзац списка Знак"/>
    <w:basedOn w:val="111"/>
    <w:qFormat/>
    <w:rPr>
      <w:rFonts w:ascii="Calibri" w:hAnsi="Calibri"/>
      <w:sz w:val="22"/>
    </w:rPr>
  </w:style>
  <w:style w:type="character" w:styleId="15" w:customStyle="1">
    <w:name w:val="Подзаголовок Знак1"/>
    <w:basedOn w:val="14"/>
    <w:link w:val="1113"/>
    <w:qFormat/>
    <w:rPr>
      <w:color w:themeColor="text1" w:themeTint="a5" w:val="5A5A5A"/>
      <w:spacing w:val="15"/>
    </w:rPr>
  </w:style>
  <w:style w:type="character" w:styleId="FontStyle23" w:customStyle="1">
    <w:name w:val="Font Style23"/>
    <w:link w:val="FontStyle231"/>
    <w:qFormat/>
    <w:rPr>
      <w:rFonts w:ascii="Times New Roman" w:hAnsi="Times New Roman"/>
    </w:rPr>
  </w:style>
  <w:style w:type="character" w:styleId="ConsNormal" w:customStyle="1">
    <w:name w:val="ConsNormal"/>
    <w:link w:val="ConsNormal1"/>
    <w:qFormat/>
    <w:rPr>
      <w:rFonts w:ascii="Arial" w:hAnsi="Arial"/>
      <w:sz w:val="20"/>
    </w:rPr>
  </w:style>
  <w:style w:type="character" w:styleId="16" w:customStyle="1">
    <w:name w:val="Название объекта1"/>
    <w:basedOn w:val="111"/>
    <w:qFormat/>
    <w:rPr>
      <w:rFonts w:ascii="Calibri" w:hAnsi="Calibri"/>
      <w:i/>
      <w:sz w:val="24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17" w:customStyle="1">
    <w:name w:val="Просмотренная гиперссылка1"/>
    <w:link w:val="118"/>
    <w:qFormat/>
    <w:rPr>
      <w:color w:val="954F72"/>
      <w:u w:val="single"/>
    </w:rPr>
  </w:style>
  <w:style w:type="character" w:styleId="Style13" w:customStyle="1">
    <w:name w:val="Обычный (веб) Знак"/>
    <w:basedOn w:val="111"/>
    <w:qFormat/>
    <w:rPr>
      <w:rFonts w:ascii="Times New Roman" w:hAnsi="Times New Roman"/>
      <w:sz w:val="24"/>
    </w:rPr>
  </w:style>
  <w:style w:type="character" w:styleId="Style14" w:customStyle="1">
    <w:name w:val="Список Знак"/>
    <w:basedOn w:val="Style17"/>
    <w:qFormat/>
    <w:rPr>
      <w:rFonts w:ascii="Calibri" w:hAnsi="Calibri"/>
      <w:sz w:val="22"/>
    </w:rPr>
  </w:style>
  <w:style w:type="character" w:styleId="Style15" w:customStyle="1">
    <w:name w:val="Нижний колонтитул Знак"/>
    <w:basedOn w:val="111"/>
    <w:uiPriority w:val="99"/>
    <w:qFormat/>
    <w:rPr>
      <w:rFonts w:ascii="Times New Roman" w:hAnsi="Times New Roman"/>
      <w:sz w:val="24"/>
    </w:rPr>
  </w:style>
  <w:style w:type="character" w:styleId="5" w:customStyle="1">
    <w:name w:val="Заголовок 5 Знак"/>
    <w:qFormat/>
    <w:rPr>
      <w:rFonts w:ascii="XO Thames" w:hAnsi="XO Thames"/>
      <w:b/>
    </w:rPr>
  </w:style>
  <w:style w:type="character" w:styleId="311" w:customStyle="1">
    <w:name w:val="Заголовок 31"/>
    <w:link w:val="3111"/>
    <w:qFormat/>
    <w:rPr>
      <w:rFonts w:ascii="Calibri" w:hAnsi="Calibri"/>
      <w:b/>
      <w:sz w:val="28"/>
    </w:rPr>
  </w:style>
  <w:style w:type="character" w:styleId="18" w:customStyle="1">
    <w:name w:val="Заголовок 1 Знак"/>
    <w:basedOn w:val="111"/>
    <w:link w:val="119"/>
    <w:qFormat/>
    <w:rPr>
      <w:rFonts w:ascii="Calibri Light" w:hAnsi="Calibri Light"/>
      <w:b/>
      <w:sz w:val="32"/>
    </w:rPr>
  </w:style>
  <w:style w:type="character" w:styleId="Style16" w:customStyle="1">
    <w:name w:val="ПРИЛ Раздел Текст"/>
    <w:basedOn w:val="111"/>
    <w:qFormat/>
    <w:rPr>
      <w:rFonts w:ascii="Times New Roman" w:hAnsi="Times New Roman"/>
      <w:sz w:val="20"/>
    </w:rPr>
  </w:style>
  <w:style w:type="character" w:styleId="Footnote" w:customStyle="1">
    <w:name w:val="Footnote"/>
    <w:basedOn w:val="111"/>
    <w:link w:val="Footnote1"/>
    <w:qFormat/>
    <w:rPr>
      <w:rFonts w:ascii="Times New Roman" w:hAnsi="Times New Roman"/>
      <w:sz w:val="20"/>
    </w:rPr>
  </w:style>
  <w:style w:type="character" w:styleId="19" w:customStyle="1">
    <w:name w:val="Оглавление 1 Знак"/>
    <w:link w:val="1111"/>
    <w:qFormat/>
    <w:rPr>
      <w:rFonts w:ascii="XO Thames" w:hAnsi="XO Thames"/>
      <w:b/>
      <w:sz w:val="28"/>
    </w:rPr>
  </w:style>
  <w:style w:type="character" w:styleId="211" w:customStyle="1">
    <w:name w:val="Заголовок 21"/>
    <w:link w:val="2111"/>
    <w:qFormat/>
    <w:rPr>
      <w:rFonts w:ascii="Calibri" w:hAnsi="Calibri"/>
      <w:b/>
      <w:sz w:val="36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1" w:customStyle="1">
    <w:name w:val="Оглавление 9 Знак"/>
    <w:qFormat/>
    <w:rPr>
      <w:rFonts w:ascii="XO Thames" w:hAnsi="XO Thames"/>
      <w:sz w:val="28"/>
    </w:rPr>
  </w:style>
  <w:style w:type="character" w:styleId="Style17" w:customStyle="1">
    <w:name w:val="Основной текст Знак"/>
    <w:basedOn w:val="111"/>
    <w:qFormat/>
    <w:rPr>
      <w:rFonts w:ascii="Calibri" w:hAnsi="Calibri"/>
      <w:sz w:val="22"/>
    </w:rPr>
  </w:style>
  <w:style w:type="character" w:styleId="Style18" w:customStyle="1">
    <w:name w:val="Указатель Знак"/>
    <w:basedOn w:val="111"/>
    <w:qFormat/>
    <w:rPr>
      <w:rFonts w:ascii="Calibri" w:hAnsi="Calibri"/>
      <w:sz w:val="22"/>
    </w:rPr>
  </w:style>
  <w:style w:type="character" w:styleId="110" w:customStyle="1">
    <w:name w:val="Указатель 1 Знак"/>
    <w:basedOn w:val="111"/>
    <w:qFormat/>
    <w:rPr>
      <w:rFonts w:ascii="Calibri" w:hAnsi="Calibri"/>
      <w:sz w:val="22"/>
    </w:rPr>
  </w:style>
  <w:style w:type="character" w:styleId="ConsPlusNormal" w:customStyle="1">
    <w:name w:val="ConsPlusNormal"/>
    <w:link w:val="ConsPlusNormal1"/>
    <w:qFormat/>
    <w:rPr>
      <w:rFonts w:ascii="Arial" w:hAnsi="Arial"/>
      <w:sz w:val="20"/>
    </w:rPr>
  </w:style>
  <w:style w:type="character" w:styleId="81" w:customStyle="1">
    <w:name w:val="Оглавление 8 Знак"/>
    <w:qFormat/>
    <w:rPr>
      <w:rFonts w:ascii="XO Thames" w:hAnsi="XO Thames"/>
      <w:sz w:val="28"/>
    </w:rPr>
  </w:style>
  <w:style w:type="character" w:styleId="western" w:customStyle="1">
    <w:name w:val="western"/>
    <w:basedOn w:val="111"/>
    <w:qFormat/>
    <w:rPr>
      <w:rFonts w:ascii="Arial" w:hAnsi="Arial"/>
      <w:sz w:val="24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411" w:customStyle="1">
    <w:name w:val="Заголовок 41"/>
    <w:link w:val="4111"/>
    <w:qFormat/>
    <w:rPr>
      <w:rFonts w:ascii="Calibri" w:hAnsi="Calibri"/>
      <w:b/>
      <w:sz w:val="24"/>
    </w:rPr>
  </w:style>
  <w:style w:type="character" w:styleId="113" w:customStyle="1">
    <w:name w:val="Название Знак1"/>
    <w:basedOn w:val="14"/>
    <w:qFormat/>
    <w:rPr>
      <w:rFonts w:ascii="Calibri Light" w:hAnsi="Calibri Light" w:asciiTheme="majorHAnsi" w:hAnsiTheme="majorHAnsi"/>
      <w:spacing w:val="-10"/>
      <w:sz w:val="56"/>
    </w:rPr>
  </w:style>
  <w:style w:type="character" w:styleId="Style19" w:customStyle="1">
    <w:name w:val="Подзаголовок Знак"/>
    <w:basedOn w:val="111"/>
    <w:qFormat/>
    <w:rPr>
      <w:rFonts w:ascii="Cambria" w:hAnsi="Cambria"/>
      <w:sz w:val="24"/>
    </w:rPr>
  </w:style>
  <w:style w:type="character" w:styleId="Style20" w:customStyle="1">
    <w:name w:val="Текст выноски Знак"/>
    <w:basedOn w:val="111"/>
    <w:qFormat/>
    <w:rPr>
      <w:rFonts w:ascii="Segoe UI" w:hAnsi="Segoe UI"/>
      <w:sz w:val="18"/>
    </w:rPr>
  </w:style>
  <w:style w:type="character" w:styleId="Style21" w:customStyle="1">
    <w:name w:val="Название Знак"/>
    <w:basedOn w:val="111"/>
    <w:qFormat/>
    <w:rPr>
      <w:rFonts w:ascii="Cambria" w:hAnsi="Cambria"/>
      <w:b/>
      <w:sz w:val="32"/>
    </w:rPr>
  </w:style>
  <w:style w:type="character" w:styleId="412" w:customStyle="1">
    <w:name w:val="Оглавление 4 Знак1"/>
    <w:qFormat/>
    <w:rPr>
      <w:rFonts w:ascii="XO Thames" w:hAnsi="XO Thames"/>
      <w:b/>
      <w:sz w:val="24"/>
    </w:rPr>
  </w:style>
  <w:style w:type="character" w:styleId="Style22" w:customStyle="1">
    <w:name w:val="Без интервала Знак"/>
    <w:qFormat/>
    <w:rPr>
      <w:rFonts w:ascii="Times New Roman" w:hAnsi="Times New Roman"/>
      <w:sz w:val="24"/>
    </w:rPr>
  </w:style>
  <w:style w:type="character" w:styleId="26" w:customStyle="1">
    <w:name w:val="Заголовок 2 Знак"/>
    <w:basedOn w:val="111"/>
    <w:link w:val="212"/>
    <w:qFormat/>
    <w:rPr>
      <w:rFonts w:ascii="Times New Roman" w:hAnsi="Times New Roman"/>
      <w:b/>
      <w:sz w:val="32"/>
    </w:rPr>
  </w:style>
  <w:style w:type="character" w:styleId="114" w:customStyle="1">
    <w:name w:val="Сильное выделение1"/>
    <w:qFormat/>
    <w:rPr>
      <w:i/>
      <w:color w:val="4F81BD"/>
    </w:rPr>
  </w:style>
  <w:style w:type="character" w:styleId="docdata" w:customStyle="1">
    <w:name w:val="docdata"/>
    <w:basedOn w:val="DefaultParagraphFont"/>
    <w:qFormat/>
    <w:rPr/>
  </w:style>
  <w:style w:type="character" w:styleId="115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LineNumber">
    <w:name w:val="line number"/>
    <w:rPr/>
  </w:style>
  <w:style w:type="character" w:styleId="Style23" w:customStyle="1">
    <w:name w:val="Текст примечания Знак"/>
    <w:basedOn w:val="DefaultParagraphFont"/>
    <w:uiPriority w:val="99"/>
    <w:semiHidden/>
    <w:qFormat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>
      <w:rFonts w:ascii="Calibri" w:hAnsi="Calibri"/>
      <w:sz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link w:val="Style7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121"/>
    <w:next w:val="BodyText"/>
    <w:link w:val="2"/>
    <w:uiPriority w:val="10"/>
    <w:qFormat/>
    <w:pPr>
      <w:keepNext w:val="true"/>
      <w:keepLines/>
      <w:spacing w:before="480" w:after="120"/>
    </w:pPr>
    <w:rPr>
      <w:rFonts w:ascii="Cambria" w:hAnsi="Cambria"/>
      <w:b/>
      <w:sz w:val="32"/>
    </w:rPr>
  </w:style>
  <w:style w:type="paragraph" w:styleId="IndexHeading">
    <w:name w:val="index heading"/>
    <w:basedOn w:val="Normal"/>
    <w:qFormat/>
    <w:pPr>
      <w:spacing w:lineRule="auto" w:line="276" w:before="0" w:after="200"/>
    </w:pPr>
    <w:rPr>
      <w:rFonts w:ascii="Calibri" w:hAnsi="Calibri"/>
      <w:sz w:val="22"/>
    </w:rPr>
  </w:style>
  <w:style w:type="paragraph" w:styleId="Quote">
    <w:name w:val="Quote"/>
    <w:basedOn w:val="Normal"/>
    <w:next w:val="Normal"/>
    <w:link w:val="23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Style26" w:customStyle="1">
    <w:name w:val="Колонтитул"/>
    <w:basedOn w:val="Normal"/>
    <w:qFormat/>
    <w:pPr/>
    <w:rPr/>
  </w:style>
  <w:style w:type="paragraph" w:styleId="Style27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6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/>
    <w:rPr>
      <w:sz w:val="20"/>
    </w:rPr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27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Label18" w:customStyle="1">
    <w:name w:val="ListLabel 18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start="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6" w:customStyle="1">
    <w:name w:val="Заголовок11"/>
    <w:basedOn w:val="Normal"/>
    <w:next w:val="BodyText"/>
    <w:link w:val="12"/>
    <w:qFormat/>
    <w:pPr>
      <w:keepNext w:val="true"/>
      <w:spacing w:lineRule="auto" w:line="276" w:before="240" w:after="120"/>
    </w:pPr>
    <w:rPr>
      <w:rFonts w:ascii="Liberation Sans" w:hAnsi="Liberation Sans"/>
      <w:sz w:val="28"/>
    </w:rPr>
  </w:style>
  <w:style w:type="paragraph" w:styleId="611" w:customStyle="1">
    <w:name w:val="Заголовок 611"/>
    <w:link w:val="61"/>
    <w:qFormat/>
    <w:pPr>
      <w:keepNext w:val="true"/>
      <w:keepLines/>
      <w:widowControl w:val="false"/>
      <w:suppressAutoHyphens w:val="true"/>
      <w:bidi w:val="0"/>
      <w:spacing w:before="200" w:after="40"/>
      <w:jc w:val="start"/>
      <w:outlineLvl w:val="5"/>
    </w:pPr>
    <w:rPr>
      <w:rFonts w:ascii="Calibri" w:hAnsi="Calibri" w:eastAsia="Times New Roman" w:cs="Times New Roman" w:asciiTheme="minorHAnsi" w:hAnsiTheme="minorHAnsi"/>
      <w:b/>
      <w:color w:val="000000"/>
      <w:kern w:val="0"/>
      <w:sz w:val="20"/>
      <w:szCs w:val="20"/>
      <w:lang w:val="ru-RU" w:eastAsia="ru-RU" w:bidi="ar-SA"/>
    </w:rPr>
  </w:style>
  <w:style w:type="paragraph" w:styleId="TOC4">
    <w:name w:val="toc 4"/>
    <w:next w:val="Normal"/>
    <w:link w:val="412"/>
    <w:uiPriority w:val="39"/>
    <w:pPr>
      <w:widowControl/>
      <w:suppressAutoHyphens w:val="true"/>
      <w:bidi w:val="0"/>
      <w:spacing w:lineRule="auto" w:line="264" w:before="0" w:after="16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11" w:customStyle="1">
    <w:name w:val="ListLabel 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7" w:customStyle="1">
    <w:name w:val="Знак сноски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-" w:customStyle="1">
    <w:name w:val="Интернет-ссылка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80"/>
      <w:kern w:val="0"/>
      <w:sz w:val="24"/>
      <w:szCs w:val="20"/>
      <w:u w:val="single"/>
      <w:lang w:val="ru-RU" w:eastAsia="ru-RU" w:bidi="ar-SA"/>
    </w:rPr>
  </w:style>
  <w:style w:type="paragraph" w:styleId="ListLabel23" w:customStyle="1">
    <w:name w:val="ListLabel 23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25" w:customStyle="1">
    <w:name w:val="ListLabel 25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9" w:customStyle="1">
    <w:name w:val="ListLabel 9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212" w:customStyle="1">
    <w:name w:val="_Заголовок 21"/>
    <w:basedOn w:val="Normal"/>
    <w:link w:val="26"/>
    <w:qFormat/>
    <w:pPr>
      <w:keepNext w:val="true"/>
      <w:keepLines/>
      <w:tabs>
        <w:tab w:val="clear" w:pos="708"/>
        <w:tab w:val="left" w:pos="1134" w:leader="none"/>
      </w:tabs>
      <w:spacing w:lineRule="auto" w:line="288"/>
      <w:ind w:firstLine="624"/>
      <w:jc w:val="both"/>
      <w:outlineLvl w:val="1"/>
    </w:pPr>
    <w:rPr>
      <w:b/>
      <w:color w:val="00000A"/>
      <w:spacing w:val="2"/>
      <w:sz w:val="26"/>
    </w:rPr>
  </w:style>
  <w:style w:type="paragraph" w:styleId="1111" w:customStyle="1">
    <w:name w:val="Заголовок 111"/>
    <w:link w:val="19"/>
    <w:qFormat/>
    <w:pPr>
      <w:keepNext w:val="true"/>
      <w:keepLines/>
      <w:widowControl w:val="false"/>
      <w:suppressAutoHyphens w:val="true"/>
      <w:bidi w:val="0"/>
      <w:spacing w:before="480" w:after="120"/>
      <w:jc w:val="start"/>
      <w:outlineLvl w:val="0"/>
    </w:pPr>
    <w:rPr>
      <w:rFonts w:ascii="Calibri" w:hAnsi="Calibri" w:eastAsia="Times New Roman" w:cs="Times New Roman" w:asciiTheme="minorHAnsi" w:hAnsiTheme="minorHAnsi"/>
      <w:b/>
      <w:color w:val="000000"/>
      <w:kern w:val="0"/>
      <w:sz w:val="48"/>
      <w:szCs w:val="20"/>
      <w:lang w:val="ru-RU" w:eastAsia="ru-RU" w:bidi="ar-SA"/>
    </w:rPr>
  </w:style>
  <w:style w:type="paragraph" w:styleId="5111" w:customStyle="1">
    <w:name w:val="Заголовок 511"/>
    <w:link w:val="511"/>
    <w:qFormat/>
    <w:pPr>
      <w:keepNext w:val="true"/>
      <w:keepLines/>
      <w:widowControl w:val="false"/>
      <w:suppressAutoHyphens w:val="true"/>
      <w:bidi w:val="0"/>
      <w:spacing w:before="220" w:after="40"/>
      <w:jc w:val="start"/>
      <w:outlineLvl w:val="4"/>
    </w:pPr>
    <w:rPr>
      <w:rFonts w:ascii="Calibri" w:hAnsi="Calibri" w:eastAsia="Times New Roman" w:cs="Times New Roman" w:asciiTheme="minorHAnsi" w:hAnsiTheme="minorHAnsi"/>
      <w:b/>
      <w:color w:val="000000"/>
      <w:kern w:val="0"/>
      <w:sz w:val="24"/>
      <w:szCs w:val="20"/>
      <w:lang w:val="ru-RU" w:eastAsia="ru-RU" w:bidi="ar-SA"/>
    </w:rPr>
  </w:style>
  <w:style w:type="paragraph" w:styleId="ListLabel12" w:customStyle="1">
    <w:name w:val="ListLabel 12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118" w:customStyle="1">
    <w:name w:val="Основной шрифт абзаца11"/>
    <w:link w:val="17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16" w:customStyle="1">
    <w:name w:val="ListLabel 16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17" w:customStyle="1">
    <w:name w:val="ListLabel 17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27" w:customStyle="1">
    <w:name w:val="ListLabel 27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start="720"/>
      <w:contextualSpacing/>
    </w:pPr>
    <w:rPr>
      <w:rFonts w:ascii="Calibri" w:hAnsi="Calibri"/>
      <w:sz w:val="22"/>
    </w:rPr>
  </w:style>
  <w:style w:type="paragraph" w:styleId="ListLabel1" w:customStyle="1">
    <w:name w:val="ListLabel 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119" w:customStyle="1">
    <w:name w:val="Подзаголовок Знак11"/>
    <w:basedOn w:val="118"/>
    <w:link w:val="18"/>
    <w:qFormat/>
    <w:pPr/>
    <w:rPr>
      <w:color w:themeColor="text1" w:themeTint="a5" w:val="5A5A5A"/>
      <w:spacing w:val="15"/>
    </w:rPr>
  </w:style>
  <w:style w:type="paragraph" w:styleId="ListLabel5" w:customStyle="1">
    <w:name w:val="ListLabel 5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FontStyle231" w:customStyle="1">
    <w:name w:val="Font Style231"/>
    <w:link w:val="FontStyle23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Label21" w:customStyle="1">
    <w:name w:val="ListLabel 2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13" w:customStyle="1">
    <w:name w:val="ListLabel 13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ConsNormal1" w:customStyle="1">
    <w:name w:val="ConsNormal1"/>
    <w:link w:val="ConsNormal"/>
    <w:qFormat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0" w:customStyle="1">
    <w:name w:val="Название объекта11"/>
    <w:basedOn w:val="Normal"/>
    <w:link w:val="14"/>
    <w:qFormat/>
    <w:pPr>
      <w:spacing w:lineRule="auto" w:line="276" w:before="120" w:after="120"/>
    </w:pPr>
    <w:rPr>
      <w:rFonts w:ascii="Calibri" w:hAnsi="Calibri"/>
      <w:i/>
    </w:rPr>
  </w:style>
  <w:style w:type="paragraph" w:styleId="TOC3">
    <w:name w:val="toc 3"/>
    <w:next w:val="Normal"/>
    <w:link w:val="32"/>
    <w:uiPriority w:val="39"/>
    <w:pPr>
      <w:widowControl/>
      <w:suppressAutoHyphens w:val="true"/>
      <w:bidi w:val="0"/>
      <w:spacing w:lineRule="auto" w:line="264" w:before="0" w:after="160"/>
      <w:ind w:start="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22" w:customStyle="1">
    <w:name w:val="ListLabel 22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1112" w:customStyle="1">
    <w:name w:val="Просмотренная гиперссылка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954F72"/>
      <w:kern w:val="0"/>
      <w:sz w:val="24"/>
      <w:szCs w:val="20"/>
      <w:u w:val="single"/>
      <w:lang w:val="ru-RU" w:eastAsia="ru-RU" w:bidi="ar-SA"/>
    </w:rPr>
  </w:style>
  <w:style w:type="paragraph" w:styleId="ListLabel15" w:customStyle="1">
    <w:name w:val="ListLabel 15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ListLabel24" w:customStyle="1">
    <w:name w:val="ListLabel 24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Style28" w:customStyle="1">
    <w:name w:val="Верхний и нижний колонтитулы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1"/>
    <w:uiPriority w:val="99"/>
    <w:pPr>
      <w:keepNext w:val="true"/>
      <w:tabs>
        <w:tab w:val="clear" w:pos="708"/>
        <w:tab w:val="center" w:pos="4677" w:leader="none"/>
        <w:tab w:val="right" w:pos="9355" w:leader="none"/>
      </w:tabs>
      <w:jc w:val="both"/>
    </w:pPr>
    <w:rPr/>
  </w:style>
  <w:style w:type="paragraph" w:styleId="1113" w:customStyle="1">
    <w:name w:val="Гиперссылка11"/>
    <w:link w:val="15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Times New Roman" w:hAnsi="Times New Roman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3111" w:customStyle="1">
    <w:name w:val="Заголовок 311"/>
    <w:link w:val="311"/>
    <w:qFormat/>
    <w:pPr>
      <w:keepNext w:val="true"/>
      <w:keepLines/>
      <w:widowControl w:val="false"/>
      <w:suppressAutoHyphens w:val="true"/>
      <w:bidi w:val="0"/>
      <w:spacing w:before="280" w:after="80"/>
      <w:jc w:val="start"/>
      <w:outlineLvl w:val="2"/>
    </w:pPr>
    <w:rPr>
      <w:rFonts w:ascii="Calibri" w:hAnsi="Calibri" w:eastAsia="Times New Roman" w:cs="Times New Roman" w:asciiTheme="minorHAnsi" w:hAnsiTheme="minorHAnsi"/>
      <w:b/>
      <w:color w:val="000000"/>
      <w:kern w:val="0"/>
      <w:sz w:val="28"/>
      <w:szCs w:val="20"/>
      <w:lang w:val="ru-RU" w:eastAsia="ru-RU" w:bidi="ar-SA"/>
    </w:rPr>
  </w:style>
  <w:style w:type="paragraph" w:styleId="120" w:customStyle="1">
    <w:name w:val="ПРИЛ Раздел Текст1"/>
    <w:basedOn w:val="Normal"/>
    <w:qFormat/>
    <w:pPr>
      <w:jc w:val="both"/>
    </w:pPr>
    <w:rPr>
      <w:sz w:val="20"/>
    </w:rPr>
  </w:style>
  <w:style w:type="paragraph" w:styleId="ListLabel20" w:customStyle="1">
    <w:name w:val="ListLabel 20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28" w:customStyle="1">
    <w:name w:val="Гиперссылка2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pPr/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11" w:customStyle="1">
    <w:name w:val="Заголовок 211"/>
    <w:link w:val="211"/>
    <w:qFormat/>
    <w:pPr>
      <w:keepNext w:val="true"/>
      <w:keepLines/>
      <w:widowControl w:val="false"/>
      <w:suppressAutoHyphens w:val="true"/>
      <w:bidi w:val="0"/>
      <w:spacing w:before="360" w:after="80"/>
      <w:jc w:val="start"/>
      <w:outlineLvl w:val="1"/>
    </w:pPr>
    <w:rPr>
      <w:rFonts w:ascii="Calibri" w:hAnsi="Calibri" w:eastAsia="Times New Roman" w:cs="Times New Roman" w:asciiTheme="minorHAnsi" w:hAnsiTheme="minorHAnsi"/>
      <w:b/>
      <w:color w:val="000000"/>
      <w:kern w:val="0"/>
      <w:sz w:val="36"/>
      <w:szCs w:val="20"/>
      <w:lang w:val="ru-RU" w:eastAsia="ru-RU" w:bidi="ar-SA"/>
    </w:rPr>
  </w:style>
  <w:style w:type="paragraph" w:styleId="ListLabel3" w:customStyle="1">
    <w:name w:val="ListLabel 3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14" w:customStyle="1">
    <w:name w:val="ListLabel 14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dex1">
    <w:name w:val="index 1"/>
    <w:basedOn w:val="Normal"/>
    <w:next w:val="Normal"/>
    <w:qFormat/>
    <w:pPr>
      <w:ind w:hanging="220" w:start="220"/>
    </w:pPr>
    <w:rPr>
      <w:rFonts w:ascii="Calibri" w:hAnsi="Calibri"/>
      <w:sz w:val="22"/>
    </w:rPr>
  </w:style>
  <w:style w:type="paragraph" w:styleId="ConsPlusNormal1" w:customStyle="1">
    <w:name w:val="ConsPlusNormal1"/>
    <w:link w:val="ConsPlusNormal"/>
    <w:qFormat/>
    <w:pPr>
      <w:widowControl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9" w:customStyle="1">
    <w:name w:val="Основной шрифт абзаца2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8" w:customStyle="1">
    <w:name w:val="ListLabel 8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western1" w:customStyle="1">
    <w:name w:val="western1"/>
    <w:basedOn w:val="Normal"/>
    <w:qFormat/>
    <w:pPr>
      <w:spacing w:before="280" w:after="280"/>
      <w:jc w:val="both"/>
    </w:pPr>
    <w:rPr>
      <w:rFonts w:ascii="Arial" w:hAnsi="Arial"/>
    </w:rPr>
  </w:style>
  <w:style w:type="paragraph" w:styleId="TOC5">
    <w:name w:val="toc 5"/>
    <w:next w:val="Normal"/>
    <w:link w:val="52"/>
    <w:uiPriority w:val="39"/>
    <w:pPr>
      <w:widowControl/>
      <w:suppressAutoHyphens w:val="true"/>
      <w:bidi w:val="0"/>
      <w:spacing w:lineRule="auto" w:line="264" w:before="0" w:after="16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111" w:customStyle="1">
    <w:name w:val="Заголовок 411"/>
    <w:link w:val="411"/>
    <w:qFormat/>
    <w:pPr>
      <w:keepNext w:val="true"/>
      <w:keepLines/>
      <w:widowControl w:val="false"/>
      <w:suppressAutoHyphens w:val="true"/>
      <w:bidi w:val="0"/>
      <w:spacing w:before="240" w:after="40"/>
      <w:jc w:val="start"/>
      <w:outlineLvl w:val="3"/>
    </w:pPr>
    <w:rPr>
      <w:rFonts w:ascii="Calibri" w:hAnsi="Calibri" w:eastAsia="Times New Roman" w:cs="Times New Roman" w:asciiTheme="minorHAnsi" w:hAnsiTheme="minorHAnsi"/>
      <w:b/>
      <w:color w:val="000000"/>
      <w:kern w:val="0"/>
      <w:sz w:val="24"/>
      <w:szCs w:val="20"/>
      <w:lang w:val="ru-RU" w:eastAsia="ru-RU" w:bidi="ar-SA"/>
    </w:rPr>
  </w:style>
  <w:style w:type="paragraph" w:styleId="ListLabel2" w:customStyle="1">
    <w:name w:val="ListLabel 2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1114" w:customStyle="1">
    <w:name w:val="Название Знак11"/>
    <w:basedOn w:val="118"/>
    <w:qFormat/>
    <w:pPr/>
    <w:rPr>
      <w:rFonts w:ascii="Calibri Light" w:hAnsi="Calibri Light" w:asciiTheme="majorHAnsi" w:hAnsiTheme="majorHAnsi"/>
      <w:spacing w:val="-10"/>
      <w:sz w:val="56"/>
    </w:rPr>
  </w:style>
  <w:style w:type="paragraph" w:styleId="121" w:customStyle="1">
    <w:name w:val="Обычный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ubtitle">
    <w:name w:val="Subtitle"/>
    <w:basedOn w:val="121"/>
    <w:link w:val="22"/>
    <w:uiPriority w:val="11"/>
    <w:qFormat/>
    <w:pPr>
      <w:keepNext w:val="true"/>
      <w:keepLines/>
      <w:spacing w:before="360" w:after="80"/>
    </w:pPr>
    <w:rPr>
      <w:rFonts w:ascii="Cambria" w:hAnsi="Cambria"/>
    </w:rPr>
  </w:style>
  <w:style w:type="paragraph" w:styleId="BalloonText">
    <w:name w:val="Balloon Text"/>
    <w:basedOn w:val="Normal"/>
    <w:qFormat/>
    <w:pPr/>
    <w:rPr>
      <w:rFonts w:ascii="Segoe UI" w:hAnsi="Segoe UI"/>
      <w:sz w:val="18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ind w:firstLine="709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Label4" w:customStyle="1">
    <w:name w:val="ListLabel 4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6" w:customStyle="1">
    <w:name w:val="ListLabel 6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19" w:customStyle="1">
    <w:name w:val="ListLabel 19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ListLabel26" w:customStyle="1">
    <w:name w:val="ListLabel 26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ListLabel7" w:customStyle="1">
    <w:name w:val="ListLabel 7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1115" w:customStyle="1">
    <w:name w:val="Сильное выделение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i/>
      <w:color w:val="4F81BD"/>
      <w:kern w:val="0"/>
      <w:sz w:val="24"/>
      <w:szCs w:val="20"/>
      <w:lang w:val="ru-RU" w:eastAsia="ru-RU" w:bidi="ar-SA"/>
    </w:rPr>
  </w:style>
  <w:style w:type="paragraph" w:styleId="ListLabel10" w:customStyle="1">
    <w:name w:val="ListLabel 10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user5" w:customStyle="1">
    <w:name w:val="Содержимое врезки (user)"/>
    <w:basedOn w:val="Normal"/>
    <w:qFormat/>
    <w:pPr/>
    <w:rPr/>
  </w:style>
  <w:style w:type="paragraph" w:styleId="CommentText">
    <w:name w:val="annotation text"/>
    <w:basedOn w:val="Normal"/>
    <w:link w:val="Style23"/>
    <w:uiPriority w:val="99"/>
    <w:semiHidden/>
    <w:unhideWhenUsed/>
    <w:pPr/>
    <w:rPr>
      <w:sz w:val="20"/>
    </w:rPr>
  </w:style>
  <w:style w:type="paragraph" w:styleId="Style29">
    <w:name w:val="Содержимое врезки"/>
    <w:basedOn w:val="Normal"/>
    <w:qFormat/>
    <w:pPr/>
    <w:rPr/>
  </w:style>
  <w:style w:type="numbering" w:styleId="Style3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1fc">
    <w:name w:val="Стиль1"/>
    <w:tblPr>
      <w:tblCellMar>
        <w:top w:w="0" w:type="dxa"/>
        <w:left w:w="100" w:type="dxa"/>
        <w:bottom w:w="0" w:type="dxa"/>
        <w:right w:w="115" w:type="dxa"/>
      </w:tblCellMar>
    </w:tblPr>
  </w:style>
  <w:style w:type="table" w:styleId="affd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">
    <w:name w:val="StGen8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0">
    <w:name w:val="StGen10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2">
    <w:name w:val="StGen12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3">
    <w:name w:val="StGen13"/>
    <w:basedOn w:val="a1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0">
    <w:name w:val="StGen0"/>
    <w:basedOn w:val="a1"/>
    <w:semiHidden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">
    <w:name w:val="StGen7"/>
    <w:basedOn w:val="a1"/>
    <w:semiHidden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95BE1-9D33-408C-915C-9895E8B28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LibreOffice/25.8.7.3$Linux_X86_64 LibreOffice_project/30742500f2d3eb4366ac312fa33d3dcabdb3eba5</Application>
  <AppVersion>15.0000</AppVersion>
  <Pages>26</Pages>
  <Words>7819</Words>
  <Characters>54906</Characters>
  <CharactersWithSpaces>61908</CharactersWithSpaces>
  <Paragraphs>777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2026-08-03T04:27:00Z</dcterms:created>
  <dc:creator>POLINA-PC</dc:creator>
  <dc:description/>
  <dc:language>ru-RU</dc:language>
  <cp:lastModifiedBy/>
  <cp:lastPrinted>2026-05-26T04:45:00Z</cp:lastPrinted>
  <dcterms:modified xsi:type="dcterms:W3CDTF">2026-09-11T10:54:03Z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