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footer3.xml" ContentType="application/vnd.openxmlformats-officedocument.wordprocessingml.footer+xml"/>
  <Override PartName="/word/header3.xml" ContentType="application/vnd.openxmlformats-officedocument.wordprocessingml.header+xml"/>
  <Override PartName="/word/media/image9.wmf" ContentType="image/x-wmf"/>
  <Override PartName="/word/media/image19.wmf" ContentType="image/x-wmf"/>
  <Override PartName="/word/media/image8.wmf" ContentType="image/x-wmf"/>
  <Override PartName="/word/media/image18.wmf" ContentType="image/x-wmf"/>
  <Override PartName="/word/media/image20.wmf" ContentType="image/x-wmf"/>
  <Override PartName="/word/media/image7.wmf" ContentType="image/x-wmf"/>
  <Override PartName="/word/media/image6.wmf" ContentType="image/x-wmf"/>
  <Override PartName="/word/media/image16.wmf" ContentType="image/x-wmf"/>
  <Override PartName="/word/media/image17.png" ContentType="image/png"/>
  <Override PartName="/word/media/image4.wmf" ContentType="image/x-wmf"/>
  <Override PartName="/word/media/image14.wmf" ContentType="image/x-wmf"/>
  <Override PartName="/word/media/image11.wmf" ContentType="image/x-wmf"/>
  <Override PartName="/word/media/image13.wmf" ContentType="image/x-wmf"/>
  <Override PartName="/word/media/image3.wmf" ContentType="image/x-wmf"/>
  <Override PartName="/word/media/image12.wmf" ContentType="image/x-wmf"/>
  <Override PartName="/word/media/image2.wmf" ContentType="image/x-wmf"/>
  <Override PartName="/word/media/image1.png" ContentType="image/png"/>
  <Override PartName="/word/media/image10.wmf" ContentType="image/x-wmf"/>
  <Override PartName="/word/media/image5.wmf" ContentType="image/x-wmf"/>
  <Override PartName="/word/media/image15.wmf" ContentType="image/x-wmf"/>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header4.xml" ContentType="application/vnd.openxmlformats-officedocument.wordprocessingml.head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firstLine="709"/>
        <w:jc w:val="right"/>
        <w:rPr>
          <w:b/>
          <w:lang w:val="ru-RU"/>
        </w:rPr>
      </w:pPr>
      <w:r>
        <w:rPr>
          <w:b/>
          <w:lang w:val="ru-RU"/>
        </w:rPr>
      </w:r>
    </w:p>
    <w:p>
      <w:pPr>
        <w:pStyle w:val="Normal"/>
        <w:tabs>
          <w:tab w:val="clear" w:pos="709"/>
          <w:tab w:val="center" w:pos="4818" w:leader="none"/>
          <w:tab w:val="left" w:pos="8340" w:leader="none"/>
        </w:tabs>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Москва </w:t>
      </w:r>
      <w:bookmarkStart w:id="0" w:name="OLE_LINK2"/>
      <w:bookmarkStart w:id="1" w:name="OLE_LINK1"/>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Публичное акционерное общество «Федеральная гидрогенерирующая компания – РусГидро» (ПАО «РусГидро»)</w:t>
      </w:r>
      <w:r>
        <w:rPr>
          <w:sz w:val="24"/>
          <w:szCs w:val="24"/>
          <w:lang w:val="ru-RU"/>
        </w:rPr>
        <w:t xml:space="preserve"> (далее – «Заказчик»), в лице ___________________, действующего на основании ______________, с одной стороны, и </w:t>
      </w:r>
    </w:p>
    <w:p>
      <w:pPr>
        <w:pStyle w:val="BodyText3"/>
        <w:spacing w:before="0" w:after="0"/>
        <w:ind w:firstLine="708"/>
        <w:jc w:val="both"/>
        <w:rPr>
          <w:sz w:val="24"/>
          <w:szCs w:val="24"/>
          <w:lang w:val="ru-RU"/>
        </w:rPr>
      </w:pPr>
      <w:r>
        <w:rPr>
          <w:sz w:val="24"/>
          <w:szCs w:val="24"/>
          <w:lang w:val="ru-RU"/>
        </w:rPr>
        <w:t xml:space="preserve">________________________ (далее – «Исполнитель»), в лице 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Normal"/>
        <w:shd w:val="clear" w:color="auto" w:fill="FFFFFF"/>
        <w:ind w:firstLine="709"/>
        <w:jc w:val="both"/>
        <w:rPr>
          <w:bCs/>
          <w:lang w:val="ru-RU"/>
        </w:rPr>
      </w:pPr>
      <w:r>
        <w:rPr>
          <w:b/>
          <w:lang w:val="ru-RU"/>
        </w:rPr>
        <w:t>«Независимая гарантия»</w:t>
      </w:r>
      <w:r>
        <w:rPr>
          <w:lang w:val="ru-RU"/>
        </w:rPr>
        <w:t xml:space="preserve"> – гарантия, предоставляемая МСП в обеспечение надлежащего исполнения Договоров, заключенных по результатам конкурентной закупки товаров, работ, услуг в электронной форме только среди МСП, отвечающая требованиям, указанным в разделе 5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 </w:t>
      </w: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lang w:val="ru-RU" w:eastAsia="en-US"/>
        </w:rPr>
        <w:t xml:space="preserve"> </w:t>
      </w: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shd w:val="clear" w:color="auto" w:fill="FFFFFF"/>
        <w:tabs>
          <w:tab w:val="left" w:pos="284" w:leader="none"/>
          <w:tab w:val="left" w:pos="709" w:leader="none"/>
        </w:tabs>
        <w:ind w:firstLine="709"/>
        <w:jc w:val="both"/>
        <w:rPr>
          <w:lang w:val="ru-RU" w:eastAsia="en-US"/>
        </w:rPr>
      </w:pPr>
      <w:r>
        <w:rPr>
          <w:b/>
          <w:lang w:val="ru-RU" w:eastAsia="en-US"/>
        </w:rPr>
        <w:t xml:space="preserve">«Этап Услуг» – </w:t>
      </w:r>
      <w:r>
        <w:rPr>
          <w:lang w:val="ru-RU" w:eastAsia="en-US"/>
        </w:rPr>
        <w:t>законченный объем Услуг, предусмотренный Графиком оказания Услуг, который обладает признаками завершенности и позволяет перейти к оказанию следующего этапа Услуг.</w:t>
      </w:r>
    </w:p>
    <w:p>
      <w:pPr>
        <w:pStyle w:val="Normal"/>
        <w:shd w:val="clear" w:color="auto" w:fill="FFFFFF"/>
        <w:tabs>
          <w:tab w:val="left" w:pos="284" w:leader="none"/>
          <w:tab w:val="left" w:pos="709" w:leader="none"/>
        </w:tabs>
        <w:ind w:firstLine="709"/>
        <w:jc w:val="both"/>
        <w:rPr>
          <w:lang w:val="ru-RU" w:eastAsia="en-US"/>
        </w:rPr>
      </w:pPr>
      <w:r>
        <w:rPr>
          <w:lang w:val="ru-RU" w:eastAsia="en-US"/>
        </w:rPr>
        <w:t xml:space="preserve">Этап как обособленная часть Услуг, в отношении которой Сторонами в Графике оказания Услуг согласованы сроки выполнения и требования к результатам, считается выделенным в рамках общего объема Услуг и подлежит отдельной приемке Заказчиком в соответствии с разделом 4 Договора. </w:t>
      </w:r>
    </w:p>
    <w:p>
      <w:pPr>
        <w:pStyle w:val="Normal"/>
        <w:shd w:val="clear" w:color="auto" w:fill="FFFFFF"/>
        <w:tabs>
          <w:tab w:val="left" w:pos="284" w:leader="none"/>
          <w:tab w:val="left" w:pos="709" w:leader="none"/>
        </w:tabs>
        <w:ind w:firstLine="851"/>
        <w:jc w:val="both"/>
        <w:rPr>
          <w:lang w:val="ru-RU" w:eastAsia="en-US"/>
        </w:rPr>
      </w:pPr>
      <w:r>
        <w:rPr>
          <w:lang w:val="ru-RU" w:eastAsia="en-US"/>
        </w:rPr>
      </w:r>
    </w:p>
    <w:p>
      <w:pPr>
        <w:pStyle w:val="Normal"/>
        <w:shd w:val="clear" w:color="auto" w:fill="FFFFFF"/>
        <w:tabs>
          <w:tab w:val="left" w:pos="284" w:leader="none"/>
          <w:tab w:val="left" w:pos="709" w:leader="none"/>
        </w:tabs>
        <w:jc w:val="center"/>
        <w:rPr>
          <w:lang w:val="ru-RU"/>
        </w:rPr>
      </w:pPr>
      <w:r>
        <w:rPr>
          <w:b/>
          <w:lang w:val="ru-RU" w:eastAsia="en-US"/>
        </w:rPr>
        <w:t xml:space="preserve">1. </w:t>
      </w: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________________________________________</w:t>
      </w:r>
      <w:r>
        <w:rPr/>
        <w:t xml:space="preserve"> </w:t>
      </w:r>
      <w:r>
        <w:rPr>
          <w:bCs/>
        </w:rPr>
        <w:t>(далее – «Услуги»)</w:t>
      </w:r>
      <w:r>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w:t>
      </w:r>
      <w:r>
        <w:rPr>
          <w:highlight w:val="lightGray"/>
          <w:lang w:val="ru-RU"/>
        </w:rPr>
        <w:t xml:space="preserve"> ____________________________</w:t>
      </w:r>
      <w:r>
        <w:rPr>
          <w:lang w:val="ru-RU"/>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слуг</w:t>
      </w:r>
      <w:r>
        <w:rPr>
          <w:u w:val="single"/>
        </w:rPr>
        <w:t>:</w:t>
      </w:r>
      <w:r>
        <w:rPr/>
        <w:t xml:space="preserve"> </w:t>
      </w:r>
      <w:r>
        <w:rPr>
          <w:highlight w:val="lightGray"/>
        </w:rPr>
        <w:t>_______________________________________</w:t>
      </w:r>
      <w:r>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Окончание</w:t>
      </w:r>
      <w:r>
        <w:rPr>
          <w:bCs/>
          <w:lang w:val="ru-RU"/>
        </w:rPr>
        <w:t xml:space="preserve"> оказания Услуг:</w:t>
      </w:r>
      <w:r>
        <w:rPr>
          <w:bCs/>
        </w:rPr>
        <w:t xml:space="preserve"> </w:t>
      </w:r>
      <w:r>
        <w:rPr>
          <w:bCs/>
          <w:highlight w:val="lightGray"/>
        </w:rPr>
        <w:t>«___» _________ 20__</w:t>
      </w:r>
      <w:r>
        <w:rPr>
          <w:bCs/>
        </w:rPr>
        <w:t xml:space="preserve"> г.</w:t>
      </w:r>
    </w:p>
    <w:p>
      <w:pPr>
        <w:pStyle w:val="Normal"/>
        <w:widowControl w:val="false"/>
        <w:numPr>
          <w:ilvl w:val="1"/>
          <w:numId w:val="3"/>
        </w:numPr>
        <w:shd w:val="clear" w:color="auto" w:fill="FFFFFF"/>
        <w:tabs>
          <w:tab w:val="clear" w:pos="709"/>
          <w:tab w:val="left" w:pos="1134" w:leader="none"/>
        </w:tabs>
        <w:ind w:left="0" w:firstLine="709"/>
        <w:jc w:val="both"/>
        <w:rPr>
          <w:bCs/>
          <w:lang w:val="ru-RU"/>
        </w:rPr>
      </w:pPr>
      <w:r>
        <w:rPr>
          <w:bCs/>
          <w:lang w:val="ru-RU"/>
        </w:rPr>
        <w:t xml:space="preserve">Оказание Услуг осуществляется поэтапно. Сроки оказания отдельных Этапов Услуг определяются Графиком оказания Услуг (Приложение № 2 к Договору) в рамках общих сроков, указанных в пункте 1.5 Договора. </w:t>
      </w:r>
    </w:p>
    <w:p>
      <w:pPr>
        <w:pStyle w:val="Normal"/>
        <w:widowControl w:val="false"/>
        <w:shd w:val="clear" w:color="auto" w:fill="FFFFFF"/>
        <w:tabs>
          <w:tab w:val="clear" w:pos="709"/>
          <w:tab w:val="left" w:pos="1134" w:leader="none"/>
        </w:tabs>
        <w:ind w:left="4260" w:hanging="0"/>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ind w:left="0" w:firstLine="709"/>
        <w:jc w:val="both"/>
        <w:rPr/>
      </w:pPr>
      <w: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shd w:val="clear" w:color="auto" w:fill="FFFFFF"/>
        <w:tabs>
          <w:tab w:val="clear" w:pos="709"/>
          <w:tab w:val="left" w:pos="1418" w:leader="none"/>
        </w:tabs>
        <w:ind w:left="0" w:firstLine="709"/>
        <w:jc w:val="both"/>
        <w:rPr>
          <w:highlight w:val="lightGray"/>
        </w:rPr>
      </w:pPr>
      <w:r>
        <w:rPr>
          <w:highlight w:val="lightGray"/>
        </w:rPr>
        <w:t xml:space="preserve">Указанная документация и информация предоставляются Заказчиком Исполнителю не позднее ___ (________) рабочих дней с момента получения соответствующего запроса Исполнителя </w:t>
      </w:r>
      <w:bookmarkStart w:id="2" w:name="_Ref361320734"/>
      <w:r>
        <w:rPr>
          <w:highlight w:val="lightGray"/>
        </w:rPr>
        <w:t>по Акту сдачи-приемки технической и иной документации (Приложение № 4 к Договору).</w:t>
      </w:r>
      <w:bookmarkEnd w:id="2"/>
    </w:p>
    <w:p>
      <w:pPr>
        <w:pStyle w:val="ListParagraph"/>
        <w:numPr>
          <w:ilvl w:val="2"/>
          <w:numId w:val="3"/>
        </w:numPr>
        <w:shd w:val="clear" w:color="auto" w:fill="FFFFFF"/>
        <w:tabs>
          <w:tab w:val="clear" w:pos="709"/>
          <w:tab w:val="left" w:pos="1418" w:leader="none"/>
        </w:tabs>
        <w:ind w:left="0" w:firstLine="709"/>
        <w:jc w:val="both"/>
        <w:rPr/>
      </w:pPr>
      <w: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3"/>
        </w:numPr>
        <w:ind w:left="0" w:firstLine="709"/>
        <w:jc w:val="both"/>
        <w:rPr/>
      </w:pPr>
      <w: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3" w:name="_Ref361334602"/>
      <w:r>
        <w:rPr>
          <w:bCs/>
        </w:rPr>
        <w:t xml:space="preserve">В любое время осуществлять контроль и надзор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3"/>
    </w:p>
    <w:p>
      <w:pPr>
        <w:pStyle w:val="ListParagraph"/>
        <w:numPr>
          <w:ilvl w:val="2"/>
          <w:numId w:val="13"/>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Pr/>
        <w:t>, установленных Договором, и не влечет возникновения права Исполнителя на их оплату.</w:t>
      </w:r>
    </w:p>
    <w:p>
      <w:pPr>
        <w:pStyle w:val="ListParagraph"/>
        <w:numPr>
          <w:ilvl w:val="2"/>
          <w:numId w:val="13"/>
        </w:numPr>
        <w:shd w:val="clear" w:color="auto" w:fill="FFFFFF"/>
        <w:tabs>
          <w:tab w:val="clear" w:pos="709"/>
          <w:tab w:val="left" w:pos="1418" w:leader="none"/>
        </w:tabs>
        <w:ind w:left="0" w:firstLine="709"/>
        <w:jc w:val="both"/>
        <w:rPr>
          <w:highlight w:val="lightGray"/>
        </w:rPr>
      </w:pPr>
      <w:r>
        <w:rPr>
          <w:highlight w:val="lightGray"/>
        </w:rPr>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и пожарной безопасности на период до принятия совместного решения Сторон о возобновлении допуска.</w:t>
      </w:r>
      <w:bookmarkEnd w:id="4"/>
    </w:p>
    <w:p>
      <w:pPr>
        <w:pStyle w:val="ListParagraph"/>
        <w:numPr>
          <w:ilvl w:val="2"/>
          <w:numId w:val="13"/>
        </w:numPr>
        <w:shd w:val="clear" w:color="auto" w:fill="FFFFFF"/>
        <w:tabs>
          <w:tab w:val="clear" w:pos="709"/>
          <w:tab w:val="left" w:pos="1418" w:leader="none"/>
        </w:tabs>
        <w:ind w:left="0" w:firstLine="709"/>
        <w:jc w:val="both"/>
        <w:rPr/>
      </w:pPr>
      <w:bookmarkStart w:id="5" w:name="_Ref361319348"/>
      <w:r>
        <w:rP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rPr/>
        <w:t xml:space="preserve"> </w:t>
      </w:r>
    </w:p>
    <w:p>
      <w:pPr>
        <w:pStyle w:val="Normal"/>
        <w:numPr>
          <w:ilvl w:val="2"/>
          <w:numId w:val="13"/>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3"/>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3"/>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shd w:val="clear" w:color="auto" w:fill="FFFFFF"/>
        <w:tabs>
          <w:tab w:val="clear" w:pos="709"/>
          <w:tab w:val="left" w:pos="1418" w:leader="none"/>
        </w:tabs>
        <w:ind w:left="0" w:firstLine="709"/>
        <w:jc w:val="both"/>
        <w:rPr/>
      </w:pPr>
      <w:r>
        <w:rPr/>
        <w:t>2.3.1. 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3"/>
        </w:numPr>
        <w:shd w:val="clear" w:color="auto" w:fill="FFFFFF"/>
        <w:tabs>
          <w:tab w:val="clear" w:pos="709"/>
          <w:tab w:val="left" w:pos="1418" w:leader="none"/>
        </w:tabs>
        <w:ind w:left="0" w:firstLine="709"/>
        <w:jc w:val="both"/>
        <w:rPr>
          <w:highlight w:val="lightGray"/>
        </w:rPr>
      </w:pPr>
      <w:r>
        <w:rPr>
          <w:bCs/>
          <w:highlight w:val="lightGray"/>
        </w:rPr>
        <w:t xml:space="preserve">В срок, указанный в пункте 2.1.2 Договора, принять от Заказчика на время оказания Услуг по Договору </w:t>
      </w:r>
      <w:r>
        <w:rPr>
          <w:highlight w:val="lightGray"/>
        </w:rPr>
        <w:t>техническую и иную документацию, имеющуюся в наличии у Заказчика в наличии и необходимую Исполнителю для выполнения обязательств по Договору, по Акту сдачи-приемки технической и иной документации (Приложение № 4 к Договору).</w:t>
      </w:r>
    </w:p>
    <w:p>
      <w:pPr>
        <w:pStyle w:val="ListParagraph"/>
        <w:numPr>
          <w:ilvl w:val="2"/>
          <w:numId w:val="13"/>
        </w:numPr>
        <w:shd w:val="clear" w:color="auto" w:fill="FFFFFF"/>
        <w:tabs>
          <w:tab w:val="clear" w:pos="709"/>
          <w:tab w:val="left" w:pos="1418" w:leader="none"/>
        </w:tabs>
        <w:ind w:left="0" w:firstLine="709"/>
        <w:jc w:val="both"/>
        <w:rPr>
          <w:highlight w:val="lightGray"/>
        </w:rPr>
      </w:pPr>
      <w:r>
        <w:rPr>
          <w:highlight w:val="lightGray"/>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pPr>
        <w:pStyle w:val="ListParagraph"/>
        <w:numPr>
          <w:ilvl w:val="2"/>
          <w:numId w:val="13"/>
        </w:numPr>
        <w:shd w:val="clear" w:color="auto" w:fill="FFFFFF"/>
        <w:tabs>
          <w:tab w:val="clear" w:pos="709"/>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14"/>
        </w:numPr>
        <w:shd w:val="clear" w:color="auto" w:fill="FFFFFF"/>
        <w:tabs>
          <w:tab w:val="clear" w:pos="709"/>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4"/>
        </w:numPr>
        <w:shd w:val="clear" w:color="auto" w:fill="FFFFFF"/>
        <w:tabs>
          <w:tab w:val="clear" w:pos="709"/>
          <w:tab w:val="left" w:pos="1134" w:leader="none"/>
          <w:tab w:val="left" w:pos="1276" w:leader="none"/>
        </w:tabs>
        <w:ind w:left="0" w:firstLine="709"/>
        <w:jc w:val="both"/>
        <w:rPr>
          <w:bCs/>
        </w:rPr>
      </w:pPr>
      <w:r>
        <w:rPr>
          <w:bCs/>
        </w:rPr>
        <w:t>контакты и должность представителя Исполнителя, ответственного за соблюдение норм и правил в области охраны труда, пожарной безопасности</w:t>
      </w:r>
      <w:r>
        <w:rPr/>
        <w:t xml:space="preserve"> </w:t>
      </w:r>
      <w:r>
        <w:rPr>
          <w:bCs/>
        </w:rPr>
        <w:t xml:space="preserve">в месте оказания Услуг. </w:t>
      </w:r>
    </w:p>
    <w:p>
      <w:pPr>
        <w:pStyle w:val="ListParagraph"/>
        <w:shd w:val="clear" w:color="auto" w:fill="FFFFFF"/>
        <w:tabs>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3"/>
        </w:numPr>
        <w:shd w:val="clear" w:color="auto" w:fill="FFFFFF"/>
        <w:tabs>
          <w:tab w:val="clear" w:pos="709"/>
          <w:tab w:val="left" w:pos="1418" w:leader="none"/>
        </w:tabs>
        <w:ind w:left="0" w:firstLine="709"/>
        <w:jc w:val="both"/>
        <w:rPr>
          <w:highlight w:val="lightGray"/>
        </w:rPr>
      </w:pPr>
      <w:r>
        <w:rPr>
          <w:highlight w:val="lightGray"/>
        </w:rPr>
        <w:t xml:space="preserve">Обеспечить сохранность документации, переданной Заказчиком по соответствующему Акту (-ам) сдачи-приемки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highlight w:val="lightGray"/>
        </w:rPr>
        <w:t>разделе 14 Договора</w:t>
      </w:r>
      <w:r>
        <w:rPr>
          <w:highlight w:val="lightGray"/>
        </w:rPr>
        <w:t>, – не позднее 3 (трех) рабочих дней с даты получения соответствующего требования Заказчика.</w:t>
      </w:r>
    </w:p>
    <w:p>
      <w:pPr>
        <w:pStyle w:val="ListParagraph"/>
        <w:numPr>
          <w:ilvl w:val="2"/>
          <w:numId w:val="13"/>
        </w:numPr>
        <w:shd w:val="clear" w:color="auto" w:fill="FFFFFF"/>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3"/>
        </w:numPr>
        <w:shd w:val="clear" w:color="auto" w:fill="FFFFFF"/>
        <w:tabs>
          <w:tab w:val="clear" w:pos="709"/>
          <w:tab w:val="left" w:pos="1418" w:leader="none"/>
        </w:tabs>
        <w:ind w:left="0" w:firstLine="709"/>
        <w:jc w:val="both"/>
        <w:rPr>
          <w:highlight w:val="lightGray"/>
        </w:rPr>
      </w:pPr>
      <w:r>
        <w:rPr>
          <w:highlight w:val="lightGray"/>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11.1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13"/>
        </w:numPr>
        <w:shd w:val="clear" w:color="auto" w:fill="FFFFFF"/>
        <w:tabs>
          <w:tab w:val="clear" w:pos="709"/>
          <w:tab w:val="left" w:pos="1418" w:leader="none"/>
        </w:tabs>
        <w:ind w:left="0" w:firstLine="709"/>
        <w:jc w:val="both"/>
        <w:rPr>
          <w:highlight w:val="lightGray"/>
        </w:rPr>
      </w:pPr>
      <w:r>
        <w:rPr>
          <w:highlight w:val="lightGray"/>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3"/>
        </w:numPr>
        <w:shd w:val="clear" w:color="auto" w:fill="FFFFFF"/>
        <w:tabs>
          <w:tab w:val="clear" w:pos="709"/>
          <w:tab w:val="left" w:pos="1418" w:leader="none"/>
        </w:tabs>
        <w:ind w:left="0" w:firstLine="709"/>
        <w:jc w:val="both"/>
        <w:rPr>
          <w:highlight w:val="lightGray"/>
        </w:rPr>
      </w:pPr>
      <w:r>
        <w:rPr>
          <w:highlight w:val="lightGray"/>
        </w:rPr>
        <w:t xml:space="preserve">Провести инструктаж персонала, задействованного при оказании Услуг и обеспечить </w:t>
      </w:r>
      <w:r>
        <w:rPr>
          <w:bCs/>
          <w:highlight w:val="lightGray"/>
        </w:rPr>
        <w:t xml:space="preserve">соблюдение (в том числе указанным персоналом) </w:t>
      </w:r>
      <w:r>
        <w:rPr>
          <w:highlight w:val="lightGray"/>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3"/>
        </w:numPr>
        <w:shd w:val="clear" w:color="auto" w:fill="FFFFFF"/>
        <w:tabs>
          <w:tab w:val="clear" w:pos="709"/>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3"/>
        </w:numPr>
        <w:shd w:val="clear" w:color="auto" w:fill="FFFFFF"/>
        <w:tabs>
          <w:tab w:val="clear" w:pos="709"/>
          <w:tab w:val="left" w:pos="1418" w:leader="none"/>
        </w:tabs>
        <w:ind w:left="0" w:firstLine="709"/>
        <w:jc w:val="both"/>
        <w:rPr>
          <w:highlight w:val="lightGray"/>
        </w:rPr>
      </w:pPr>
      <w:r>
        <w:rPr>
          <w:highlight w:val="lightGray"/>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3"/>
        </w:numPr>
        <w:ind w:left="0" w:firstLine="709"/>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2.3.13.1 Договора. </w:t>
      </w:r>
    </w:p>
    <w:p>
      <w:pPr>
        <w:pStyle w:val="ListParagraph"/>
        <w:numPr>
          <w:ilvl w:val="2"/>
          <w:numId w:val="13"/>
        </w:numPr>
        <w:shd w:val="clear" w:color="auto" w:fill="FFFFFF"/>
        <w:tabs>
          <w:tab w:val="clear" w:pos="709"/>
          <w:tab w:val="left" w:pos="1418" w:leader="none"/>
        </w:tabs>
        <w:ind w:left="0" w:firstLine="709"/>
        <w:jc w:val="both"/>
        <w:rPr/>
      </w:pPr>
      <w:bookmarkStart w:id="6"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6"/>
    </w:p>
    <w:p>
      <w:pPr>
        <w:pStyle w:val="ListParagraph"/>
        <w:numPr>
          <w:ilvl w:val="3"/>
          <w:numId w:val="13"/>
        </w:numPr>
        <w:shd w:val="clear" w:color="auto" w:fill="FFFFFF"/>
        <w:tabs>
          <w:tab w:val="clear" w:pos="709"/>
          <w:tab w:val="left" w:pos="1701" w:leader="none"/>
        </w:tabs>
        <w:ind w:left="0" w:firstLine="709"/>
        <w:jc w:val="both"/>
        <w:rPr/>
      </w:pPr>
      <w:bookmarkStart w:id="7"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7"/>
      <w:r>
        <w:rPr/>
        <w:t xml:space="preserve"> </w:t>
      </w:r>
    </w:p>
    <w:p>
      <w:pPr>
        <w:pStyle w:val="ListParagraph"/>
        <w:numPr>
          <w:ilvl w:val="3"/>
          <w:numId w:val="13"/>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3"/>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3"/>
        </w:numPr>
        <w:shd w:val="clear" w:color="auto" w:fill="FFFFFF"/>
        <w:tabs>
          <w:tab w:val="clear" w:pos="709"/>
          <w:tab w:val="left" w:pos="1418" w:leader="none"/>
        </w:tabs>
        <w:ind w:left="0" w:firstLine="709"/>
        <w:jc w:val="both"/>
        <w:rPr/>
      </w:pPr>
      <w:r>
        <w:rPr/>
        <w:t>Предоставить Заказчику Независимые гарантии в соответствии с разделом 5 Договора.</w:t>
      </w:r>
    </w:p>
    <w:p>
      <w:pPr>
        <w:pStyle w:val="ListParagraph"/>
        <w:numPr>
          <w:ilvl w:val="2"/>
          <w:numId w:val="13"/>
        </w:numPr>
        <w:shd w:val="clear" w:color="auto" w:fill="FFFFFF"/>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3"/>
        </w:numPr>
        <w:shd w:val="clear" w:color="auto" w:fill="FFFFFF"/>
        <w:tabs>
          <w:tab w:val="clear" w:pos="709"/>
          <w:tab w:val="left" w:pos="1418" w:leader="none"/>
        </w:tabs>
        <w:ind w:left="0" w:firstLine="709"/>
        <w:jc w:val="both"/>
        <w:rPr>
          <w:bCs/>
        </w:rPr>
      </w:pPr>
      <w: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w:t>
      </w:r>
      <w:r>
        <w:rPr/>
        <w:t xml:space="preserve"> </w:t>
      </w:r>
      <w:r>
        <w:rPr>
          <w:highlight w:val="lightGray"/>
        </w:rPr>
        <w:t>привлеченными им Субисполнителями</w:t>
      </w:r>
      <w:r>
        <w:rPr/>
        <w:t xml:space="preserve">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13"/>
        </w:numPr>
        <w:shd w:val="clear" w:color="auto" w:fill="FFFFFF"/>
        <w:tabs>
          <w:tab w:val="clear" w:pos="709"/>
          <w:tab w:val="left" w:pos="1418" w:leader="none"/>
        </w:tabs>
        <w:ind w:left="0" w:firstLine="709"/>
        <w:jc w:val="both"/>
        <w:rPr>
          <w:bCs/>
        </w:rPr>
      </w:pPr>
      <w:r>
        <w:rPr/>
        <w:t xml:space="preserve"> </w:t>
      </w: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3"/>
        </w:numPr>
        <w:shd w:val="clear" w:color="auto" w:fill="FFFFFF"/>
        <w:tabs>
          <w:tab w:val="clear" w:pos="709"/>
          <w:tab w:val="left" w:pos="1418" w:leader="none"/>
        </w:tabs>
        <w:ind w:left="0" w:firstLine="709"/>
        <w:jc w:val="both"/>
        <w:rPr>
          <w:bCs/>
        </w:rPr>
      </w:pPr>
      <w:r>
        <w:rPr>
          <w:highlight w:val="lightGray"/>
        </w:rPr>
        <w:t>Назначить лиц, ответственных за обращение с опасными отходами. В случае необходимости производства работ по обращению с отходами I-IV класса опасности иметь право производства соответствующих работ или привлекать третьих лиц, имеющих право производства соответствующих работ, а также предоставить Заказчику в течение 3 (трех) рабочих дней с даты вступления Договора в силу копию лицензии на деятельность по сбору, использованию, обезвреживанию, транспортированию и размещению отходов I-IV класса опасности. Допускать к обращению с отходами I-IV класса опасности только лиц, имеющих профессиональную подготовку, подтвержденную свидетельствами (сертификатами) на право работ с отходами I-IV класса опасности, а также предоставить Заказчику в течение 5 (пяти) рабочих дней с даты вступления Договора в силу копии указанных свидетельств (сертификатов).</w:t>
      </w:r>
    </w:p>
    <w:p>
      <w:pPr>
        <w:pStyle w:val="ListParagraph"/>
        <w:numPr>
          <w:ilvl w:val="2"/>
          <w:numId w:val="17"/>
        </w:numPr>
        <w:shd w:val="clear" w:color="auto" w:fill="FFFFFF"/>
        <w:tabs>
          <w:tab w:val="clear" w:pos="709"/>
          <w:tab w:val="left" w:pos="851" w:leader="none"/>
          <w:tab w:val="left" w:pos="1418" w:leader="none"/>
        </w:tabs>
        <w:ind w:left="0" w:firstLine="709"/>
        <w:jc w:val="both"/>
        <w:rPr>
          <w:highlight w:val="lightGray"/>
        </w:rPr>
      </w:pPr>
      <w:r>
        <w:rPr>
          <w:highlight w:val="lightGray"/>
        </w:rPr>
        <w:t>Оказывать Заказчику содействие в проведении расследований по случаям захламления земель отходами, загрязнения земель, превышения установленных нормативов сброса и выброса веществ и микроорганизмов в окружающую среду; выделять по требованию Заказчика представителей для совместного расследования случаев нарушения природоохранного законодательства, санитарных норм и правил; представлять Заказчику необходимые документы, материалы и давать объяснения при расследовании вышеуказанных случаев.</w:t>
      </w:r>
    </w:p>
    <w:p>
      <w:pPr>
        <w:pStyle w:val="ListParagraph"/>
        <w:numPr>
          <w:ilvl w:val="2"/>
          <w:numId w:val="17"/>
        </w:numPr>
        <w:shd w:val="clear" w:color="auto" w:fill="FFFFFF"/>
        <w:tabs>
          <w:tab w:val="clear" w:pos="709"/>
          <w:tab w:val="left" w:pos="851" w:leader="none"/>
          <w:tab w:val="left" w:pos="1418" w:leader="none"/>
        </w:tabs>
        <w:ind w:left="0" w:firstLine="709"/>
        <w:jc w:val="both"/>
        <w:rPr>
          <w:bCs/>
        </w:rPr>
      </w:pPr>
      <w:r>
        <w:rPr/>
        <w:t>Письменно</w:t>
      </w:r>
      <w:r>
        <w:rPr>
          <w:bCs/>
        </w:rPr>
        <w:t xml:space="preserve">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5"/>
        </w:numPr>
        <w:tabs>
          <w:tab w:val="clear" w:pos="709"/>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5"/>
        </w:numPr>
        <w:tabs>
          <w:tab w:val="clear" w:pos="709"/>
          <w:tab w:val="left" w:pos="1134" w:leader="none"/>
          <w:tab w:val="left" w:pos="1276" w:leader="none"/>
        </w:tabs>
        <w:ind w:left="0"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5"/>
        </w:numPr>
        <w:tabs>
          <w:tab w:val="clear" w:pos="709"/>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5"/>
        </w:numPr>
        <w:tabs>
          <w:tab w:val="clear" w:pos="709"/>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bookmarkStart w:id="8" w:name="_GoBack"/>
      <w:bookmarkEnd w:id="8"/>
    </w:p>
    <w:p>
      <w:pPr>
        <w:pStyle w:val="ListParagraph"/>
        <w:numPr>
          <w:ilvl w:val="2"/>
          <w:numId w:val="17"/>
        </w:numPr>
        <w:shd w:val="clear" w:color="auto" w:fill="FFFFFF"/>
        <w:tabs>
          <w:tab w:val="clear" w:pos="709"/>
          <w:tab w:val="left" w:pos="1418" w:leader="none"/>
        </w:tabs>
        <w:ind w:left="0" w:firstLine="709"/>
        <w:jc w:val="both"/>
        <w:rPr/>
      </w:pPr>
      <w:r>
        <w:rPr/>
        <w:t xml:space="preserve">Исполнять другие обязанности в соответствии с Договором и законодательством Российской Федерации. </w:t>
      </w:r>
    </w:p>
    <w:p>
      <w:pPr>
        <w:pStyle w:val="Style19"/>
        <w:tabs>
          <w:tab w:val="clear" w:pos="360"/>
        </w:tabs>
        <w:rPr>
          <w:rFonts w:ascii="Times New Roman" w:hAnsi="Times New Roman"/>
          <w:sz w:val="24"/>
          <w:szCs w:val="24"/>
        </w:rPr>
      </w:pPr>
      <w:r>
        <w:rPr>
          <w:rFonts w:ascii="Times New Roman" w:hAnsi="Times New Roman"/>
          <w:sz w:val="24"/>
          <w:szCs w:val="24"/>
        </w:rPr>
      </w:r>
    </w:p>
    <w:p>
      <w:pPr>
        <w:pStyle w:val="ListParagraph"/>
        <w:numPr>
          <w:ilvl w:val="1"/>
          <w:numId w:val="17"/>
        </w:numPr>
        <w:shd w:val="clear" w:color="auto" w:fill="FFFFFF"/>
        <w:tabs>
          <w:tab w:val="clear" w:pos="709"/>
          <w:tab w:val="left" w:pos="1134" w:leader="none"/>
        </w:tabs>
        <w:ind w:left="0" w:firstLine="709"/>
        <w:jc w:val="both"/>
        <w:rPr>
          <w:bCs/>
        </w:rPr>
      </w:pPr>
      <w:r>
        <w:rPr>
          <w:bCs/>
          <w:u w:val="single"/>
        </w:rPr>
        <w:t>Исполнитель имеет право</w:t>
      </w:r>
      <w:r>
        <w:rPr>
          <w:bCs/>
        </w:rPr>
        <w:t>:</w:t>
      </w:r>
    </w:p>
    <w:p>
      <w:pPr>
        <w:pStyle w:val="ListParagraph"/>
        <w:numPr>
          <w:ilvl w:val="2"/>
          <w:numId w:val="19"/>
        </w:numPr>
        <w:shd w:val="clear" w:color="auto" w:fill="FFFFFF"/>
        <w:tabs>
          <w:tab w:val="clear" w:pos="709"/>
          <w:tab w:val="left" w:pos="1418" w:leader="none"/>
        </w:tabs>
        <w:ind w:left="0" w:firstLine="709"/>
        <w:jc w:val="both"/>
        <w:rPr>
          <w:bCs/>
        </w:rPr>
      </w:pPr>
      <w:r>
        <w:rPr>
          <w:bCs/>
        </w:rPr>
        <w:t>Самостоятельно организовать оказание Услуг.</w:t>
      </w:r>
    </w:p>
    <w:p>
      <w:pPr>
        <w:pStyle w:val="ListParagraph"/>
        <w:numPr>
          <w:ilvl w:val="2"/>
          <w:numId w:val="19"/>
        </w:numPr>
        <w:shd w:val="clear" w:color="auto" w:fill="FFFFFF"/>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9"/>
        </w:numPr>
        <w:shd w:val="clear" w:color="auto" w:fill="FFFFFF"/>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r>
        <w:rPr>
          <w:bCs/>
          <w:highlight w:val="lightGray"/>
        </w:rPr>
        <w:t xml:space="preserve"> </w:t>
      </w:r>
    </w:p>
    <w:p>
      <w:pPr>
        <w:pStyle w:val="ListParagraph"/>
        <w:numPr>
          <w:ilvl w:val="2"/>
          <w:numId w:val="19"/>
        </w:numPr>
        <w:shd w:val="clear" w:color="auto" w:fill="FFFFFF"/>
        <w:tabs>
          <w:tab w:val="clear" w:pos="709"/>
          <w:tab w:val="left" w:pos="1418" w:leader="none"/>
        </w:tabs>
        <w:ind w:left="0" w:firstLine="709"/>
        <w:jc w:val="both"/>
        <w:rPr>
          <w:bCs/>
        </w:rPr>
      </w:pPr>
      <w:r>
        <w:rPr>
          <w:bCs/>
          <w:highlight w:val="lightGray"/>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__ (_______) процентов от Цены Договора, неся при этом ответственность за действия Субисполнителей, как за свои собственные. </w:t>
      </w:r>
    </w:p>
    <w:p>
      <w:pPr>
        <w:pStyle w:val="ListParagraph"/>
        <w:shd w:val="clear" w:color="auto" w:fill="FFFFFF"/>
        <w:tabs>
          <w:tab w:val="clear" w:pos="709"/>
          <w:tab w:val="left" w:pos="1418" w:leader="none"/>
        </w:tabs>
        <w:ind w:left="0" w:firstLine="709"/>
        <w:jc w:val="both"/>
        <w:rPr>
          <w:bCs/>
          <w:highlight w:val="lightGray"/>
        </w:rPr>
      </w:pPr>
      <w:r>
        <w:rPr>
          <w:bCs/>
          <w:highlight w:val="lightGray"/>
        </w:rPr>
        <w:t xml:space="preserve">При согласовании привлечения Субисполнителя Исполнитель представляет Заказчику: </w:t>
      </w:r>
    </w:p>
    <w:p>
      <w:pPr>
        <w:pStyle w:val="ListParagraph"/>
        <w:numPr>
          <w:ilvl w:val="0"/>
          <w:numId w:val="6"/>
        </w:numPr>
        <w:shd w:val="clear" w:color="auto" w:fill="FFFFFF"/>
        <w:tabs>
          <w:tab w:val="left" w:pos="709" w:leader="none"/>
          <w:tab w:val="left" w:pos="1134" w:leader="none"/>
        </w:tabs>
        <w:ind w:left="0" w:firstLine="709"/>
        <w:jc w:val="both"/>
        <w:rPr>
          <w:bCs/>
          <w:highlight w:val="lightGray"/>
        </w:rPr>
      </w:pPr>
      <w:r>
        <w:rPr>
          <w:bCs/>
          <w:highlight w:val="lightGray"/>
        </w:rPr>
        <w:t xml:space="preserve">проект договора с Субисполнителем; </w:t>
      </w:r>
    </w:p>
    <w:p>
      <w:pPr>
        <w:pStyle w:val="ListParagraph"/>
        <w:numPr>
          <w:ilvl w:val="0"/>
          <w:numId w:val="6"/>
        </w:numPr>
        <w:shd w:val="clear" w:color="auto" w:fill="FFFFFF"/>
        <w:tabs>
          <w:tab w:val="left" w:pos="709" w:leader="none"/>
          <w:tab w:val="left" w:pos="1134" w:leader="none"/>
        </w:tabs>
        <w:ind w:left="0" w:firstLine="709"/>
        <w:jc w:val="both"/>
        <w:rPr>
          <w:bCs/>
          <w:highlight w:val="lightGray"/>
        </w:rPr>
      </w:pPr>
      <w:r>
        <w:rPr>
          <w:bCs/>
          <w:highlight w:val="lightGray"/>
        </w:rPr>
        <w:t xml:space="preserve">сведения об объемах оказания услуг Субисполнителем; </w:t>
      </w:r>
    </w:p>
    <w:p>
      <w:pPr>
        <w:pStyle w:val="ListParagraph"/>
        <w:numPr>
          <w:ilvl w:val="0"/>
          <w:numId w:val="6"/>
        </w:numPr>
        <w:shd w:val="clear" w:color="auto" w:fill="FFFFFF"/>
        <w:tabs>
          <w:tab w:val="left" w:pos="709" w:leader="none"/>
          <w:tab w:val="left" w:pos="1134" w:leader="none"/>
        </w:tabs>
        <w:ind w:left="0" w:firstLine="709"/>
        <w:jc w:val="both"/>
        <w:rPr>
          <w:bCs/>
          <w:highlight w:val="lightGray"/>
        </w:rPr>
      </w:pPr>
      <w:r>
        <w:rPr>
          <w:bCs/>
          <w:highlight w:val="lightGray"/>
        </w:rPr>
        <w:t xml:space="preserve">пофамильный перечень персонала Субисполнителя, который будет задействован при оказании Услуг; </w:t>
      </w:r>
    </w:p>
    <w:p>
      <w:pPr>
        <w:pStyle w:val="ListParagraph"/>
        <w:numPr>
          <w:ilvl w:val="0"/>
          <w:numId w:val="6"/>
        </w:numPr>
        <w:shd w:val="clear" w:color="auto" w:fill="FFFFFF"/>
        <w:tabs>
          <w:tab w:val="left" w:pos="709" w:leader="none"/>
          <w:tab w:val="left" w:pos="1134" w:leader="none"/>
        </w:tabs>
        <w:ind w:left="0" w:firstLine="709"/>
        <w:jc w:val="both"/>
        <w:rPr>
          <w:bCs/>
          <w:highlight w:val="lightGray"/>
        </w:rPr>
      </w:pPr>
      <w:r>
        <w:rPr>
          <w:bCs/>
          <w:highlight w:val="lightGray"/>
        </w:rPr>
        <w:t xml:space="preserve">копии документов, подтверждающих наличие у Субисполнителя и его персонала допусков, разрешений и лицензий, необходимых для оказания Услуг. </w:t>
      </w:r>
    </w:p>
    <w:p>
      <w:pPr>
        <w:pStyle w:val="Normal"/>
        <w:shd w:val="clear" w:color="auto" w:fill="FFFFFF"/>
        <w:tabs>
          <w:tab w:val="left" w:pos="709" w:leader="none"/>
          <w:tab w:val="left" w:pos="1134" w:leader="none"/>
        </w:tabs>
        <w:jc w:val="both"/>
        <w:rPr>
          <w:bCs/>
          <w:highlight w:val="lightGray"/>
          <w:lang w:val="ru-RU"/>
        </w:rPr>
      </w:pPr>
      <w:r>
        <w:rPr>
          <w:bCs/>
          <w:highlight w:val="lightGray"/>
          <w:lang w:val="ru-RU"/>
        </w:rPr>
      </w:r>
    </w:p>
    <w:p>
      <w:pPr>
        <w:pStyle w:val="ListParagraph"/>
        <w:numPr>
          <w:ilvl w:val="0"/>
          <w:numId w:val="19"/>
        </w:numPr>
        <w:shd w:val="clear" w:color="auto" w:fill="FFFFFF"/>
        <w:tabs>
          <w:tab w:val="clear" w:pos="709"/>
          <w:tab w:val="left" w:pos="284" w:leader="none"/>
        </w:tabs>
        <w:ind w:left="0" w:hanging="0"/>
        <w:jc w:val="center"/>
        <w:rPr>
          <w:b/>
        </w:rPr>
      </w:pPr>
      <w:r>
        <w:rPr>
          <w:b/>
        </w:rPr>
        <w:t>Цена Договора и порядок расчетов</w:t>
      </w:r>
    </w:p>
    <w:p>
      <w:pPr>
        <w:pStyle w:val="ListParagraph"/>
        <w:shd w:val="clear" w:color="auto" w:fill="FFFFFF"/>
        <w:tabs>
          <w:tab w:val="clear" w:pos="709"/>
          <w:tab w:val="left" w:pos="1134" w:leader="none"/>
        </w:tabs>
        <w:ind w:left="0" w:firstLine="709"/>
        <w:jc w:val="both"/>
        <w:rPr/>
      </w:pPr>
      <w:r>
        <w:rPr/>
        <w:t xml:space="preserve">3.1. Цена Договора в соответствии со </w:t>
      </w:r>
      <w:r>
        <w:rPr>
          <w:highlight w:val="lightGray"/>
        </w:rPr>
        <w:t>Сводным расчетом стоимости Услуг с приложениями / Расчетом стоимости услуг</w:t>
      </w:r>
      <w:r>
        <w:rPr/>
        <w:t xml:space="preserve"> (Приложение № 3 к Договору) </w:t>
      </w:r>
      <w:r>
        <w:rPr>
          <w:bCs/>
        </w:rPr>
        <w:t>является</w:t>
      </w:r>
      <w:r>
        <w:rPr>
          <w:bCs/>
          <w:highlight w:val="lightGray"/>
        </w:rPr>
        <w:t xml:space="preserve"> предельной / твердой</w:t>
      </w:r>
      <w:r>
        <w:rPr/>
        <w:t xml:space="preserve"> и составляет __________ (_________________) рублей ___ копеек </w:t>
      </w:r>
      <w:r>
        <w:rPr>
          <w:bCs/>
        </w:rPr>
        <w:t>без учета НДС, при этом НДС исчисляется дополнительно по ставке, установленной статьей 164 Налогового кодекса РФ</w:t>
      </w:r>
      <w:r>
        <w:rPr/>
        <w:t>.</w:t>
      </w:r>
    </w:p>
    <w:p>
      <w:pPr>
        <w:pStyle w:val="Normal"/>
        <w:shd w:val="clear" w:color="auto" w:fill="FFFFFF"/>
        <w:tabs>
          <w:tab w:val="clear" w:pos="709"/>
          <w:tab w:val="left" w:pos="1134" w:leader="none"/>
        </w:tabs>
        <w:ind w:firstLine="709"/>
        <w:jc w:val="both"/>
        <w:rPr>
          <w:bCs/>
          <w:lang w:val="ru-RU"/>
        </w:rPr>
      </w:pPr>
      <w:bookmarkStart w:id="9" w:name="_Ref361834605"/>
      <w:r>
        <w:rPr>
          <w:bCs/>
          <w:highlight w:val="lightGray"/>
          <w:lang w:val="ru-RU"/>
        </w:rPr>
        <w:t xml:space="preserve">3.2. Локальные расчеты стоимости подлежат согласованию Сторонами не позднее </w:t>
      </w:r>
      <w:r>
        <w:rPr>
          <w:highlight w:val="lightGray"/>
          <w:lang w:val="ru-RU"/>
        </w:rPr>
        <w:t>30</w:t>
      </w:r>
      <w:r>
        <w:rPr>
          <w:bCs/>
          <w:highlight w:val="lightGray"/>
          <w:lang w:val="ru-RU"/>
        </w:rPr>
        <w:t xml:space="preserve"> (</w:t>
      </w:r>
      <w:r>
        <w:rPr>
          <w:highlight w:val="lightGray"/>
          <w:lang w:val="ru-RU"/>
        </w:rPr>
        <w:t>тридцати</w:t>
      </w:r>
      <w:r>
        <w:rPr>
          <w:bCs/>
          <w:highlight w:val="lightGray"/>
          <w:lang w:val="ru-RU"/>
        </w:rPr>
        <w:t>) календарных дней с даты вступления Договора в силу. При несогласовании указанных документов в установленный срок Исполнитель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расчетов стоимости Стороны обязаны уточнить Сводный расчет</w:t>
      </w:r>
      <w:r>
        <w:rPr>
          <w:highlight w:val="lightGray"/>
          <w:lang w:val="ru-RU"/>
        </w:rPr>
        <w:t xml:space="preserve"> стоимости Услуг</w:t>
      </w:r>
      <w:r>
        <w:rPr>
          <w:bCs/>
          <w:highlight w:val="lightGray"/>
          <w:lang w:val="ru-RU"/>
        </w:rPr>
        <w:t xml:space="preserve"> (Приложение № 3 к Договору) путем заключения дополнительного соглашения к Договору.</w:t>
      </w:r>
      <w:bookmarkEnd w:id="9"/>
    </w:p>
    <w:p>
      <w:pPr>
        <w:pStyle w:val="ListParagraph"/>
        <w:shd w:val="clear" w:color="auto" w:fill="FFFFFF"/>
        <w:tabs>
          <w:tab w:val="clear" w:pos="709"/>
          <w:tab w:val="left" w:pos="1134" w:leader="none"/>
        </w:tabs>
        <w:ind w:left="0" w:firstLine="709"/>
        <w:jc w:val="both"/>
        <w:rPr>
          <w:bCs/>
        </w:rPr>
      </w:pPr>
      <w:r>
        <w:rPr>
          <w:bCs/>
          <w:i/>
          <w:highlight w:val="lightGray"/>
        </w:rPr>
        <w:t>либо</w:t>
      </w:r>
    </w:p>
    <w:p>
      <w:pPr>
        <w:pStyle w:val="ListParagraph"/>
        <w:shd w:val="clear" w:color="auto" w:fill="FFFFFF"/>
        <w:tabs>
          <w:tab w:val="clear" w:pos="709"/>
          <w:tab w:val="left" w:pos="1134" w:leader="none"/>
        </w:tabs>
        <w:ind w:left="0" w:firstLine="709"/>
        <w:jc w:val="both"/>
        <w:rPr>
          <w:bCs/>
        </w:rPr>
      </w:pPr>
      <w:r>
        <w:rPr>
          <w:bCs/>
          <w:highlight w:val="lightGray"/>
        </w:rPr>
        <w:t>Локальные расчеты стоимости являются неотъемлемой частью Сводного расчета стоимости Услуг (Приложение № 3 к Договору)</w:t>
      </w:r>
      <w:r>
        <w:rPr>
          <w:rStyle w:val="FootnoteReference"/>
          <w:bCs/>
        </w:rPr>
        <w:footnoteReference w:id="2"/>
      </w:r>
      <w:r>
        <w:rPr>
          <w:bCs/>
        </w:rPr>
        <w:t>.</w:t>
      </w:r>
    </w:p>
    <w:p>
      <w:pPr>
        <w:pStyle w:val="ListParagraph"/>
        <w:shd w:val="clear" w:color="auto" w:fill="FFFFFF"/>
        <w:tabs>
          <w:tab w:val="clear" w:pos="709"/>
          <w:tab w:val="left" w:pos="1134" w:leader="none"/>
        </w:tabs>
        <w:ind w:left="0" w:firstLine="709"/>
        <w:jc w:val="both"/>
        <w:rPr/>
      </w:pPr>
      <w:r>
        <w:rPr/>
        <w:t>3.3. Цена Договора включает в себя прибыль Исполнителя, а также все расходы и затраты Исполнителя на:</w:t>
      </w:r>
    </w:p>
    <w:p>
      <w:pPr>
        <w:pStyle w:val="ListParagraph"/>
        <w:numPr>
          <w:ilvl w:val="2"/>
          <w:numId w:val="16"/>
        </w:numPr>
        <w:shd w:val="clear" w:color="auto" w:fill="FFFFFF"/>
        <w:tabs>
          <w:tab w:val="clear" w:pos="709"/>
          <w:tab w:val="left" w:pos="1418" w:leader="none"/>
        </w:tabs>
        <w:ind w:left="0" w:firstLine="709"/>
        <w:jc w:val="both"/>
        <w:rPr>
          <w:highlight w:val="lightGray"/>
        </w:rPr>
      </w:pPr>
      <w:r>
        <w:rPr>
          <w:highlight w:val="lightGray"/>
        </w:rPr>
        <w:t>приобретение материально-технических ресурсов, необходимых для оказания Услуг по Договору;</w:t>
      </w:r>
    </w:p>
    <w:p>
      <w:pPr>
        <w:pStyle w:val="ListParagraph"/>
        <w:numPr>
          <w:ilvl w:val="2"/>
          <w:numId w:val="16"/>
        </w:numPr>
        <w:shd w:val="clear" w:color="auto" w:fill="FFFFFF"/>
        <w:tabs>
          <w:tab w:val="clear" w:pos="709"/>
          <w:tab w:val="left" w:pos="1418" w:leader="none"/>
        </w:tabs>
        <w:ind w:left="0" w:firstLine="709"/>
        <w:jc w:val="both"/>
        <w:rPr>
          <w:highlight w:val="lightGray"/>
        </w:rPr>
      </w:pPr>
      <w:r>
        <w:rPr/>
        <w:t xml:space="preserve">заработную плату, накладные </w:t>
      </w:r>
      <w:r>
        <w:rPr>
          <w:highlight w:val="lightGray"/>
        </w:rPr>
        <w:t xml:space="preserve">и командировочные расходы, перемещение и размещение персонала Исполнителя; </w:t>
      </w:r>
    </w:p>
    <w:p>
      <w:pPr>
        <w:pStyle w:val="ListParagraph"/>
        <w:numPr>
          <w:ilvl w:val="2"/>
          <w:numId w:val="16"/>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6"/>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8"/>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8"/>
        </w:numPr>
        <w:shd w:val="clear" w:color="auto" w:fill="FFFFFF"/>
        <w:tabs>
          <w:tab w:val="clear" w:pos="709"/>
          <w:tab w:val="left" w:pos="1134" w:leader="none"/>
        </w:tabs>
        <w:ind w:left="0" w:firstLine="709"/>
        <w:jc w:val="both"/>
        <w:rPr/>
      </w:pPr>
      <w:bookmarkStart w:id="10" w:name="_Ref361858588"/>
      <w:r>
        <w:rPr/>
        <w:t>Оплата по Договору осуществляется Заказчиком в следующем порядке:</w:t>
      </w:r>
      <w:bookmarkEnd w:id="10"/>
      <w:r>
        <w:rPr/>
        <w:t xml:space="preserve"> </w:t>
      </w:r>
    </w:p>
    <w:p>
      <w:pPr>
        <w:pStyle w:val="ListParagraph"/>
        <w:numPr>
          <w:ilvl w:val="2"/>
          <w:numId w:val="18"/>
        </w:numPr>
        <w:shd w:val="clear" w:color="auto" w:fill="FFFFFF"/>
        <w:tabs>
          <w:tab w:val="clear" w:pos="709"/>
          <w:tab w:val="left" w:pos="1134" w:leader="none"/>
        </w:tabs>
        <w:ind w:left="0" w:firstLine="709"/>
        <w:jc w:val="both"/>
        <w:rPr/>
      </w:pPr>
      <w:bookmarkStart w:id="11" w:name="_Ref361834178"/>
      <w:bookmarkStart w:id="12" w:name="_Ref373240288"/>
      <w:bookmarkEnd w:id="11"/>
      <w:r>
        <w:rPr/>
        <w:t>Исполнитель не позднее 3 (трех) рабочих дней до предполагаемой даты выплаты авансового платежа, обязан предоставить Заказчику Независимую гарантию, соответствующую требованиям, установленным разделом 5 Договора.</w:t>
      </w:r>
    </w:p>
    <w:p>
      <w:pPr>
        <w:pStyle w:val="ListParagraph"/>
        <w:numPr>
          <w:ilvl w:val="2"/>
          <w:numId w:val="18"/>
        </w:numPr>
        <w:shd w:val="clear" w:color="auto" w:fill="FFFFFF"/>
        <w:tabs>
          <w:tab w:val="clear" w:pos="709"/>
          <w:tab w:val="left" w:pos="1134" w:leader="none"/>
        </w:tabs>
        <w:ind w:left="0" w:firstLine="709"/>
        <w:jc w:val="both"/>
        <w:rPr/>
      </w:pPr>
      <w:r>
        <w:rPr>
          <w:bCs/>
        </w:rPr>
        <w:t xml:space="preserve">Авансовые платежи </w:t>
      </w:r>
      <w:r>
        <w:rPr/>
        <w:t xml:space="preserve">в размере </w:t>
      </w:r>
      <w:r>
        <w:rPr>
          <w:highlight w:val="lightGray"/>
        </w:rPr>
        <w:t>10  (десяти) процентов</w:t>
      </w:r>
      <w:r>
        <w:rPr/>
        <w:t xml:space="preserve"> от стоимости Этапа Услуг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выплачиваются Исполнителю в течение 30 (тридцати) календарных дней с даты получения Заказчиком счета, выставленного Исполнителем, </w:t>
      </w:r>
      <w:r>
        <w:rPr>
          <w:highlight w:val="lightGray"/>
        </w:rPr>
        <w:t xml:space="preserve">при условии согласования Сторонами локальных расчетов стоимости по соответствующему Этапу Услуг в соответствии с пунктом </w:t>
      </w:r>
      <w:r>
        <w:rPr>
          <w:highlight w:val="lightGray"/>
        </w:rPr>
        <w:fldChar w:fldCharType="begin"/>
      </w:r>
      <w:r>
        <w:rPr>
          <w:highlight w:val="lightGray"/>
        </w:rPr>
        <w:instrText xml:space="preserve"> REF _Ref361834605 \r \h </w:instrText>
      </w:r>
      <w:r>
        <w:rPr>
          <w:highlight w:val="lightGray"/>
        </w:rPr>
        <w:fldChar w:fldCharType="separate"/>
      </w:r>
      <w:r>
        <w:rPr>
          <w:highlight w:val="lightGray"/>
        </w:rPr>
        <w:t>3.</w:t>
      </w:r>
      <w:r>
        <w:rPr>
          <w:highlight w:val="lightGray"/>
        </w:rPr>
        <w:fldChar w:fldCharType="end"/>
      </w:r>
      <w:r>
        <w:rPr>
          <w:highlight w:val="lightGray"/>
        </w:rPr>
        <w:t>2 Договора</w:t>
      </w:r>
      <w:r>
        <w:rPr>
          <w:rStyle w:val="FootnoteReference"/>
        </w:rPr>
        <w:footnoteReference w:id="3"/>
      </w:r>
      <w:r>
        <w:rPr/>
        <w:t xml:space="preserve">, но не ранее чем за 30 (тридцать) календарных дней до даты начала оказания Услуг и с учетом пунктов 3.5.1 и 3.5.4 Договора. </w:t>
      </w:r>
      <w:bookmarkEnd w:id="12"/>
    </w:p>
    <w:p>
      <w:pPr>
        <w:pStyle w:val="ListParagraph"/>
        <w:numPr>
          <w:ilvl w:val="2"/>
          <w:numId w:val="18"/>
        </w:numPr>
        <w:shd w:val="clear" w:color="auto" w:fill="FFFFFF"/>
        <w:tabs>
          <w:tab w:val="clear" w:pos="709"/>
          <w:tab w:val="left" w:pos="1134" w:leader="none"/>
        </w:tabs>
        <w:ind w:left="0" w:firstLine="709"/>
        <w:jc w:val="both"/>
        <w:rPr/>
      </w:pPr>
      <w:r>
        <w:rPr/>
        <w:t>Последующие платежи в размере разницы между стоимостью Этапа Услуг, определенной с учетом НДС по ставке,</w:t>
      </w:r>
      <w:r>
        <w:rPr>
          <w:bCs/>
        </w:rPr>
        <w:t xml:space="preserve"> установленной статьей 164 Налогового кодекса РФ на дату подписания Сторонами документов, указанных в пункте 4.1 Договора,</w:t>
      </w:r>
      <w:r>
        <w:rPr/>
        <w:t xml:space="preserve"> </w:t>
      </w:r>
      <w:r>
        <w:rPr>
          <w:rFonts w:eastAsia="Calibri"/>
          <w:color w:val="000000"/>
          <w:lang w:eastAsia="en-US"/>
        </w:rPr>
        <w:t xml:space="preserve">и ранее выплаченной суммой авансового платежа, </w:t>
      </w:r>
      <w:r>
        <w:rPr/>
        <w:t>выплачиваются в течение 7 (семи) рабочих дней с даты подписания Сторонами документов, указанных в пункте 4.1 Договора по соответствующему Этапу Услуг, на основании счета, выставленного Исполнителем, и с учетом пункта 3.5.4 Договора.</w:t>
      </w:r>
    </w:p>
    <w:p>
      <w:pPr>
        <w:pStyle w:val="ListParagraph"/>
        <w:numPr>
          <w:ilvl w:val="2"/>
          <w:numId w:val="18"/>
        </w:numPr>
        <w:shd w:val="clear" w:color="auto" w:fill="FFFFFF"/>
        <w:tabs>
          <w:tab w:val="clear" w:pos="709"/>
          <w:tab w:val="left" w:pos="1134" w:leader="none"/>
        </w:tabs>
        <w:ind w:left="0" w:firstLine="709"/>
        <w:jc w:val="both"/>
        <w:rPr/>
      </w:pPr>
      <w:bookmarkStart w:id="13" w:name="_Ref361834178"/>
      <w:bookmarkStart w:id="14" w:name="_Ref372549497"/>
      <w:bookmarkEnd w:id="13"/>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4"/>
      <w:r>
        <w:rPr/>
        <w:t xml:space="preserve"> </w:t>
      </w:r>
    </w:p>
    <w:p>
      <w:pPr>
        <w:pStyle w:val="ListParagraph"/>
        <w:numPr>
          <w:ilvl w:val="2"/>
          <w:numId w:val="18"/>
        </w:numPr>
        <w:shd w:val="clear" w:color="auto" w:fill="FFFFFF"/>
        <w:tabs>
          <w:tab w:val="clear" w:pos="709"/>
          <w:tab w:val="left" w:pos="1134" w:leader="none"/>
        </w:tabs>
        <w:ind w:left="0" w:firstLine="709"/>
        <w:jc w:val="both"/>
        <w:rPr/>
      </w:pPr>
      <w:r>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Pr/>
        <w:t>предоставил</w:t>
      </w:r>
      <w:r>
        <w:rPr>
          <w:bCs/>
        </w:rPr>
        <w:t xml:space="preserve">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w:t>
      </w:r>
    </w:p>
    <w:p>
      <w:pPr>
        <w:pStyle w:val="ListParagraph"/>
        <w:numPr>
          <w:ilvl w:val="1"/>
          <w:numId w:val="18"/>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8"/>
        </w:numPr>
        <w:shd w:val="clear" w:color="auto" w:fill="FFFFFF"/>
        <w:tabs>
          <w:tab w:val="clear" w:pos="709"/>
          <w:tab w:val="left" w:pos="1134" w:leader="none"/>
        </w:tabs>
        <w:ind w:left="0" w:firstLine="709"/>
        <w:jc w:val="both"/>
        <w:rPr/>
      </w:pPr>
      <w:r>
        <w:rPr/>
        <w:t xml:space="preserve">За исключением случая, указанного в пункте 2.3.12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8"/>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8"/>
        </w:numPr>
        <w:shd w:val="clear" w:color="auto" w:fill="FFFFFF"/>
        <w:tabs>
          <w:tab w:val="clear" w:pos="709"/>
          <w:tab w:val="left" w:pos="1134" w:leader="none"/>
          <w:tab w:val="left" w:pos="1418" w:leader="none"/>
        </w:tabs>
        <w:ind w:left="0" w:firstLine="709"/>
        <w:jc w:val="both"/>
        <w:rPr/>
      </w:pPr>
      <w:r>
        <w:rPr>
          <w:highlight w:val="lightGray"/>
        </w:rPr>
        <w:t>Командировочные расходы включаются в стоимость Этапов Услуг в соответствии с расчетом, прилагаемым к Сводному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стоимости соответствующих Этапов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rPr/>
        <w:t>.</w:t>
      </w:r>
    </w:p>
    <w:p>
      <w:pPr>
        <w:pStyle w:val="ListParagraph"/>
        <w:numPr>
          <w:ilvl w:val="1"/>
          <w:numId w:val="18"/>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18"/>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20"/>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jc w:val="both"/>
        <w:rPr/>
      </w:pPr>
      <w:r>
        <w:rPr/>
      </w:r>
    </w:p>
    <w:p>
      <w:pPr>
        <w:pStyle w:val="ListParagraph"/>
        <w:numPr>
          <w:ilvl w:val="0"/>
          <w:numId w:val="18"/>
        </w:numPr>
        <w:shd w:val="clear" w:color="auto" w:fill="FFFFFF"/>
        <w:tabs>
          <w:tab w:val="clear" w:pos="709"/>
          <w:tab w:val="left" w:pos="284" w:leader="none"/>
        </w:tabs>
        <w:ind w:left="0" w:hanging="0"/>
        <w:jc w:val="center"/>
        <w:rPr>
          <w:b/>
        </w:rPr>
      </w:pPr>
      <w:r>
        <w:rPr>
          <w:b/>
        </w:rPr>
        <w:t>Порядок сдачи-приемки Услуг</w:t>
      </w:r>
    </w:p>
    <w:p>
      <w:pPr>
        <w:pStyle w:val="ListParagraph"/>
        <w:numPr>
          <w:ilvl w:val="1"/>
          <w:numId w:val="20"/>
        </w:numPr>
        <w:shd w:val="clear" w:color="auto" w:fill="FFFFFF"/>
        <w:tabs>
          <w:tab w:val="clear" w:pos="709"/>
          <w:tab w:val="left" w:pos="284" w:leader="none"/>
          <w:tab w:val="left" w:pos="1134" w:leader="none"/>
        </w:tabs>
        <w:ind w:left="0" w:firstLine="709"/>
        <w:jc w:val="both"/>
        <w:rPr>
          <w:b/>
        </w:rPr>
      </w:pPr>
      <w:r>
        <w:rPr/>
        <w:t xml:space="preserve">По окончании оказания Услуг по каждому Этапу Услуг, указанному в Графике оказания Услуг (Приложение № 2 к Договору), Исполнитель в течение </w:t>
      </w:r>
      <w:r>
        <w:rPr>
          <w:highlight w:val="lightGray"/>
        </w:rPr>
        <w:t>3 (трех) рабочих дней</w:t>
      </w:r>
      <w:r>
        <w:rPr/>
        <w:t xml:space="preserve"> предоставляет Заказчику подписанные со своей стороны в 2 (двух) экземплярах Акты об оказании Услуг по форме Приложения № 5 к Договору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 и Графиком оказания услуг (Приложение № 2 к Договору).</w:t>
      </w:r>
      <w:r>
        <w:rPr/>
        <w:t xml:space="preserve"> </w:t>
      </w:r>
    </w:p>
    <w:p>
      <w:pPr>
        <w:pStyle w:val="ListParagraph"/>
        <w:numPr>
          <w:ilvl w:val="1"/>
          <w:numId w:val="20"/>
        </w:numPr>
        <w:shd w:val="clear" w:color="auto" w:fill="FFFFFF"/>
        <w:tabs>
          <w:tab w:val="clear" w:pos="709"/>
          <w:tab w:val="left" w:pos="284" w:leader="none"/>
          <w:tab w:val="left" w:pos="1134" w:leader="none"/>
        </w:tabs>
        <w:ind w:left="0" w:firstLine="709"/>
        <w:jc w:val="both"/>
        <w:rPr>
          <w:b/>
        </w:rPr>
      </w:pPr>
      <w:bookmarkStart w:id="15" w:name="_Ref372745126"/>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5"/>
      <w:r>
        <w:rPr/>
        <w:t xml:space="preserve"> </w:t>
      </w:r>
    </w:p>
    <w:p>
      <w:pPr>
        <w:pStyle w:val="ListParagraph"/>
        <w:numPr>
          <w:ilvl w:val="1"/>
          <w:numId w:val="20"/>
        </w:numPr>
        <w:shd w:val="clear" w:color="auto" w:fill="FFFFFF"/>
        <w:tabs>
          <w:tab w:val="clear" w:pos="709"/>
          <w:tab w:val="left" w:pos="284" w:leader="none"/>
          <w:tab w:val="left" w:pos="1134" w:leader="none"/>
        </w:tabs>
        <w:ind w:left="0" w:firstLine="709"/>
        <w:jc w:val="both"/>
        <w:rPr>
          <w:b/>
        </w:rPr>
      </w:pPr>
      <w:bookmarkStart w:id="16" w:name="_Ref373239439"/>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9"/>
          <w:tab w:val="left" w:pos="1134" w:leader="none"/>
        </w:tabs>
        <w:ind w:left="0" w:firstLine="709"/>
        <w:jc w:val="both"/>
        <w:rPr/>
      </w:pPr>
      <w:bookmarkStart w:id="17" w:name="_Ref373239439"/>
      <w:r>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bookmarkEnd w:id="17"/>
      <w:r>
        <w:rPr/>
        <w:t xml:space="preserve"> </w:t>
      </w:r>
    </w:p>
    <w:p>
      <w:pPr>
        <w:pStyle w:val="11"/>
        <w:numPr>
          <w:ilvl w:val="1"/>
          <w:numId w:val="20"/>
        </w:numPr>
        <w:tabs>
          <w:tab w:val="clear" w:pos="709"/>
          <w:tab w:val="left" w:pos="0" w:leader="none"/>
          <w:tab w:val="left" w:pos="1134" w:leader="none"/>
        </w:tabs>
        <w:ind w:left="0" w:firstLine="709"/>
        <w:jc w:val="both"/>
        <w:rPr>
          <w:sz w:val="24"/>
          <w:szCs w:val="24"/>
        </w:rPr>
      </w:pPr>
      <w:bookmarkStart w:id="18" w:name="_Ref361337525"/>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20"/>
        </w:numPr>
        <w:shd w:val="clear" w:color="auto" w:fill="FFFFFF"/>
        <w:tabs>
          <w:tab w:val="clear" w:pos="709"/>
          <w:tab w:val="left" w:pos="1134" w:leader="none"/>
        </w:tabs>
        <w:ind w:left="0" w:firstLine="709"/>
        <w:jc w:val="both"/>
        <w:rPr/>
      </w:pPr>
      <w:bookmarkStart w:id="19" w:name="_Ref361337525"/>
      <w: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9"/>
    </w:p>
    <w:p>
      <w:pPr>
        <w:pStyle w:val="ListParagraph"/>
        <w:shd w:val="clear" w:color="auto" w:fill="FFFFFF"/>
        <w:tabs>
          <w:tab w:val="clear" w:pos="709"/>
          <w:tab w:val="left" w:pos="1134" w:leader="none"/>
        </w:tabs>
        <w:ind w:left="0" w:hanging="0"/>
        <w:jc w:val="both"/>
        <w:rPr/>
      </w:pPr>
      <w:r>
        <w:rPr/>
      </w:r>
    </w:p>
    <w:p>
      <w:pPr>
        <w:pStyle w:val="ListParagraph"/>
        <w:numPr>
          <w:ilvl w:val="0"/>
          <w:numId w:val="21"/>
        </w:numPr>
        <w:shd w:val="clear" w:color="auto" w:fill="FFFFFF"/>
        <w:tabs>
          <w:tab w:val="clear" w:pos="709"/>
          <w:tab w:val="left" w:pos="284" w:leader="none"/>
        </w:tabs>
        <w:jc w:val="center"/>
        <w:rPr>
          <w:b/>
        </w:rPr>
      </w:pPr>
      <w:r>
        <w:rPr>
          <w:b/>
        </w:rPr>
        <w:t>Независимая гарантия</w:t>
      </w:r>
    </w:p>
    <w:p>
      <w:pPr>
        <w:pStyle w:val="ListParagraph"/>
        <w:numPr>
          <w:ilvl w:val="1"/>
          <w:numId w:val="24"/>
        </w:numPr>
        <w:tabs>
          <w:tab w:val="clear" w:pos="709"/>
          <w:tab w:val="left" w:pos="1134" w:leader="none"/>
        </w:tabs>
        <w:ind w:left="0" w:firstLine="709"/>
        <w:jc w:val="both"/>
        <w:rPr>
          <w:bCs/>
        </w:rPr>
      </w:pPr>
      <w:r>
        <w:rPr>
          <w:bCs/>
        </w:rPr>
        <w:t>Независимая гарантия должна соответствовать следующим требованиям:</w:t>
      </w:r>
    </w:p>
    <w:p>
      <w:pPr>
        <w:pStyle w:val="ListParagraph"/>
        <w:numPr>
          <w:ilvl w:val="0"/>
          <w:numId w:val="23"/>
        </w:numPr>
        <w:tabs>
          <w:tab w:val="clear" w:pos="709"/>
          <w:tab w:val="left" w:pos="1134" w:leader="none"/>
        </w:tabs>
        <w:spacing w:lineRule="auto" w:line="259" w:before="0" w:after="160"/>
        <w:ind w:left="0" w:firstLine="709"/>
        <w:contextualSpacing/>
        <w:jc w:val="both"/>
        <w:rPr>
          <w:bCs/>
        </w:rPr>
      </w:pPr>
      <w:r>
        <w:rPr>
          <w:bCs/>
        </w:rPr>
        <w:t>Независимая гарантия не может быть отозвана выдавшим ее Гарантом;</w:t>
      </w:r>
    </w:p>
    <w:p>
      <w:pPr>
        <w:pStyle w:val="ListParagraph"/>
        <w:numPr>
          <w:ilvl w:val="0"/>
          <w:numId w:val="23"/>
        </w:numPr>
        <w:tabs>
          <w:tab w:val="clear" w:pos="709"/>
          <w:tab w:val="left" w:pos="1134" w:leader="none"/>
        </w:tabs>
        <w:spacing w:lineRule="auto" w:line="259" w:before="0" w:after="160"/>
        <w:ind w:left="0" w:firstLine="709"/>
        <w:contextualSpacing/>
        <w:jc w:val="both"/>
        <w:rPr>
          <w:bCs/>
        </w:rPr>
      </w:pPr>
      <w:r>
        <w:rPr>
          <w:bCs/>
        </w:rPr>
        <w:t>Бенефициар по Независимой гарантии – Заказчик, принципал – Исполнитель;</w:t>
      </w:r>
    </w:p>
    <w:p>
      <w:pPr>
        <w:pStyle w:val="ListParagraph"/>
        <w:numPr>
          <w:ilvl w:val="0"/>
          <w:numId w:val="23"/>
        </w:numPr>
        <w:tabs>
          <w:tab w:val="clear" w:pos="709"/>
          <w:tab w:val="left" w:pos="1134" w:leader="none"/>
        </w:tabs>
        <w:spacing w:lineRule="auto" w:line="259" w:before="0" w:after="160"/>
        <w:ind w:left="0" w:firstLine="709"/>
        <w:contextualSpacing/>
        <w:jc w:val="both"/>
        <w:rPr>
          <w:bCs/>
        </w:rPr>
      </w:pPr>
      <w:r>
        <w:rPr>
          <w:bCs/>
        </w:rPr>
        <w:t>сумма Независимой гарантии должна быть выражена в валюте расчетов по Договору;</w:t>
      </w:r>
    </w:p>
    <w:p>
      <w:pPr>
        <w:pStyle w:val="ListParagraph"/>
        <w:numPr>
          <w:ilvl w:val="0"/>
          <w:numId w:val="23"/>
        </w:numPr>
        <w:shd w:val="clear" w:color="auto" w:fill="FFFFFF"/>
        <w:tabs>
          <w:tab w:val="clear" w:pos="709"/>
          <w:tab w:val="left" w:pos="1134" w:leader="none"/>
          <w:tab w:val="left" w:pos="1418" w:leader="none"/>
        </w:tabs>
        <w:ind w:left="0" w:firstLine="709"/>
        <w:jc w:val="both"/>
        <w:rPr>
          <w:bCs/>
        </w:rPr>
      </w:pPr>
      <w:r>
        <w:rPr>
          <w:bCs/>
        </w:rPr>
        <w:t xml:space="preserve">сумма Независимой гарантии по Договору - </w:t>
      </w:r>
      <w:r>
        <w:rPr/>
        <w:t>не менее 100 (Ста) процентов от суммы уплачиваемого по Договору аванса в совокупной сумме с учетом ранее выплаченных Исполнителю и неотработанных авансовых платежей;</w:t>
      </w:r>
    </w:p>
    <w:p>
      <w:pPr>
        <w:pStyle w:val="ListParagraph"/>
        <w:numPr>
          <w:ilvl w:val="0"/>
          <w:numId w:val="23"/>
        </w:numPr>
        <w:shd w:val="clear" w:color="auto" w:fill="FFFFFF"/>
        <w:tabs>
          <w:tab w:val="clear" w:pos="709"/>
          <w:tab w:val="left" w:pos="1134" w:leader="none"/>
        </w:tabs>
        <w:ind w:left="0" w:firstLine="709"/>
        <w:jc w:val="both"/>
        <w:rPr>
          <w:bCs/>
        </w:rPr>
      </w:pPr>
      <w:r>
        <w:rPr>
          <w:bCs/>
        </w:rPr>
        <w:t>срок окончания Независимой гарантии  по Договору – не ранее 70 (семидесяти) календарных дней после наступления даты завершения Этапа Услуг, установленной Договором.</w:t>
      </w:r>
    </w:p>
    <w:p>
      <w:pPr>
        <w:pStyle w:val="Normal"/>
        <w:tabs>
          <w:tab w:val="clear" w:pos="709"/>
          <w:tab w:val="left" w:pos="1134" w:leader="none"/>
        </w:tabs>
        <w:jc w:val="both"/>
        <w:rPr>
          <w:bCs/>
          <w:lang w:val="ru-RU"/>
        </w:rPr>
      </w:pPr>
      <w:r>
        <w:rPr>
          <w:bCs/>
          <w:lang w:val="ru-RU"/>
        </w:rPr>
        <w:t xml:space="preserve">              </w:t>
      </w:r>
      <w:r>
        <w:rPr>
          <w:bCs/>
          <w:lang w:val="ru-RU"/>
        </w:rPr>
        <w:t xml:space="preserve">Сумма Независимой гарантии </w:t>
      </w:r>
      <w:r>
        <w:rPr>
          <w:lang w:val="ru-RU"/>
        </w:rPr>
        <w:t xml:space="preserve"> </w:t>
      </w:r>
      <w:r>
        <w:rPr>
          <w:bCs/>
          <w:lang w:val="ru-RU"/>
        </w:rPr>
        <w:t>по согласованию с Заказчиком может быть уменьшена пропорционально сумме выполненных Исполнителем обязательств по Договору / соответствующему этапу Договора при условии подтверждения их выполнения.</w:t>
      </w:r>
    </w:p>
    <w:p>
      <w:pPr>
        <w:pStyle w:val="Normal"/>
        <w:shd w:val="clear" w:color="auto" w:fill="FFFFFF"/>
        <w:tabs>
          <w:tab w:val="clear" w:pos="709"/>
          <w:tab w:val="left" w:pos="1134" w:leader="none"/>
        </w:tabs>
        <w:jc w:val="both"/>
        <w:rPr>
          <w:bCs/>
          <w:lang w:val="ru-RU"/>
        </w:rPr>
      </w:pPr>
      <w:r>
        <w:rPr>
          <w:bCs/>
          <w:lang w:val="ru-RU"/>
        </w:rPr>
        <w:t xml:space="preserve">              </w:t>
      </w:r>
      <w:r>
        <w:rPr>
          <w:bCs/>
          <w:lang w:val="ru-RU"/>
        </w:rPr>
        <w:t>В случае увеличения Цены Договора и, как следствие, суммы авансового платежа и/или продления срока выполнения Исполнителем обязательств, возникших из Договора или в связи с ним, Независимая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4"/>
        </w:numPr>
        <w:tabs>
          <w:tab w:val="clear" w:pos="709"/>
          <w:tab w:val="left" w:pos="1134" w:leader="none"/>
        </w:tabs>
        <w:ind w:left="0" w:firstLine="709"/>
        <w:jc w:val="both"/>
        <w:rPr>
          <w:bCs/>
        </w:rPr>
      </w:pPr>
      <w:r>
        <w:rPr>
          <w:bCs/>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содержать следующие дополнительные требования:</w:t>
      </w:r>
    </w:p>
    <w:p>
      <w:pPr>
        <w:pStyle w:val="ListParagraph"/>
        <w:tabs>
          <w:tab w:val="clear" w:pos="709"/>
          <w:tab w:val="left" w:pos="1134" w:leader="none"/>
        </w:tabs>
        <w:ind w:left="0" w:firstLine="709"/>
        <w:jc w:val="both"/>
        <w:rPr>
          <w:bCs/>
        </w:rPr>
      </w:pPr>
      <w:r>
        <w:rPr>
          <w:bCs/>
        </w:rPr>
        <w:t>а) условие о праве Бенефициара предъявлять до окончания срока действия Независимой гарантии в случае неисполнения или ненадлежащего исполнения Исполнителем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Исполнителем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pPr>
        <w:pStyle w:val="ListParagraph"/>
        <w:tabs>
          <w:tab w:val="clear" w:pos="709"/>
          <w:tab w:val="left" w:pos="1134" w:leader="none"/>
        </w:tabs>
        <w:ind w:left="0" w:firstLine="709"/>
        <w:jc w:val="both"/>
        <w:rPr>
          <w:bCs/>
        </w:rPr>
      </w:pPr>
      <w:r>
        <w:rPr>
          <w:bCs/>
        </w:rPr>
        <w:t>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pPr>
        <w:pStyle w:val="ListParagraph"/>
        <w:numPr>
          <w:ilvl w:val="1"/>
          <w:numId w:val="24"/>
        </w:numPr>
        <w:tabs>
          <w:tab w:val="clear" w:pos="709"/>
          <w:tab w:val="left" w:pos="1134" w:leader="none"/>
        </w:tabs>
        <w:ind w:left="0" w:firstLine="709"/>
        <w:jc w:val="both"/>
        <w:rPr>
          <w:bCs/>
        </w:rPr>
      </w:pPr>
      <w:r>
        <w:rPr/>
        <w:t>Выбор формы направления требования, указанного в подпунктах «а» и «б» пункта 5.2 Договора, осуществляется Бенефициаром самостоятельно.</w:t>
      </w:r>
    </w:p>
    <w:p>
      <w:pPr>
        <w:pStyle w:val="ListParagraph"/>
        <w:numPr>
          <w:ilvl w:val="1"/>
          <w:numId w:val="24"/>
        </w:numPr>
        <w:tabs>
          <w:tab w:val="clear" w:pos="709"/>
          <w:tab w:val="left" w:pos="1134" w:leader="none"/>
        </w:tabs>
        <w:ind w:left="0" w:firstLine="709"/>
        <w:jc w:val="both"/>
        <w:rPr>
          <w:bCs/>
        </w:rPr>
      </w:pPr>
      <w:r>
        <w:rPr>
          <w:bCs/>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pPr>
        <w:pStyle w:val="ListParagraph"/>
        <w:numPr>
          <w:ilvl w:val="0"/>
          <w:numId w:val="25"/>
        </w:numPr>
        <w:tabs>
          <w:tab w:val="clear" w:pos="709"/>
          <w:tab w:val="left" w:pos="1134" w:leader="none"/>
        </w:tabs>
        <w:spacing w:lineRule="auto" w:line="259"/>
        <w:ind w:left="0" w:firstLine="709"/>
        <w:jc w:val="both"/>
        <w:rPr>
          <w:bCs/>
        </w:rPr>
      </w:pPr>
      <w:r>
        <w:rPr>
          <w:bCs/>
        </w:rPr>
        <w:t>расчет суммы, включаемой в требование об уплате денежной суммы по Независимой гарантии;</w:t>
      </w:r>
    </w:p>
    <w:p>
      <w:pPr>
        <w:pStyle w:val="ListParagraph"/>
        <w:numPr>
          <w:ilvl w:val="0"/>
          <w:numId w:val="25"/>
        </w:numPr>
        <w:tabs>
          <w:tab w:val="clear" w:pos="709"/>
          <w:tab w:val="left" w:pos="1134" w:leader="none"/>
        </w:tabs>
        <w:spacing w:lineRule="auto" w:line="259"/>
        <w:ind w:left="0" w:firstLine="709"/>
        <w:jc w:val="both"/>
        <w:rPr>
          <w:bCs/>
        </w:rPr>
      </w:pPr>
      <w:r>
        <w:rPr>
          <w:bCs/>
        </w:rPr>
        <w:t>документ, содержащий указание на нарушения Принципалом обязательств, предусмотренных Договором;</w:t>
      </w:r>
    </w:p>
    <w:p>
      <w:pPr>
        <w:pStyle w:val="ListParagraph"/>
        <w:numPr>
          <w:ilvl w:val="0"/>
          <w:numId w:val="25"/>
        </w:numPr>
        <w:tabs>
          <w:tab w:val="clear" w:pos="709"/>
          <w:tab w:val="left" w:pos="1134" w:leader="none"/>
        </w:tabs>
        <w:ind w:left="0" w:firstLine="709"/>
        <w:jc w:val="both"/>
        <w:rPr>
          <w:bCs/>
        </w:rPr>
      </w:pPr>
      <w:r>
        <w:rPr>
          <w:bCs/>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pPr>
        <w:pStyle w:val="ListParagraph"/>
        <w:numPr>
          <w:ilvl w:val="1"/>
          <w:numId w:val="24"/>
        </w:numPr>
        <w:tabs>
          <w:tab w:val="clear" w:pos="709"/>
          <w:tab w:val="left" w:pos="1134" w:leader="none"/>
        </w:tabs>
        <w:ind w:left="0" w:firstLine="709"/>
        <w:jc w:val="both"/>
        <w:rPr>
          <w:bCs/>
        </w:rPr>
      </w:pPr>
      <w:r>
        <w:rPr/>
        <w:t>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pPr>
        <w:pStyle w:val="ListParagraph"/>
        <w:numPr>
          <w:ilvl w:val="1"/>
          <w:numId w:val="24"/>
        </w:numPr>
        <w:tabs>
          <w:tab w:val="clear" w:pos="709"/>
          <w:tab w:val="left" w:pos="1134" w:leader="none"/>
        </w:tabs>
        <w:ind w:left="0" w:firstLine="709"/>
        <w:jc w:val="both"/>
        <w:rPr>
          <w:bCs/>
        </w:rPr>
      </w:pPr>
      <w:r>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pPr>
        <w:pStyle w:val="ListParagraph"/>
        <w:numPr>
          <w:ilvl w:val="1"/>
          <w:numId w:val="24"/>
        </w:numPr>
        <w:tabs>
          <w:tab w:val="clear" w:pos="709"/>
          <w:tab w:val="left" w:pos="1134" w:leader="none"/>
        </w:tabs>
        <w:ind w:left="0" w:firstLine="709"/>
        <w:jc w:val="both"/>
        <w:rPr>
          <w:bCs/>
        </w:rPr>
      </w:pPr>
      <w:r>
        <w:rPr>
          <w:bCs/>
        </w:rPr>
        <w:t>Требование об уплате денежной суммы по Независимой гарантии по Договору может содержать указание на существо допущенных Исполнителем нарушений, в том числе в следующих случаях (включая, но не ограничиваясь):</w:t>
      </w:r>
    </w:p>
    <w:p>
      <w:pPr>
        <w:pStyle w:val="ListParagraph"/>
        <w:numPr>
          <w:ilvl w:val="0"/>
          <w:numId w:val="26"/>
        </w:numPr>
        <w:tabs>
          <w:tab w:val="clear" w:pos="709"/>
          <w:tab w:val="left" w:pos="1134" w:leader="none"/>
        </w:tabs>
        <w:ind w:left="0" w:firstLine="709"/>
        <w:jc w:val="both"/>
        <w:rPr>
          <w:bCs/>
        </w:rPr>
      </w:pPr>
      <w:r>
        <w:rPr>
          <w:bCs/>
        </w:rPr>
        <w:t>отказа Исполнителя от исполнения обязательств по Договору, в том числе одностороннего отказа от Договора;</w:t>
      </w:r>
    </w:p>
    <w:p>
      <w:pPr>
        <w:pStyle w:val="ListParagraph"/>
        <w:numPr>
          <w:ilvl w:val="0"/>
          <w:numId w:val="26"/>
        </w:numPr>
        <w:tabs>
          <w:tab w:val="clear" w:pos="709"/>
          <w:tab w:val="left" w:pos="1134" w:leader="none"/>
        </w:tabs>
        <w:ind w:left="0" w:firstLine="709"/>
        <w:jc w:val="both"/>
        <w:rPr>
          <w:bCs/>
        </w:rPr>
      </w:pPr>
      <w:r>
        <w:rPr>
          <w:bCs/>
        </w:rPr>
        <w:t>отказа Исполнителя от возврата неотработанного аванса при досрочном прекращении Договора / признании Договора недействительным;</w:t>
      </w:r>
    </w:p>
    <w:p>
      <w:pPr>
        <w:pStyle w:val="ListParagraph"/>
        <w:numPr>
          <w:ilvl w:val="0"/>
          <w:numId w:val="26"/>
        </w:numPr>
        <w:tabs>
          <w:tab w:val="clear" w:pos="709"/>
          <w:tab w:val="left" w:pos="1134" w:leader="none"/>
        </w:tabs>
        <w:ind w:left="0" w:firstLine="709"/>
        <w:jc w:val="both"/>
        <w:rPr>
          <w:bCs/>
        </w:rPr>
      </w:pPr>
      <w:r>
        <w:rPr>
          <w:bCs/>
        </w:rPr>
        <w:t>нарушения Исполнителем сроков оказания Услуг, установленных Графиком оказания Услуг, более чем на 60 (шестьдесят) календарных дней;</w:t>
      </w:r>
    </w:p>
    <w:p>
      <w:pPr>
        <w:pStyle w:val="ListParagraph"/>
        <w:numPr>
          <w:ilvl w:val="0"/>
          <w:numId w:val="26"/>
        </w:numPr>
        <w:tabs>
          <w:tab w:val="clear" w:pos="709"/>
          <w:tab w:val="left" w:pos="1134" w:leader="none"/>
        </w:tabs>
        <w:ind w:left="0" w:firstLine="709"/>
        <w:jc w:val="both"/>
        <w:rPr>
          <w:bCs/>
        </w:rPr>
      </w:pPr>
      <w:r>
        <w:rPr>
          <w:bCs/>
        </w:rPr>
        <w:t>утраты Исполнителем специальных разрешений (в том числе отзыв, прекращение (приостановление) действие допусков, разрешений) и / или лицензий, предоставляющих Исполнителю возможность надлежащего исполнения обязательств по Договору;</w:t>
      </w:r>
    </w:p>
    <w:p>
      <w:pPr>
        <w:pStyle w:val="ListParagraph"/>
        <w:numPr>
          <w:ilvl w:val="0"/>
          <w:numId w:val="26"/>
        </w:numPr>
        <w:tabs>
          <w:tab w:val="clear" w:pos="709"/>
          <w:tab w:val="left" w:pos="1134" w:leader="none"/>
        </w:tabs>
        <w:ind w:left="0" w:firstLine="709"/>
        <w:jc w:val="both"/>
        <w:rPr>
          <w:bCs/>
          <w:highlight w:val="lightGray"/>
        </w:rPr>
      </w:pPr>
      <w:r>
        <w:rPr>
          <w:bCs/>
          <w:highlight w:val="lightGray"/>
        </w:rPr>
        <w:t xml:space="preserve">прекращения членства Исполнителя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pPr>
        <w:pStyle w:val="ListParagraph"/>
        <w:numPr>
          <w:ilvl w:val="0"/>
          <w:numId w:val="26"/>
        </w:numPr>
        <w:tabs>
          <w:tab w:val="clear" w:pos="709"/>
          <w:tab w:val="left" w:pos="1134" w:leader="none"/>
        </w:tabs>
        <w:ind w:left="0" w:firstLine="709"/>
        <w:jc w:val="both"/>
        <w:rPr>
          <w:bCs/>
        </w:rPr>
      </w:pPr>
      <w:r>
        <w:rPr>
          <w:bCs/>
        </w:rPr>
        <w:t>введения арбитражным судом процедуры несостоятельности (банкротства) в отношении Исполнителя;</w:t>
      </w:r>
    </w:p>
    <w:p>
      <w:pPr>
        <w:pStyle w:val="ListParagraph"/>
        <w:numPr>
          <w:ilvl w:val="0"/>
          <w:numId w:val="26"/>
        </w:numPr>
        <w:tabs>
          <w:tab w:val="clear" w:pos="709"/>
          <w:tab w:val="left" w:pos="1134" w:leader="none"/>
        </w:tabs>
        <w:ind w:left="0" w:firstLine="709"/>
        <w:jc w:val="both"/>
        <w:rPr>
          <w:bCs/>
        </w:rPr>
      </w:pPr>
      <w:r>
        <w:rPr>
          <w:bCs/>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Договоре, и имеющих существенное значение для его заключения и исполнения;</w:t>
      </w:r>
    </w:p>
    <w:p>
      <w:pPr>
        <w:pStyle w:val="ListParagraph"/>
        <w:numPr>
          <w:ilvl w:val="0"/>
          <w:numId w:val="26"/>
        </w:numPr>
        <w:tabs>
          <w:tab w:val="clear" w:pos="709"/>
          <w:tab w:val="left" w:pos="1134" w:leader="none"/>
        </w:tabs>
        <w:ind w:left="0" w:firstLine="709"/>
        <w:jc w:val="both"/>
        <w:rPr>
          <w:bCs/>
        </w:rPr>
      </w:pPr>
      <w:r>
        <w:rPr>
          <w:bCs/>
        </w:rPr>
        <w:t>признания Договора недействительным по причинам отсутствия необходимых корпоративных одобрений у Исполнителя;</w:t>
      </w:r>
    </w:p>
    <w:p>
      <w:pPr>
        <w:pStyle w:val="ListParagraph"/>
        <w:numPr>
          <w:ilvl w:val="0"/>
          <w:numId w:val="26"/>
        </w:numPr>
        <w:tabs>
          <w:tab w:val="clear" w:pos="709"/>
          <w:tab w:val="left" w:pos="1134" w:leader="none"/>
        </w:tabs>
        <w:ind w:left="0" w:firstLine="709"/>
        <w:jc w:val="both"/>
        <w:rPr>
          <w:bCs/>
        </w:rPr>
      </w:pPr>
      <w:r>
        <w:rPr>
          <w:bCs/>
        </w:rPr>
        <w:t>непредоставления Исполнителем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Исполнителя по Договору превышает срок действия Независимой гарантии либо срок исполнения обязательств продлен.</w:t>
      </w:r>
    </w:p>
    <w:p>
      <w:pPr>
        <w:pStyle w:val="ListParagraph"/>
        <w:numPr>
          <w:ilvl w:val="1"/>
          <w:numId w:val="24"/>
        </w:numPr>
        <w:tabs>
          <w:tab w:val="clear" w:pos="709"/>
          <w:tab w:val="left" w:pos="1134" w:leader="none"/>
        </w:tabs>
        <w:ind w:left="0" w:firstLine="709"/>
        <w:jc w:val="both"/>
        <w:rPr>
          <w:bCs/>
        </w:rPr>
      </w:pPr>
      <w:r>
        <w:rPr>
          <w:bCs/>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pPr>
        <w:pStyle w:val="ListParagraph"/>
        <w:numPr>
          <w:ilvl w:val="1"/>
          <w:numId w:val="24"/>
        </w:numPr>
        <w:tabs>
          <w:tab w:val="clear" w:pos="709"/>
          <w:tab w:val="left" w:pos="1134" w:leader="none"/>
        </w:tabs>
        <w:ind w:left="0" w:firstLine="709"/>
        <w:jc w:val="both"/>
        <w:rPr>
          <w:bCs/>
        </w:rPr>
      </w:pPr>
      <w:r>
        <w:rPr/>
        <w:t>Текст Независимой гарантии должен содержать перечень Документов к требованию.</w:t>
      </w:r>
    </w:p>
    <w:p>
      <w:pPr>
        <w:pStyle w:val="ListParagraph"/>
        <w:numPr>
          <w:ilvl w:val="1"/>
          <w:numId w:val="24"/>
        </w:numPr>
        <w:tabs>
          <w:tab w:val="clear" w:pos="709"/>
          <w:tab w:val="left" w:pos="1134" w:leader="none"/>
        </w:tabs>
        <w:ind w:left="0" w:firstLine="709"/>
        <w:jc w:val="both"/>
        <w:rPr>
          <w:bCs/>
        </w:rPr>
      </w:pPr>
      <w:r>
        <w:rPr/>
        <w:t>Текст Независимой гарантии должен содержать следующие дополнительные условия:</w:t>
      </w:r>
    </w:p>
    <w:p>
      <w:pPr>
        <w:pStyle w:val="ListParagraph"/>
        <w:numPr>
          <w:ilvl w:val="2"/>
          <w:numId w:val="24"/>
        </w:numPr>
        <w:tabs>
          <w:tab w:val="clear" w:pos="709"/>
          <w:tab w:val="left" w:pos="1134" w:leader="none"/>
        </w:tabs>
        <w:ind w:left="0" w:firstLine="709"/>
        <w:jc w:val="both"/>
        <w:rPr>
          <w:bCs/>
        </w:rPr>
      </w:pPr>
      <w:r>
        <w:rPr/>
        <w:t>Гарант обязан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pPr>
        <w:pStyle w:val="ListParagraph"/>
        <w:numPr>
          <w:ilvl w:val="2"/>
          <w:numId w:val="24"/>
        </w:numPr>
        <w:tabs>
          <w:tab w:val="clear" w:pos="709"/>
          <w:tab w:val="left" w:pos="1134" w:leader="none"/>
        </w:tabs>
        <w:ind w:left="0" w:firstLine="709"/>
        <w:jc w:val="both"/>
        <w:rPr>
          <w:bCs/>
        </w:rPr>
      </w:pPr>
      <w:r>
        <w:rPr/>
        <w:t>Бенефициар вправе передавать право требования по Независимой гарантии в случае перемены Заказчика по Договору при осуществлении закупки с предварительным извещением об этом Гаранта.</w:t>
      </w:r>
    </w:p>
    <w:p>
      <w:pPr>
        <w:pStyle w:val="ListParagraph"/>
        <w:numPr>
          <w:ilvl w:val="2"/>
          <w:numId w:val="24"/>
        </w:numPr>
        <w:tabs>
          <w:tab w:val="clear" w:pos="709"/>
          <w:tab w:val="left" w:pos="1134" w:leader="none"/>
        </w:tabs>
        <w:ind w:left="0" w:firstLine="709"/>
        <w:jc w:val="both"/>
        <w:rPr>
          <w:bCs/>
        </w:rPr>
      </w:pPr>
      <w:r>
        <w:rPr/>
        <w:t>Расходы, возникающие в связи с перечислением Гарантом денежных средств по Независимой гарантии, несет Гарант.</w:t>
      </w:r>
    </w:p>
    <w:p>
      <w:pPr>
        <w:pStyle w:val="ListParagraph"/>
        <w:numPr>
          <w:ilvl w:val="2"/>
          <w:numId w:val="24"/>
        </w:numPr>
        <w:tabs>
          <w:tab w:val="clear" w:pos="709"/>
          <w:tab w:val="left" w:pos="1134" w:leader="none"/>
        </w:tabs>
        <w:ind w:left="0" w:firstLine="709"/>
        <w:jc w:val="both"/>
        <w:rPr>
          <w:bCs/>
        </w:rPr>
      </w:pPr>
      <w:r>
        <w:rPr/>
        <w:t>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pPr>
        <w:pStyle w:val="ListParagraph"/>
        <w:numPr>
          <w:ilvl w:val="2"/>
          <w:numId w:val="24"/>
        </w:numPr>
        <w:tabs>
          <w:tab w:val="clear" w:pos="709"/>
          <w:tab w:val="left" w:pos="1134" w:leader="none"/>
        </w:tabs>
        <w:ind w:left="0" w:firstLine="709"/>
        <w:jc w:val="both"/>
        <w:rPr>
          <w:bCs/>
        </w:rPr>
      </w:pPr>
      <w:r>
        <w:rPr/>
        <w:t>Споры, возникающие в связи с исполнением обязательств по Независимой гарантии, рассматриваются в Арбитражном суде г. Москвы.</w:t>
      </w:r>
    </w:p>
    <w:p>
      <w:pPr>
        <w:pStyle w:val="ListParagraph"/>
        <w:numPr>
          <w:ilvl w:val="2"/>
          <w:numId w:val="24"/>
        </w:numPr>
        <w:tabs>
          <w:tab w:val="clear" w:pos="709"/>
          <w:tab w:val="left" w:pos="1134" w:leader="none"/>
        </w:tabs>
        <w:ind w:left="0" w:firstLine="709"/>
        <w:jc w:val="both"/>
        <w:rPr>
          <w:bCs/>
        </w:rPr>
      </w:pPr>
      <w:r>
        <w:rPr/>
        <w:t>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pPr>
        <w:pStyle w:val="ListParagraph"/>
        <w:numPr>
          <w:ilvl w:val="2"/>
          <w:numId w:val="24"/>
        </w:numPr>
        <w:tabs>
          <w:tab w:val="clear" w:pos="709"/>
          <w:tab w:val="left" w:pos="1134" w:leader="none"/>
        </w:tabs>
        <w:ind w:left="0" w:firstLine="709"/>
        <w:jc w:val="both"/>
        <w:rPr>
          <w:bCs/>
        </w:rPr>
      </w:pPr>
      <w:r>
        <w:rPr/>
        <w:t>Гарант обязан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ListParagraph"/>
        <w:numPr>
          <w:ilvl w:val="1"/>
          <w:numId w:val="24"/>
        </w:numPr>
        <w:tabs>
          <w:tab w:val="clear" w:pos="709"/>
          <w:tab w:val="left" w:pos="1134" w:leader="none"/>
        </w:tabs>
        <w:ind w:left="0" w:firstLine="709"/>
        <w:jc w:val="both"/>
        <w:rPr>
          <w:bCs/>
        </w:rPr>
      </w:pPr>
      <w:r>
        <w:rPr>
          <w:bCs/>
        </w:rPr>
        <w:t>Независимая гарантия не должна содержать условия:</w:t>
      </w:r>
    </w:p>
    <w:p>
      <w:pPr>
        <w:pStyle w:val="ListParagraph"/>
        <w:numPr>
          <w:ilvl w:val="0"/>
          <w:numId w:val="27"/>
        </w:numPr>
        <w:tabs>
          <w:tab w:val="clear" w:pos="709"/>
          <w:tab w:val="left" w:pos="1134" w:leader="none"/>
        </w:tabs>
        <w:ind w:left="0" w:firstLine="709"/>
        <w:jc w:val="both"/>
        <w:rPr>
          <w:bCs/>
        </w:rPr>
      </w:pPr>
      <w:r>
        <w:rPr>
          <w:bCs/>
        </w:rPr>
        <w:t>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pPr>
        <w:pStyle w:val="ListParagraph"/>
        <w:numPr>
          <w:ilvl w:val="0"/>
          <w:numId w:val="27"/>
        </w:numPr>
        <w:tabs>
          <w:tab w:val="clear" w:pos="709"/>
          <w:tab w:val="left" w:pos="1134" w:leader="none"/>
        </w:tabs>
        <w:ind w:left="0" w:firstLine="709"/>
        <w:jc w:val="both"/>
        <w:rPr>
          <w:bCs/>
        </w:rPr>
      </w:pPr>
      <w:r>
        <w:rPr>
          <w:bCs/>
        </w:rPr>
        <w:t>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Исполнителем условий Договора или о расторжении Договора;</w:t>
      </w:r>
    </w:p>
    <w:p>
      <w:pPr>
        <w:pStyle w:val="ListParagraph"/>
        <w:numPr>
          <w:ilvl w:val="0"/>
          <w:numId w:val="27"/>
        </w:numPr>
        <w:tabs>
          <w:tab w:val="clear" w:pos="709"/>
          <w:tab w:val="left" w:pos="1134" w:leader="none"/>
        </w:tabs>
        <w:ind w:left="0" w:firstLine="709"/>
        <w:jc w:val="both"/>
        <w:rPr>
          <w:bCs/>
        </w:rPr>
      </w:pPr>
      <w:r>
        <w:rPr>
          <w:bCs/>
        </w:rPr>
        <w:t>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pPr>
        <w:pStyle w:val="ListParagraph"/>
        <w:numPr>
          <w:ilvl w:val="0"/>
          <w:numId w:val="27"/>
        </w:numPr>
        <w:tabs>
          <w:tab w:val="clear" w:pos="709"/>
          <w:tab w:val="left" w:pos="1134" w:leader="none"/>
        </w:tabs>
        <w:ind w:left="0" w:firstLine="709"/>
        <w:jc w:val="both"/>
        <w:rPr>
          <w:bCs/>
        </w:rPr>
      </w:pPr>
      <w:r>
        <w:rPr>
          <w:bCs/>
        </w:rPr>
        <w:t>о предоставлении Бенефициаром гаранту судебных актов, подтверждающих неисполнение Исполнителем обязательств, обеспечиваемых Независимой гарантией.</w:t>
      </w:r>
    </w:p>
    <w:p>
      <w:pPr>
        <w:pStyle w:val="ListParagraph"/>
        <w:numPr>
          <w:ilvl w:val="1"/>
          <w:numId w:val="24"/>
        </w:numPr>
        <w:tabs>
          <w:tab w:val="clear" w:pos="709"/>
          <w:tab w:val="left" w:pos="1134" w:leader="none"/>
        </w:tabs>
        <w:ind w:left="0" w:firstLine="709"/>
        <w:jc w:val="both"/>
        <w:rPr>
          <w:bCs/>
        </w:rPr>
      </w:pPr>
      <w:r>
        <w:rP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ListParagraph"/>
        <w:numPr>
          <w:ilvl w:val="1"/>
          <w:numId w:val="24"/>
        </w:numPr>
        <w:tabs>
          <w:tab w:val="clear" w:pos="709"/>
          <w:tab w:val="left" w:pos="1134" w:leader="none"/>
        </w:tabs>
        <w:ind w:left="0" w:firstLine="709"/>
        <w:jc w:val="both"/>
        <w:rPr>
          <w:bCs/>
        </w:rPr>
      </w:pPr>
      <w:r>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уплатить Бенефициару неустойку (пени) в размере 0,1 (ноль целых и одна десятая) процента от денежной суммы, подлежащей уплате по Независимой гарантии.</w:t>
      </w:r>
    </w:p>
    <w:p>
      <w:pPr>
        <w:pStyle w:val="ListParagraph"/>
        <w:numPr>
          <w:ilvl w:val="1"/>
          <w:numId w:val="24"/>
        </w:numPr>
        <w:tabs>
          <w:tab w:val="clear" w:pos="709"/>
          <w:tab w:val="left" w:pos="1134" w:leader="none"/>
        </w:tabs>
        <w:ind w:left="0" w:firstLine="709"/>
        <w:jc w:val="both"/>
        <w:rPr>
          <w:bCs/>
        </w:rPr>
      </w:pPr>
      <w:r>
        <w:rPr/>
        <w:t>Несоответствие Независимой гарантии, предоставленной Исполнителем, вышеперечисленным требованиям, является основанием для отказа в принятии ее Бенефициаром.</w:t>
      </w:r>
    </w:p>
    <w:p>
      <w:pPr>
        <w:pStyle w:val="ListParagraph"/>
        <w:numPr>
          <w:ilvl w:val="1"/>
          <w:numId w:val="24"/>
        </w:numPr>
        <w:tabs>
          <w:tab w:val="clear" w:pos="709"/>
          <w:tab w:val="left" w:pos="1134" w:leader="none"/>
        </w:tabs>
        <w:ind w:left="0" w:firstLine="709"/>
        <w:jc w:val="both"/>
        <w:rPr>
          <w:bCs/>
        </w:rPr>
      </w:pPr>
      <w:r>
        <w:rPr/>
        <w:t>Независимая гарантия не должна содержать условий или требований, противоречащих изложенному или делающих изложенное неисполнимым.</w:t>
      </w:r>
    </w:p>
    <w:p>
      <w:pPr>
        <w:pStyle w:val="ListParagraph"/>
        <w:numPr>
          <w:ilvl w:val="1"/>
          <w:numId w:val="24"/>
        </w:numPr>
        <w:tabs>
          <w:tab w:val="clear" w:pos="709"/>
          <w:tab w:val="left" w:pos="1134" w:leader="none"/>
        </w:tabs>
        <w:ind w:left="0" w:firstLine="709"/>
        <w:jc w:val="both"/>
        <w:rPr>
          <w:bCs/>
        </w:rPr>
      </w:pPr>
      <w:r>
        <w:rPr>
          <w:bCs/>
        </w:rPr>
        <w:t xml:space="preserve">В случаях: </w:t>
      </w:r>
    </w:p>
    <w:p>
      <w:pPr>
        <w:pStyle w:val="ListParagraph"/>
        <w:numPr>
          <w:ilvl w:val="0"/>
          <w:numId w:val="28"/>
        </w:numPr>
        <w:shd w:val="clear" w:color="auto" w:fill="FFFFFF"/>
        <w:tabs>
          <w:tab w:val="clear" w:pos="709"/>
          <w:tab w:val="left" w:pos="1134" w:leader="none"/>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(если применимо), или</w:t>
      </w:r>
    </w:p>
    <w:p>
      <w:pPr>
        <w:pStyle w:val="ListParagraph"/>
        <w:numPr>
          <w:ilvl w:val="0"/>
          <w:numId w:val="28"/>
        </w:numPr>
        <w:shd w:val="clear" w:color="auto" w:fill="FFFFFF"/>
        <w:tabs>
          <w:tab w:val="clear" w:pos="709"/>
          <w:tab w:val="left" w:pos="1134" w:leader="none"/>
        </w:tabs>
        <w:ind w:left="0" w:firstLine="709"/>
        <w:jc w:val="both"/>
        <w:rPr>
          <w:bCs/>
        </w:rPr>
      </w:pPr>
      <w:r>
        <w:rPr>
          <w:bCs/>
        </w:rPr>
        <w:t xml:space="preserve">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pPr>
        <w:pStyle w:val="ListParagraph"/>
        <w:shd w:val="clear" w:color="auto" w:fill="FFFFFF"/>
        <w:tabs>
          <w:tab w:val="clear" w:pos="709"/>
          <w:tab w:val="left" w:pos="1134" w:leader="none"/>
        </w:tabs>
        <w:ind w:left="0" w:firstLine="709"/>
        <w:jc w:val="both"/>
        <w:rPr>
          <w:bCs/>
        </w:rPr>
      </w:pPr>
      <w:r>
        <w:rPr>
          <w:bCs/>
        </w:rPr>
        <w:t>Исполнитель обязан предоставить Заказчику новую Независимую гарантию,</w:t>
      </w:r>
      <w:r>
        <w:rPr/>
        <w:t xml:space="preserve"> </w:t>
      </w:r>
      <w:r>
        <w:rPr>
          <w:bCs/>
        </w:rPr>
        <w:t>согласованную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Независимой гарантии.</w:t>
      </w:r>
    </w:p>
    <w:p>
      <w:pPr>
        <w:pStyle w:val="ListParagraph"/>
        <w:tabs>
          <w:tab w:val="clear" w:pos="709"/>
          <w:tab w:val="left" w:pos="1134" w:leader="none"/>
        </w:tabs>
        <w:ind w:left="0" w:firstLine="709"/>
        <w:jc w:val="both"/>
        <w:rPr>
          <w:bCs/>
        </w:rPr>
      </w:pPr>
      <w:r>
        <w:rPr>
          <w:bCs/>
        </w:rPr>
        <w:t>В случае непредставления Исполнителем в установленный срок новой Независимой гарантии Заказчик вправе удерживать сумму неотработанного аванса при выплате каждого платежа, причитающегося Исполнителю, до полного зачета неотработанного аванса</w:t>
      </w:r>
      <w:r>
        <w:rPr/>
        <w:t>.</w:t>
      </w:r>
    </w:p>
    <w:p>
      <w:pPr>
        <w:pStyle w:val="ListParagraph"/>
        <w:numPr>
          <w:ilvl w:val="1"/>
          <w:numId w:val="24"/>
        </w:numPr>
        <w:tabs>
          <w:tab w:val="clear" w:pos="709"/>
          <w:tab w:val="left" w:pos="1134" w:leader="none"/>
        </w:tabs>
        <w:ind w:left="0" w:firstLine="709"/>
        <w:jc w:val="both"/>
        <w:rPr>
          <w:bCs/>
        </w:rPr>
      </w:pPr>
      <w:r>
        <w:rPr/>
        <w:t>Во всех случаях, предусмотренных Договором, Исполнитель вправе представить Заказчику вместо новой Независимой гарантии изменения к ранее выданной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Заказчиком.</w:t>
      </w:r>
    </w:p>
    <w:p>
      <w:pPr>
        <w:pStyle w:val="ListParagraph"/>
        <w:numPr>
          <w:ilvl w:val="1"/>
          <w:numId w:val="24"/>
        </w:numPr>
        <w:tabs>
          <w:tab w:val="clear" w:pos="709"/>
          <w:tab w:val="left" w:pos="1134" w:leader="none"/>
        </w:tabs>
        <w:ind w:left="0" w:firstLine="709"/>
        <w:jc w:val="both"/>
        <w:rPr>
          <w:bCs/>
        </w:rPr>
      </w:pPr>
      <w:r>
        <w:rPr/>
        <w:t>Положения пункта 3.5.1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w:t>
      </w:r>
    </w:p>
    <w:p>
      <w:pPr>
        <w:pStyle w:val="Normal"/>
        <w:tabs>
          <w:tab w:val="clear" w:pos="709"/>
          <w:tab w:val="left" w:pos="1134" w:leader="none"/>
        </w:tabs>
        <w:jc w:val="both"/>
        <w:rPr>
          <w:bCs/>
          <w:lang w:val="ru-RU"/>
        </w:rPr>
      </w:pPr>
      <w:r>
        <w:rPr>
          <w:bCs/>
          <w:lang w:val="ru-RU"/>
        </w:rPr>
      </w:r>
    </w:p>
    <w:p>
      <w:pPr>
        <w:pStyle w:val="Normal"/>
        <w:tabs>
          <w:tab w:val="clear" w:pos="709"/>
          <w:tab w:val="left" w:pos="1134" w:leader="none"/>
        </w:tabs>
        <w:jc w:val="both"/>
        <w:rPr>
          <w:bCs/>
          <w:lang w:val="ru-RU"/>
        </w:rPr>
      </w:pPr>
      <w:r>
        <w:rPr>
          <w:bCs/>
          <w:lang w:val="ru-RU"/>
        </w:rPr>
      </w:r>
    </w:p>
    <w:p>
      <w:pPr>
        <w:pStyle w:val="ListParagraph"/>
        <w:numPr>
          <w:ilvl w:val="0"/>
          <w:numId w:val="24"/>
        </w:numPr>
        <w:shd w:val="clear" w:color="auto" w:fill="FFFFFF"/>
        <w:tabs>
          <w:tab w:val="clear" w:pos="709"/>
          <w:tab w:val="left" w:pos="284" w:leader="none"/>
        </w:tabs>
        <w:jc w:val="center"/>
        <w:rPr>
          <w:b/>
        </w:rPr>
      </w:pPr>
      <w:r>
        <w:rPr>
          <w:b/>
        </w:rPr>
        <w:t>Ответственность Сторон</w:t>
      </w:r>
    </w:p>
    <w:p>
      <w:pPr>
        <w:pStyle w:val="ListParagraph"/>
        <w:numPr>
          <w:ilvl w:val="1"/>
          <w:numId w:val="24"/>
        </w:numPr>
        <w:shd w:val="clear" w:color="auto" w:fill="FFFFFF"/>
        <w:tabs>
          <w:tab w:val="clear" w:pos="709"/>
          <w:tab w:val="left" w:pos="284" w:leader="none"/>
          <w:tab w:val="left" w:pos="1134" w:leader="none"/>
        </w:tabs>
        <w:ind w:left="0" w:firstLine="709"/>
        <w:jc w:val="both"/>
        <w:rPr>
          <w:b/>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24"/>
        </w:numPr>
        <w:shd w:val="clear" w:color="auto" w:fill="FFFFFF"/>
        <w:tabs>
          <w:tab w:val="clear" w:pos="709"/>
          <w:tab w:val="left" w:pos="284" w:leader="none"/>
          <w:tab w:val="left" w:pos="1134" w:leader="none"/>
        </w:tabs>
        <w:ind w:left="0" w:firstLine="709"/>
        <w:jc w:val="both"/>
        <w:rPr>
          <w:b/>
        </w:rPr>
      </w:pPr>
      <w:r>
        <w:rPr>
          <w:bCs/>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ListParagraph"/>
        <w:numPr>
          <w:ilvl w:val="1"/>
          <w:numId w:val="24"/>
        </w:numPr>
        <w:shd w:val="clear" w:color="auto" w:fill="FFFFFF"/>
        <w:tabs>
          <w:tab w:val="clear" w:pos="709"/>
          <w:tab w:val="left" w:pos="284" w:leader="none"/>
          <w:tab w:val="left" w:pos="1134" w:leader="none"/>
        </w:tabs>
        <w:ind w:left="0" w:firstLine="709"/>
        <w:jc w:val="both"/>
        <w:rPr>
          <w:b/>
        </w:rPr>
      </w:pPr>
      <w:r>
        <w:rPr/>
        <w:t>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Pr>
          <w:bCs/>
        </w:rPr>
        <w:t xml:space="preserve">. </w:t>
      </w:r>
    </w:p>
    <w:p>
      <w:pPr>
        <w:pStyle w:val="ListParagraph"/>
        <w:numPr>
          <w:ilvl w:val="1"/>
          <w:numId w:val="24"/>
        </w:numPr>
        <w:shd w:val="clear" w:color="auto" w:fill="FFFFFF"/>
        <w:tabs>
          <w:tab w:val="clear" w:pos="709"/>
          <w:tab w:val="left" w:pos="284" w:leader="none"/>
          <w:tab w:val="left" w:pos="1134" w:leader="none"/>
        </w:tabs>
        <w:ind w:left="0" w:firstLine="709"/>
        <w:jc w:val="both"/>
        <w:rPr>
          <w:b/>
        </w:rPr>
      </w:pPr>
      <w:r>
        <w:rPr>
          <w:bCs/>
        </w:rPr>
        <w:t xml:space="preserve">В случае </w:t>
      </w:r>
      <w:r>
        <w:rPr/>
        <w:t>нарушения Исполнителем обязательств по оказанию Услуг, в том числе сроков оказания Услуг, установленных Графиком оказания Услуг (Приложение № 2 к Договору), а также в случае несвоевременного устранения выявленных недостатков Услуг, Заказчик вправе требовать уплаты Исполнителем:</w:t>
      </w:r>
    </w:p>
    <w:p>
      <w:pPr>
        <w:pStyle w:val="ListParagraph"/>
        <w:numPr>
          <w:ilvl w:val="2"/>
          <w:numId w:val="24"/>
        </w:numPr>
        <w:shd w:val="clear" w:color="auto" w:fill="FFFFFF"/>
        <w:tabs>
          <w:tab w:val="clear" w:pos="709"/>
          <w:tab w:val="left" w:pos="1134" w:leader="none"/>
        </w:tabs>
        <w:ind w:left="0" w:firstLine="709"/>
        <w:jc w:val="both"/>
        <w:rPr>
          <w:b/>
        </w:rPr>
      </w:pPr>
      <w:r>
        <w:rPr/>
        <w:t>Неустойки в размере 0,1 (ноль целых и одна десятая) процента от стоимости Этапа Услуг за каждый день просрочки</w:t>
      </w:r>
      <w:r>
        <w:rPr>
          <w:rFonts w:eastAsia="Calibri"/>
          <w:bCs/>
        </w:rPr>
        <w:t>;</w:t>
      </w:r>
    </w:p>
    <w:p>
      <w:pPr>
        <w:pStyle w:val="ListParagraph"/>
        <w:numPr>
          <w:ilvl w:val="2"/>
          <w:numId w:val="24"/>
        </w:numPr>
        <w:shd w:val="clear" w:color="auto" w:fill="FFFFFF"/>
        <w:tabs>
          <w:tab w:val="clear" w:pos="709"/>
          <w:tab w:val="left" w:pos="284" w:leader="none"/>
          <w:tab w:val="left" w:pos="1134" w:leader="none"/>
        </w:tabs>
        <w:ind w:left="0" w:firstLine="709"/>
        <w:jc w:val="both"/>
        <w:rPr>
          <w:b/>
        </w:rPr>
      </w:pPr>
      <w:r>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Услуг в целом по Договору</w:t>
      </w:r>
      <w:r>
        <w:rPr>
          <w:rFonts w:eastAsia="Calibri"/>
          <w:bCs/>
        </w:rPr>
        <w:t xml:space="preserve">; </w:t>
      </w:r>
    </w:p>
    <w:p>
      <w:pPr>
        <w:pStyle w:val="ListParagraph"/>
        <w:numPr>
          <w:ilvl w:val="2"/>
          <w:numId w:val="24"/>
        </w:numPr>
        <w:shd w:val="clear" w:color="auto" w:fill="FFFFFF"/>
        <w:tabs>
          <w:tab w:val="clear" w:pos="709"/>
          <w:tab w:val="left" w:pos="284" w:leader="none"/>
          <w:tab w:val="left" w:pos="1134" w:leader="none"/>
        </w:tabs>
        <w:ind w:left="0" w:firstLine="709"/>
        <w:jc w:val="both"/>
        <w:rPr>
          <w:b/>
        </w:rPr>
      </w:pPr>
      <w:r>
        <w:rPr/>
        <w:t>Неустойки в размере 0,1 (ноль целых и одна десятая) процента от стоимости Этапа Услуг за каждый день просрочки – в случае несвоевременного устранения недостатков, не влияющих на возможность эксплуатации (использования) результата Услуг в целом по Договору</w:t>
      </w:r>
      <w:r>
        <w:rPr>
          <w:rFonts w:eastAsia="Calibri"/>
          <w:bCs/>
        </w:rPr>
        <w:t>.</w:t>
      </w:r>
    </w:p>
    <w:p>
      <w:pPr>
        <w:pStyle w:val="ListParagraph"/>
        <w:numPr>
          <w:ilvl w:val="1"/>
          <w:numId w:val="24"/>
        </w:numPr>
        <w:shd w:val="clear" w:color="auto" w:fill="FFFFFF"/>
        <w:tabs>
          <w:tab w:val="left" w:pos="0" w:leader="none"/>
          <w:tab w:val="left" w:pos="709" w:leader="none"/>
          <w:tab w:val="left" w:pos="1134" w:leader="none"/>
          <w:tab w:val="left" w:pos="1418" w:leader="none"/>
        </w:tabs>
        <w:ind w:left="0" w:firstLine="709"/>
        <w:jc w:val="both"/>
        <w:rPr>
          <w:bCs/>
        </w:rPr>
      </w:pPr>
      <w: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bCs/>
        </w:rPr>
        <w:t>.</w:t>
      </w:r>
    </w:p>
    <w:p>
      <w:pPr>
        <w:pStyle w:val="ListParagraph"/>
        <w:numPr>
          <w:ilvl w:val="1"/>
          <w:numId w:val="24"/>
        </w:numPr>
        <w:shd w:val="clear" w:color="auto" w:fill="FFFFFF"/>
        <w:tabs>
          <w:tab w:val="left" w:pos="0" w:leader="none"/>
          <w:tab w:val="left" w:pos="709" w:leader="none"/>
          <w:tab w:val="left" w:pos="1134" w:leader="none"/>
          <w:tab w:val="left" w:pos="1418" w:leader="none"/>
        </w:tabs>
        <w:ind w:left="0" w:firstLine="709"/>
        <w:jc w:val="both"/>
        <w:rPr>
          <w:bCs/>
        </w:rPr>
      </w:pPr>
      <w:r>
        <w:rPr>
          <w:bCs/>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6 к Договору. </w:t>
      </w:r>
    </w:p>
    <w:p>
      <w:pPr>
        <w:pStyle w:val="ListParagraph"/>
        <w:numPr>
          <w:ilvl w:val="1"/>
          <w:numId w:val="24"/>
        </w:numPr>
        <w:shd w:val="clear" w:color="auto" w:fill="FFFFFF"/>
        <w:tabs>
          <w:tab w:val="clear" w:pos="709"/>
          <w:tab w:val="left" w:pos="1134" w:leader="none"/>
          <w:tab w:val="left" w:pos="1276" w:leader="none"/>
        </w:tabs>
        <w:ind w:left="0" w:firstLine="709"/>
        <w:jc w:val="both"/>
        <w:rPr>
          <w:bCs/>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4"/>
        </w:numPr>
        <w:shd w:val="clear" w:color="auto" w:fill="FFFFFF"/>
        <w:tabs>
          <w:tab w:val="clear" w:pos="709"/>
          <w:tab w:val="left" w:pos="1134" w:leader="none"/>
          <w:tab w:val="left" w:pos="1276" w:leader="none"/>
        </w:tabs>
        <w:ind w:left="0" w:firstLine="709"/>
        <w:jc w:val="both"/>
        <w:rPr>
          <w:bCs/>
        </w:rPr>
      </w:pPr>
      <w:r>
        <w:rPr>
          <w:bCs/>
        </w:rPr>
        <w:t>За непредоставление либо несвоевременное предоставление / переоформление Исполнителем Независимых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pPr>
        <w:pStyle w:val="ListParagraph"/>
        <w:numPr>
          <w:ilvl w:val="1"/>
          <w:numId w:val="24"/>
        </w:numPr>
        <w:shd w:val="clear" w:color="auto" w:fill="FFFFFF"/>
        <w:tabs>
          <w:tab w:val="clear" w:pos="709"/>
          <w:tab w:val="left" w:pos="1134" w:leader="none"/>
          <w:tab w:val="left" w:pos="1276" w:leader="none"/>
        </w:tabs>
        <w:ind w:left="0" w:firstLine="709"/>
        <w:jc w:val="both"/>
        <w:rPr>
          <w:bCs/>
        </w:rPr>
      </w:pPr>
      <w:r>
        <w:rPr>
          <w:szCs w:val="28"/>
          <w:highlight w:val="lightGray"/>
        </w:rPr>
        <w:t>В случае если неисполнение / ненадлежащее исполнение Исполнителем обязательств по Договору повлекло за собой нарушение Заказчиком обязательств на оптовом и / или розничных рынках электрической энергии и мощности, Исполнитель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Заказчиком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Исполнителем своих обязательств.</w:t>
      </w:r>
    </w:p>
    <w:p>
      <w:pPr>
        <w:pStyle w:val="Normal"/>
        <w:tabs>
          <w:tab w:val="clear" w:pos="709"/>
          <w:tab w:val="left" w:pos="1134" w:leader="none"/>
          <w:tab w:val="left" w:pos="1701" w:leader="none"/>
        </w:tabs>
        <w:ind w:firstLine="709"/>
        <w:jc w:val="both"/>
        <w:rPr>
          <w:szCs w:val="28"/>
          <w:highlight w:val="lightGray"/>
          <w:lang w:val="ru-RU"/>
        </w:rPr>
      </w:pPr>
      <w:r>
        <w:rPr>
          <w:szCs w:val="28"/>
          <w:highlight w:val="lightGray"/>
          <w:lang w:val="ru-RU"/>
        </w:rPr>
        <w:t>Кроме суммы реального ущерба, Исполнитель компенсирует Заказчику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pPr>
        <w:pStyle w:val="Normal"/>
        <w:tabs>
          <w:tab w:val="clear" w:pos="709"/>
          <w:tab w:val="left" w:pos="1134" w:leader="none"/>
          <w:tab w:val="left" w:pos="1701" w:leader="none"/>
        </w:tabs>
        <w:ind w:firstLine="709"/>
        <w:jc w:val="both"/>
        <w:rPr>
          <w:szCs w:val="28"/>
          <w:highlight w:val="lightGray"/>
          <w:lang w:val="ru-RU"/>
        </w:rPr>
      </w:pPr>
      <w:r>
        <w:rPr>
          <w:szCs w:val="28"/>
          <w:highlight w:val="lightGray"/>
          <w:lang w:val="ru-RU"/>
        </w:rPr>
        <w:t>Размер упущенной выгоды (выручки) подтверждается (по выбору Заказчика):</w:t>
      </w:r>
    </w:p>
    <w:p>
      <w:pPr>
        <w:pStyle w:val="Normal"/>
        <w:numPr>
          <w:ilvl w:val="0"/>
          <w:numId w:val="29"/>
        </w:numPr>
        <w:tabs>
          <w:tab w:val="clear" w:pos="709"/>
          <w:tab w:val="left" w:pos="1134" w:leader="none"/>
          <w:tab w:val="left" w:pos="1701" w:leader="none"/>
        </w:tabs>
        <w:spacing w:lineRule="auto" w:line="259"/>
        <w:ind w:left="0" w:firstLine="709"/>
        <w:jc w:val="both"/>
        <w:rPr>
          <w:szCs w:val="28"/>
          <w:highlight w:val="lightGray"/>
        </w:rPr>
      </w:pPr>
      <w:r>
        <w:rPr>
          <w:szCs w:val="28"/>
          <w:highlight w:val="lightGray"/>
        </w:rPr>
        <w:t>в ценовых зонах:</w:t>
      </w:r>
    </w:p>
    <w:p>
      <w:pPr>
        <w:pStyle w:val="Normal"/>
        <w:tabs>
          <w:tab w:val="clear" w:pos="709"/>
          <w:tab w:val="left" w:pos="1134" w:leader="none"/>
          <w:tab w:val="left" w:pos="1701" w:leader="none"/>
        </w:tabs>
        <w:ind w:firstLine="709"/>
        <w:jc w:val="both"/>
        <w:rPr>
          <w:szCs w:val="28"/>
          <w:highlight w:val="lightGray"/>
          <w:lang w:val="ru-RU"/>
        </w:rPr>
      </w:pPr>
      <w:r>
        <w:rPr>
          <w:szCs w:val="28"/>
          <w:highlight w:val="lightGray"/>
          <w:lang w:val="ru-RU"/>
        </w:rPr>
        <w:t xml:space="preserve">расчетом, подготовленным Коммерческим оператором оптового рынка; </w:t>
      </w:r>
    </w:p>
    <w:p>
      <w:pPr>
        <w:pStyle w:val="Normal"/>
        <w:tabs>
          <w:tab w:val="clear" w:pos="709"/>
          <w:tab w:val="left" w:pos="1134" w:leader="none"/>
          <w:tab w:val="left" w:pos="1701" w:leader="none"/>
        </w:tabs>
        <w:ind w:firstLine="709"/>
        <w:jc w:val="both"/>
        <w:rPr>
          <w:szCs w:val="28"/>
          <w:highlight w:val="lightGray"/>
          <w:lang w:val="ru-RU"/>
        </w:rPr>
      </w:pPr>
      <w:r>
        <w:rPr>
          <w:szCs w:val="28"/>
          <w:highlight w:val="lightGray"/>
          <w:lang w:val="ru-RU"/>
        </w:rPr>
        <w:t>и / или</w:t>
      </w:r>
    </w:p>
    <w:p>
      <w:pPr>
        <w:pStyle w:val="Normal"/>
        <w:tabs>
          <w:tab w:val="clear" w:pos="709"/>
          <w:tab w:val="left" w:pos="1134" w:leader="none"/>
          <w:tab w:val="left" w:pos="1701" w:leader="none"/>
        </w:tabs>
        <w:ind w:firstLine="709"/>
        <w:jc w:val="both"/>
        <w:rPr>
          <w:szCs w:val="28"/>
          <w:highlight w:val="lightGray"/>
        </w:rPr>
      </w:pPr>
      <w:r>
        <w:rPr>
          <w:szCs w:val="28"/>
          <w:highlight w:val="lightGray"/>
          <w:lang w:val="ru-RU"/>
        </w:rPr>
        <w:t xml:space="preserve">расчетом, подготовленным Заказчиком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w:t>
      </w:r>
      <w:r>
        <w:rPr>
          <w:szCs w:val="28"/>
          <w:highlight w:val="lightGray"/>
        </w:rPr>
        <w:t>(далее – Ассоциация «НП Совета рынка»).</w:t>
      </w:r>
    </w:p>
    <w:p>
      <w:pPr>
        <w:pStyle w:val="Normal"/>
        <w:numPr>
          <w:ilvl w:val="0"/>
          <w:numId w:val="29"/>
        </w:numPr>
        <w:tabs>
          <w:tab w:val="clear" w:pos="709"/>
          <w:tab w:val="left" w:pos="1134" w:leader="none"/>
          <w:tab w:val="left" w:pos="1701" w:leader="none"/>
        </w:tabs>
        <w:spacing w:lineRule="auto" w:line="259"/>
        <w:ind w:left="0" w:firstLine="709"/>
        <w:jc w:val="both"/>
        <w:rPr>
          <w:szCs w:val="28"/>
          <w:highlight w:val="lightGray"/>
          <w:lang w:val="ru-RU"/>
        </w:rPr>
      </w:pPr>
      <w:r>
        <w:rPr>
          <w:szCs w:val="28"/>
          <w:highlight w:val="lightGray"/>
          <w:lang w:val="ru-RU"/>
        </w:rPr>
        <w:t xml:space="preserve">в неценовой зоне Дальнего Востока: </w:t>
      </w:r>
    </w:p>
    <w:p>
      <w:pPr>
        <w:pStyle w:val="Normal"/>
        <w:tabs>
          <w:tab w:val="clear" w:pos="709"/>
          <w:tab w:val="left" w:pos="1134" w:leader="none"/>
          <w:tab w:val="left" w:pos="1701" w:leader="none"/>
        </w:tabs>
        <w:ind w:firstLine="709"/>
        <w:jc w:val="both"/>
        <w:rPr>
          <w:szCs w:val="28"/>
          <w:highlight w:val="lightGray"/>
          <w:lang w:val="ru-RU"/>
        </w:rPr>
      </w:pPr>
      <w:r>
        <w:rPr>
          <w:szCs w:val="28"/>
          <w:highlight w:val="lightGray"/>
          <w:lang w:val="ru-RU"/>
        </w:rPr>
        <w:t>до даты утверждения Наблюдательным советом Ассоциации «НП Совет рынка» методики определения в неценовых зонах ОРЭМ упущенной выручки от недопоставки электрической энергии и мощности на ОРЭМ – расчетом, подготовленным Заказчиком на основании Методики (Приложение № 7 к Договору);</w:t>
      </w:r>
    </w:p>
    <w:p>
      <w:pPr>
        <w:pStyle w:val="Normal"/>
        <w:tabs>
          <w:tab w:val="clear" w:pos="709"/>
          <w:tab w:val="left" w:pos="1134" w:leader="none"/>
          <w:tab w:val="left" w:pos="1701" w:leader="none"/>
        </w:tabs>
        <w:ind w:firstLine="709"/>
        <w:jc w:val="both"/>
        <w:rPr>
          <w:szCs w:val="28"/>
          <w:highlight w:val="lightGray"/>
          <w:lang w:val="ru-RU"/>
        </w:rPr>
      </w:pPr>
      <w:r>
        <w:rPr>
          <w:szCs w:val="28"/>
          <w:highlight w:val="lightGray"/>
          <w:lang w:val="ru-RU"/>
        </w:rPr>
        <w:t>после утверждения Наблюдательным советом Ассоциации «НП Совет рынка» методики определения в неценовых зонах ОРЭМ упущенной выручки от недопоставки электрической энергии и мощности на ОРЭМ:</w:t>
      </w:r>
    </w:p>
    <w:p>
      <w:pPr>
        <w:pStyle w:val="Normal"/>
        <w:tabs>
          <w:tab w:val="clear" w:pos="709"/>
          <w:tab w:val="left" w:pos="1134" w:leader="none"/>
          <w:tab w:val="left" w:pos="1701" w:leader="none"/>
        </w:tabs>
        <w:ind w:firstLine="709"/>
        <w:jc w:val="both"/>
        <w:rPr>
          <w:szCs w:val="28"/>
          <w:highlight w:val="lightGray"/>
          <w:lang w:val="ru-RU"/>
        </w:rPr>
      </w:pPr>
      <w:r>
        <w:rPr>
          <w:szCs w:val="28"/>
          <w:highlight w:val="lightGray"/>
          <w:lang w:val="ru-RU"/>
        </w:rPr>
        <w:t xml:space="preserve">расчетом, подготовленным Коммерческим оператором оптового рынка; </w:t>
      </w:r>
    </w:p>
    <w:p>
      <w:pPr>
        <w:pStyle w:val="Normal"/>
        <w:tabs>
          <w:tab w:val="clear" w:pos="709"/>
          <w:tab w:val="left" w:pos="1134" w:leader="none"/>
          <w:tab w:val="left" w:pos="1701" w:leader="none"/>
        </w:tabs>
        <w:ind w:firstLine="709"/>
        <w:jc w:val="both"/>
        <w:rPr>
          <w:szCs w:val="28"/>
          <w:highlight w:val="lightGray"/>
          <w:lang w:val="ru-RU"/>
        </w:rPr>
      </w:pPr>
      <w:r>
        <w:rPr>
          <w:szCs w:val="28"/>
          <w:highlight w:val="lightGray"/>
          <w:lang w:val="ru-RU"/>
        </w:rPr>
        <w:t>и / или</w:t>
      </w:r>
    </w:p>
    <w:p>
      <w:pPr>
        <w:pStyle w:val="Normal"/>
        <w:tabs>
          <w:tab w:val="clear" w:pos="709"/>
          <w:tab w:val="left" w:pos="1134" w:leader="none"/>
          <w:tab w:val="left" w:pos="1701" w:leader="none"/>
        </w:tabs>
        <w:ind w:firstLine="709"/>
        <w:jc w:val="both"/>
        <w:rPr>
          <w:szCs w:val="28"/>
          <w:highlight w:val="lightGray"/>
          <w:lang w:val="ru-RU"/>
        </w:rPr>
      </w:pPr>
      <w:r>
        <w:rPr>
          <w:szCs w:val="28"/>
          <w:highlight w:val="lightGray"/>
          <w:lang w:val="ru-RU"/>
        </w:rPr>
        <w:t>расчетом, подготовленным Заказчиком на основании методики, утвержденной Наблюдательным советом Ассоциации «НП Совет рынка».</w:t>
      </w:r>
    </w:p>
    <w:p>
      <w:pPr>
        <w:pStyle w:val="Normal"/>
        <w:tabs>
          <w:tab w:val="clear" w:pos="709"/>
          <w:tab w:val="left" w:pos="1134" w:leader="none"/>
          <w:tab w:val="left" w:pos="1701" w:leader="none"/>
        </w:tabs>
        <w:ind w:firstLine="709"/>
        <w:jc w:val="both"/>
        <w:rPr>
          <w:szCs w:val="28"/>
          <w:highlight w:val="lightGray"/>
          <w:lang w:val="ru-RU"/>
        </w:rPr>
      </w:pPr>
      <w:r>
        <w:rPr>
          <w:szCs w:val="28"/>
          <w:highlight w:val="lightGray"/>
          <w:lang w:val="ru-RU"/>
        </w:rPr>
        <w:t>В отношении вновь вводимого оборудования ГЭС / ГАЭС – объектов ДПМ, ДПМ ВИЭ в ценовых зонах ОРЭМ Исполнитель дополнительно компенсирует Заказчику упущенную выгоду (выручку) в связи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pPr>
        <w:pStyle w:val="Normal"/>
        <w:tabs>
          <w:tab w:val="clear" w:pos="709"/>
          <w:tab w:val="left" w:pos="1134" w:leader="none"/>
          <w:tab w:val="left" w:pos="1701" w:leader="none"/>
        </w:tabs>
        <w:ind w:firstLine="709"/>
        <w:jc w:val="both"/>
        <w:rPr>
          <w:szCs w:val="28"/>
          <w:highlight w:val="lightGray"/>
          <w:lang w:val="ru-RU"/>
        </w:rPr>
      </w:pPr>
      <w:r>
        <w:rPr>
          <w:szCs w:val="28"/>
          <w:highlight w:val="lightGray"/>
          <w:lang w:val="ru-RU"/>
        </w:rPr>
        <w:t xml:space="preserve">В отношении вновь вводимого (модернизируемого) оборудования ТЭС в неценовой зоне Дальнего Востока Исполнитель дополнительно компенсирует Заказчику упущенную выгоду (выручку) в связи: </w:t>
      </w:r>
    </w:p>
    <w:p>
      <w:pPr>
        <w:pStyle w:val="ListParagraph"/>
        <w:numPr>
          <w:ilvl w:val="2"/>
          <w:numId w:val="24"/>
        </w:numPr>
        <w:tabs>
          <w:tab w:val="clear" w:pos="709"/>
          <w:tab w:val="left" w:pos="1134" w:leader="none"/>
          <w:tab w:val="left" w:pos="1701" w:leader="none"/>
        </w:tabs>
        <w:ind w:left="0" w:firstLine="709"/>
        <w:jc w:val="both"/>
        <w:rPr>
          <w:szCs w:val="28"/>
          <w:highlight w:val="lightGray"/>
        </w:rPr>
      </w:pPr>
      <w:r>
        <w:rPr>
          <w:szCs w:val="28"/>
          <w:highlight w:val="lightGray"/>
        </w:rPr>
        <w:t>С неоплатой мощности из-за просрочки исполнения обязательства по поставке мощности от модернизированного объекта.</w:t>
      </w:r>
    </w:p>
    <w:p>
      <w:pPr>
        <w:pStyle w:val="Normal"/>
        <w:tabs>
          <w:tab w:val="clear" w:pos="709"/>
          <w:tab w:val="left" w:pos="1134" w:leader="none"/>
          <w:tab w:val="left" w:pos="1701" w:leader="none"/>
        </w:tabs>
        <w:ind w:firstLine="709"/>
        <w:jc w:val="both"/>
        <w:rPr>
          <w:szCs w:val="28"/>
          <w:highlight w:val="lightGray"/>
          <w:lang w:val="ru-RU"/>
        </w:rPr>
      </w:pPr>
      <w:r>
        <w:rPr>
          <w:szCs w:val="28"/>
          <w:highlight w:val="lightGray"/>
          <w:lang w:val="ru-RU"/>
        </w:rPr>
        <w:t>Размер упущенной выгоды для каждого месяца просрочки определяется как произведение установленной мощности модернизированного объекта на тариф по мощности, определенный Коммерческим оператором оптового рынка согласно приложению № 5(3) к Основам ценообразования в области регулируемых цен (тарифов) в электроэнергетике, утвержденным постановлением Правительства Российской Федерации от 29.12.2011 № 1178 «О ценообразовании в области регулируемых цен (тарифов) в электроэнергетике», в порядке, установленном договором о присоединении к торговой системе оптового рынка, на каждый месяц в течение 180 месяцев с даты начала поставки мощности, указанной в перечне, утвержденном Правительством Российской Федерации.</w:t>
      </w:r>
    </w:p>
    <w:p>
      <w:pPr>
        <w:pStyle w:val="ListParagraph"/>
        <w:numPr>
          <w:ilvl w:val="2"/>
          <w:numId w:val="24"/>
        </w:numPr>
        <w:tabs>
          <w:tab w:val="clear" w:pos="709"/>
          <w:tab w:val="left" w:pos="1134" w:leader="none"/>
          <w:tab w:val="left" w:pos="1701" w:leader="none"/>
        </w:tabs>
        <w:ind w:left="0" w:firstLine="709"/>
        <w:jc w:val="both"/>
        <w:rPr>
          <w:szCs w:val="28"/>
          <w:highlight w:val="lightGray"/>
        </w:rPr>
      </w:pPr>
      <w:r>
        <w:rPr>
          <w:szCs w:val="28"/>
          <w:highlight w:val="lightGray"/>
        </w:rPr>
        <w:t>С уменьшением тарифа на мощность генерирующего объекта, в порядке, установленном договором о присоединении к торговой системе оптового рынка, 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в неценовых зонах оптового рынка, определенную в соответствии с решением Правительства Российской Федерации.</w:t>
      </w:r>
    </w:p>
    <w:p>
      <w:pPr>
        <w:pStyle w:val="Normal"/>
        <w:tabs>
          <w:tab w:val="clear" w:pos="709"/>
          <w:tab w:val="left" w:pos="1134" w:leader="none"/>
          <w:tab w:val="left" w:pos="1701" w:leader="none"/>
        </w:tabs>
        <w:ind w:firstLine="709"/>
        <w:jc w:val="both"/>
        <w:rPr>
          <w:szCs w:val="28"/>
          <w:highlight w:val="lightGray"/>
          <w:lang w:val="ru-RU"/>
        </w:rPr>
      </w:pPr>
      <w:r>
        <w:rPr>
          <w:szCs w:val="28"/>
          <w:highlight w:val="lightGray"/>
          <w:lang w:val="ru-RU"/>
        </w:rPr>
        <w:t>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по локализации.</w:t>
      </w:r>
    </w:p>
    <w:p>
      <w:pPr>
        <w:pStyle w:val="ListParagraph"/>
        <w:numPr>
          <w:ilvl w:val="2"/>
          <w:numId w:val="24"/>
        </w:numPr>
        <w:tabs>
          <w:tab w:val="clear" w:pos="709"/>
          <w:tab w:val="left" w:pos="1134" w:leader="none"/>
          <w:tab w:val="left" w:pos="1701" w:leader="none"/>
        </w:tabs>
        <w:ind w:left="0" w:firstLine="709"/>
        <w:jc w:val="both"/>
        <w:rPr>
          <w:szCs w:val="28"/>
          <w:highlight w:val="lightGray"/>
        </w:rPr>
      </w:pPr>
      <w:r>
        <w:rPr>
          <w:szCs w:val="28"/>
          <w:highlight w:val="lightGray"/>
        </w:rPr>
        <w:t>С применением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неценовой зоне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определяется в соответствии с порядком, предусмотренным пунктами 182(4), 182(5) Правил ОРЭМ</w:t>
      </w:r>
      <w:r>
        <w:rPr>
          <w:rStyle w:val="FootnoteReference"/>
          <w:szCs w:val="28"/>
          <w:highlight w:val="lightGray"/>
        </w:rPr>
        <w:footnoteReference w:id="4"/>
      </w:r>
      <w:r>
        <w:rPr>
          <w:szCs w:val="28"/>
          <w:highlight w:val="lightGray"/>
        </w:rPr>
        <w:t>.</w:t>
      </w:r>
    </w:p>
    <w:p>
      <w:pPr>
        <w:pStyle w:val="Normal"/>
        <w:tabs>
          <w:tab w:val="clear" w:pos="709"/>
          <w:tab w:val="left" w:pos="1134" w:leader="none"/>
        </w:tabs>
        <w:ind w:firstLine="709"/>
        <w:jc w:val="both"/>
        <w:rPr>
          <w:lang w:val="ru-RU"/>
        </w:rPr>
      </w:pPr>
      <w:r>
        <w:rPr>
          <w:highlight w:val="lightGray"/>
          <w:lang w:val="ru-RU"/>
        </w:rPr>
        <w:t>Методика расчета упущенной выгоды (выручки) и дополнительных обязательств участника ОРЭМ от недопоставки электрической энергии и мощности на ОРЭМ в неценовой зоне Дальнего Востока изложена в Приложении № 7 к Договору</w:t>
      </w:r>
      <w:r>
        <w:rPr>
          <w:bCs/>
          <w:highlight w:val="lightGray"/>
          <w:lang w:val="ru-RU"/>
        </w:rPr>
        <w:t>.</w:t>
      </w:r>
    </w:p>
    <w:p>
      <w:pPr>
        <w:pStyle w:val="ListParagraph"/>
        <w:numPr>
          <w:ilvl w:val="1"/>
          <w:numId w:val="24"/>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24"/>
        </w:numPr>
        <w:shd w:val="clear" w:color="auto" w:fill="FFFFFF"/>
        <w:tabs>
          <w:tab w:val="clear" w:pos="709"/>
          <w:tab w:val="left" w:pos="1418"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4"/>
        </w:numPr>
        <w:shd w:val="clear" w:color="auto" w:fill="FFFFFF"/>
        <w:tabs>
          <w:tab w:val="clear" w:pos="709"/>
          <w:tab w:val="left" w:pos="1418"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4"/>
        </w:numPr>
        <w:shd w:val="clear" w:color="auto" w:fill="FFFFFF"/>
        <w:tabs>
          <w:tab w:val="clear" w:pos="709"/>
          <w:tab w:val="left" w:pos="1418"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4"/>
        </w:numPr>
        <w:shd w:val="clear" w:color="auto" w:fill="FFFFFF"/>
        <w:tabs>
          <w:tab w:val="clear" w:pos="709"/>
          <w:tab w:val="left" w:pos="1418"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418" w:leader="none"/>
        </w:tabs>
        <w:ind w:left="709" w:hanging="0"/>
        <w:jc w:val="both"/>
        <w:rPr>
          <w:bCs/>
        </w:rPr>
      </w:pPr>
      <w:r>
        <w:rPr>
          <w:bCs/>
        </w:rPr>
      </w:r>
    </w:p>
    <w:p>
      <w:pPr>
        <w:pStyle w:val="ListParagraph"/>
        <w:numPr>
          <w:ilvl w:val="0"/>
          <w:numId w:val="24"/>
        </w:numPr>
        <w:shd w:val="clear" w:color="auto" w:fill="FFFFFF"/>
        <w:tabs>
          <w:tab w:val="clear" w:pos="709"/>
          <w:tab w:val="left" w:pos="284" w:leader="none"/>
        </w:tabs>
        <w:ind w:left="0" w:hanging="0"/>
        <w:jc w:val="center"/>
        <w:rPr>
          <w:b/>
        </w:rPr>
      </w:pPr>
      <w:r>
        <w:rPr>
          <w:b/>
        </w:rPr>
        <w:t>Исключительные права и патенты</w:t>
      </w:r>
    </w:p>
    <w:p>
      <w:pPr>
        <w:pStyle w:val="ListParagraph"/>
        <w:numPr>
          <w:ilvl w:val="1"/>
          <w:numId w:val="24"/>
        </w:numPr>
        <w:shd w:val="clear" w:color="auto" w:fill="FFFFFF"/>
        <w:tabs>
          <w:tab w:val="clear" w:pos="709"/>
          <w:tab w:val="left" w:pos="284" w:leader="none"/>
          <w:tab w:val="left" w:pos="1134" w:leader="none"/>
        </w:tabs>
        <w:ind w:left="0" w:firstLine="709"/>
        <w:jc w:val="both"/>
        <w:rPr>
          <w:b/>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4"/>
        </w:numPr>
        <w:shd w:val="clear" w:color="auto" w:fill="FFFFFF"/>
        <w:tabs>
          <w:tab w:val="clear" w:pos="709"/>
          <w:tab w:val="left" w:pos="284" w:leader="none"/>
          <w:tab w:val="left" w:pos="1134" w:leader="none"/>
        </w:tabs>
        <w:ind w:left="0" w:firstLine="709"/>
        <w:jc w:val="both"/>
        <w:rPr>
          <w:b/>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4"/>
        </w:numPr>
        <w:shd w:val="clear" w:color="auto" w:fill="FFFFFF"/>
        <w:tabs>
          <w:tab w:val="clear" w:pos="709"/>
          <w:tab w:val="left" w:pos="284" w:leader="none"/>
          <w:tab w:val="left" w:pos="1134" w:leader="none"/>
        </w:tabs>
        <w:ind w:left="0" w:firstLine="709"/>
        <w:jc w:val="both"/>
        <w:rPr>
          <w:b/>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4"/>
        </w:numPr>
        <w:shd w:val="clear" w:color="auto" w:fill="FFFFFF"/>
        <w:tabs>
          <w:tab w:val="clear" w:pos="709"/>
          <w:tab w:val="left" w:pos="284" w:leader="none"/>
          <w:tab w:val="left" w:pos="1134" w:leader="none"/>
        </w:tabs>
        <w:ind w:left="0" w:firstLine="709"/>
        <w:jc w:val="both"/>
        <w:rPr>
          <w:b/>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4"/>
        </w:numPr>
        <w:shd w:val="clear" w:color="auto" w:fill="FFFFFF"/>
        <w:tabs>
          <w:tab w:val="clear" w:pos="709"/>
          <w:tab w:val="left" w:pos="284" w:leader="none"/>
          <w:tab w:val="left" w:pos="1134" w:leader="none"/>
        </w:tabs>
        <w:ind w:left="0" w:firstLine="709"/>
        <w:jc w:val="both"/>
        <w:rPr>
          <w:b/>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4"/>
        </w:numPr>
        <w:shd w:val="clear" w:color="auto" w:fill="FFFFFF"/>
        <w:tabs>
          <w:tab w:val="clear" w:pos="709"/>
          <w:tab w:val="left" w:pos="284" w:leader="none"/>
          <w:tab w:val="left" w:pos="1134" w:leader="none"/>
        </w:tabs>
        <w:ind w:left="0" w:firstLine="709"/>
        <w:jc w:val="both"/>
        <w:rPr>
          <w:b/>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4"/>
        </w:numPr>
        <w:shd w:val="clear" w:color="auto" w:fill="FFFFFF"/>
        <w:tabs>
          <w:tab w:val="clear" w:pos="709"/>
          <w:tab w:val="left" w:pos="284" w:leader="none"/>
          <w:tab w:val="left" w:pos="1134" w:leader="none"/>
        </w:tabs>
        <w:ind w:left="0" w:firstLine="709"/>
        <w:jc w:val="both"/>
        <w:rPr>
          <w:b/>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284" w:leader="none"/>
          <w:tab w:val="left" w:pos="1134" w:leader="none"/>
        </w:tabs>
        <w:ind w:left="709" w:hanging="0"/>
        <w:jc w:val="both"/>
        <w:rPr>
          <w:b/>
        </w:rPr>
      </w:pPr>
      <w:r>
        <w:rPr>
          <w:b/>
        </w:rPr>
      </w:r>
    </w:p>
    <w:p>
      <w:pPr>
        <w:pStyle w:val="ListParagraph"/>
        <w:numPr>
          <w:ilvl w:val="0"/>
          <w:numId w:val="24"/>
        </w:numPr>
        <w:shd w:val="clear" w:color="auto" w:fill="FFFFFF"/>
        <w:tabs>
          <w:tab w:val="clear" w:pos="709"/>
          <w:tab w:val="left" w:pos="284" w:leader="none"/>
          <w:tab w:val="left" w:pos="1134" w:leader="none"/>
        </w:tabs>
        <w:ind w:left="0" w:hanging="0"/>
        <w:jc w:val="center"/>
        <w:rPr>
          <w:b/>
        </w:rPr>
      </w:pPr>
      <w:r>
        <w:rPr>
          <w:b/>
          <w:bCs/>
        </w:rPr>
        <w:t>Конфиденциальность</w:t>
      </w:r>
    </w:p>
    <w:p>
      <w:pPr>
        <w:pStyle w:val="ListParagraph"/>
        <w:numPr>
          <w:ilvl w:val="1"/>
          <w:numId w:val="24"/>
        </w:numPr>
        <w:shd w:val="clear" w:color="auto" w:fill="FFFFFF"/>
        <w:tabs>
          <w:tab w:val="clear" w:pos="709"/>
          <w:tab w:val="left" w:pos="284" w:leader="none"/>
          <w:tab w:val="left" w:pos="1134" w:leader="none"/>
        </w:tabs>
        <w:ind w:left="0" w:firstLine="709"/>
        <w:jc w:val="both"/>
        <w:rPr>
          <w:b/>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4"/>
        </w:numPr>
        <w:shd w:val="clear" w:color="auto" w:fill="FFFFFF"/>
        <w:tabs>
          <w:tab w:val="clear" w:pos="709"/>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4"/>
        </w:numPr>
        <w:shd w:val="clear" w:color="auto" w:fill="FFFFFF"/>
        <w:tabs>
          <w:tab w:val="clear" w:pos="709"/>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4"/>
        </w:numPr>
        <w:shd w:val="clear" w:color="auto" w:fill="FFFFFF"/>
        <w:tabs>
          <w:tab w:val="clear" w:pos="709"/>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4"/>
        </w:numPr>
        <w:shd w:val="clear" w:color="auto" w:fill="FFFFFF"/>
        <w:tabs>
          <w:tab w:val="clear" w:pos="709"/>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4"/>
        </w:numPr>
        <w:shd w:val="clear" w:color="auto" w:fill="FFFFFF"/>
        <w:tabs>
          <w:tab w:val="clear" w:pos="709"/>
          <w:tab w:val="left" w:pos="1134" w:leader="none"/>
        </w:tabs>
        <w:ind w:left="0" w:firstLine="709"/>
        <w:jc w:val="both"/>
        <w:rPr>
          <w:bCs/>
        </w:rPr>
      </w:pPr>
      <w:bookmarkStart w:id="20"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20"/>
      <w:r>
        <w:rPr>
          <w:bCs/>
        </w:rPr>
        <w:t xml:space="preserve"> </w:t>
      </w:r>
    </w:p>
    <w:p>
      <w:pPr>
        <w:pStyle w:val="ListParagraph"/>
        <w:numPr>
          <w:ilvl w:val="2"/>
          <w:numId w:val="24"/>
        </w:numPr>
        <w:shd w:val="clear" w:color="auto" w:fill="FFFFFF"/>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24"/>
        </w:numPr>
        <w:shd w:val="clear" w:color="auto" w:fill="FFFFFF"/>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4"/>
        </w:numPr>
        <w:shd w:val="clear" w:color="auto" w:fill="FFFFFF"/>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4"/>
        </w:numPr>
        <w:shd w:val="clear" w:color="auto" w:fill="FFFFFF"/>
        <w:tabs>
          <w:tab w:val="clear" w:pos="709"/>
          <w:tab w:val="left" w:pos="1134" w:leader="none"/>
        </w:tabs>
        <w:ind w:left="0" w:firstLine="709"/>
        <w:jc w:val="both"/>
        <w:rPr>
          <w:bCs/>
        </w:rPr>
      </w:pPr>
      <w:r>
        <w:rPr>
          <w:bCs/>
        </w:rPr>
        <w:t>не осуществлять действий (бездействия), результатом которых может быть несанкционированное раскрытие Информации третьим лицам;</w:t>
      </w:r>
    </w:p>
    <w:p>
      <w:pPr>
        <w:pStyle w:val="ListParagraph"/>
        <w:numPr>
          <w:ilvl w:val="2"/>
          <w:numId w:val="24"/>
        </w:numPr>
        <w:shd w:val="clear" w:color="auto" w:fill="FFFFFF"/>
        <w:tabs>
          <w:tab w:val="clear" w:pos="709"/>
          <w:tab w:val="left" w:pos="1134" w:leader="none"/>
        </w:tabs>
        <w:ind w:left="0" w:firstLine="709"/>
        <w:jc w:val="both"/>
        <w:rPr>
          <w:bCs/>
        </w:rPr>
      </w:pPr>
      <w:r>
        <w:rPr>
          <w:bCs/>
        </w:rPr>
        <w:t xml:space="preserve"> </w:t>
      </w: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4"/>
        </w:numPr>
        <w:shd w:val="clear" w:color="auto" w:fill="FFFFFF"/>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4"/>
        </w:numPr>
        <w:shd w:val="clear" w:color="auto" w:fill="FFFFFF"/>
        <w:tabs>
          <w:tab w:val="clear" w:pos="709"/>
          <w:tab w:val="left" w:pos="1134" w:leader="none"/>
        </w:tabs>
        <w:ind w:left="0" w:firstLine="709"/>
        <w:jc w:val="both"/>
        <w:rPr>
          <w:bCs/>
        </w:rPr>
      </w:pPr>
      <w:bookmarkStart w:id="21"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21"/>
    </w:p>
    <w:p>
      <w:pPr>
        <w:pStyle w:val="ListParagraph"/>
        <w:numPr>
          <w:ilvl w:val="2"/>
          <w:numId w:val="24"/>
        </w:numPr>
        <w:shd w:val="clear" w:color="auto" w:fill="FFFFFF"/>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4"/>
        </w:numPr>
        <w:shd w:val="clear" w:color="auto" w:fill="FFFFFF"/>
        <w:tabs>
          <w:tab w:val="clear" w:pos="709"/>
          <w:tab w:val="left" w:pos="1134" w:leader="none"/>
        </w:tabs>
        <w:ind w:left="0" w:firstLine="709"/>
        <w:jc w:val="both"/>
        <w:rPr>
          <w:bCs/>
        </w:rPr>
      </w:pPr>
      <w:bookmarkStart w:id="22"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22"/>
    </w:p>
    <w:p>
      <w:pPr>
        <w:pStyle w:val="ListParagraph"/>
        <w:numPr>
          <w:ilvl w:val="1"/>
          <w:numId w:val="24"/>
        </w:numPr>
        <w:shd w:val="clear" w:color="auto" w:fill="FFFFFF"/>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4"/>
        </w:numPr>
        <w:shd w:val="clear" w:color="auto" w:fill="FFFFFF"/>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1134" w:leader="none"/>
        </w:tabs>
        <w:ind w:left="709" w:hanging="0"/>
        <w:jc w:val="both"/>
        <w:rPr>
          <w:bCs/>
        </w:rPr>
      </w:pPr>
      <w:r>
        <w:rPr>
          <w:bCs/>
        </w:rPr>
      </w:r>
    </w:p>
    <w:p>
      <w:pPr>
        <w:pStyle w:val="ListParagraph"/>
        <w:numPr>
          <w:ilvl w:val="0"/>
          <w:numId w:val="24"/>
        </w:numPr>
        <w:shd w:val="clear" w:color="auto" w:fill="FFFFFF"/>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4"/>
        </w:numPr>
        <w:shd w:val="clear" w:color="auto" w:fill="FFFFFF"/>
        <w:tabs>
          <w:tab w:val="clear" w:pos="709"/>
          <w:tab w:val="left" w:pos="284"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4"/>
        </w:numPr>
        <w:shd w:val="clear" w:color="auto" w:fill="FFFFFF"/>
        <w:tabs>
          <w:tab w:val="clear" w:pos="709"/>
          <w:tab w:val="left" w:pos="284" w:leader="none"/>
          <w:tab w:val="left" w:pos="1134" w:leader="none"/>
        </w:tabs>
        <w:ind w:left="0" w:firstLine="709"/>
        <w:jc w:val="both"/>
        <w:rPr>
          <w:bCs/>
        </w:rPr>
      </w:pPr>
      <w:r>
        <w:rPr>
          <w:bCs/>
        </w:rPr>
        <w:t xml:space="preserve">Споры, указанные в пункте 9.1 Договора, которые не были урегулированы Сторонами путем переговоров, подлежат разрешению в Арбитражном суде </w:t>
      </w:r>
      <w:r>
        <w:rPr>
          <w:bCs/>
          <w:highlight w:val="lightGray"/>
        </w:rPr>
        <w:t>____________________</w:t>
      </w:r>
      <w:r>
        <w:rPr>
          <w:bCs/>
        </w:rPr>
        <w:t xml:space="preserve"> в соответствии с законодательством Российской Федерации, за исключением споров из Независимой гарантии, подсудность которых предусмотрена пунктом 6.1.9 Договора.</w:t>
      </w:r>
    </w:p>
    <w:p>
      <w:pPr>
        <w:pStyle w:val="ListParagraph"/>
        <w:numPr>
          <w:ilvl w:val="1"/>
          <w:numId w:val="24"/>
        </w:numPr>
        <w:shd w:val="clear" w:color="auto" w:fill="FFFFFF"/>
        <w:tabs>
          <w:tab w:val="clear" w:pos="709"/>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15.7 Договора.</w:t>
      </w:r>
    </w:p>
    <w:p>
      <w:pPr>
        <w:pStyle w:val="ListParagraph"/>
        <w:numPr>
          <w:ilvl w:val="1"/>
          <w:numId w:val="24"/>
        </w:numPr>
        <w:shd w:val="clear" w:color="auto" w:fill="FFFFFF"/>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4"/>
        </w:numPr>
        <w:shd w:val="clear" w:color="auto" w:fill="FFFFFF"/>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284" w:leader="none"/>
          <w:tab w:val="left" w:pos="1134" w:leader="none"/>
        </w:tabs>
        <w:ind w:left="709" w:hanging="0"/>
        <w:jc w:val="both"/>
        <w:rPr>
          <w:bCs/>
        </w:rPr>
      </w:pPr>
      <w:r>
        <w:rPr>
          <w:bCs/>
        </w:rPr>
      </w:r>
    </w:p>
    <w:p>
      <w:pPr>
        <w:pStyle w:val="ListParagraph"/>
        <w:numPr>
          <w:ilvl w:val="0"/>
          <w:numId w:val="24"/>
        </w:numPr>
        <w:shd w:val="clear" w:color="auto" w:fill="FFFFFF"/>
        <w:tabs>
          <w:tab w:val="clear" w:pos="709"/>
          <w:tab w:val="left" w:pos="426"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4"/>
        </w:numPr>
        <w:shd w:val="clear" w:color="auto" w:fill="FFFFFF"/>
        <w:tabs>
          <w:tab w:val="clear" w:pos="709"/>
          <w:tab w:val="left" w:pos="1134"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lang w:val="ru-RU"/>
        </w:rPr>
      </w:pPr>
      <w:r>
        <w:rPr>
          <w:color w:val="000000"/>
          <w:lang w:val="ru-RU"/>
        </w:rPr>
        <w:t xml:space="preserve">10.7.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4"/>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4"/>
        </w:numPr>
        <w:shd w:val="clear" w:color="auto" w:fill="FFFFFF"/>
        <w:tabs>
          <w:tab w:val="clear" w:pos="709"/>
          <w:tab w:val="left" w:pos="426"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4"/>
        </w:numPr>
        <w:shd w:val="clear" w:color="auto" w:fill="FFFFFF"/>
        <w:tabs>
          <w:tab w:val="clear" w:pos="709"/>
          <w:tab w:val="left" w:pos="426"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4"/>
        </w:numPr>
        <w:shd w:val="clear" w:color="auto" w:fill="FFFFFF"/>
        <w:tabs>
          <w:tab w:val="clear" w:pos="709"/>
          <w:tab w:val="left" w:pos="426"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4"/>
        </w:numPr>
        <w:shd w:val="clear" w:color="auto" w:fill="FFFFFF"/>
        <w:tabs>
          <w:tab w:val="clear" w:pos="709"/>
          <w:tab w:val="left" w:pos="426"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4"/>
        </w:numPr>
        <w:shd w:val="clear" w:color="auto" w:fill="FFFFFF"/>
        <w:tabs>
          <w:tab w:val="clear" w:pos="709"/>
          <w:tab w:val="left" w:pos="426"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4"/>
        </w:numPr>
        <w:shd w:val="clear" w:color="auto" w:fill="FFFFFF"/>
        <w:tabs>
          <w:tab w:val="clear" w:pos="709"/>
          <w:tab w:val="left" w:pos="426"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s>
        <w:ind w:left="0" w:firstLine="709"/>
        <w:jc w:val="both"/>
        <w:rPr/>
      </w:pPr>
      <w:r>
        <w:rPr/>
      </w:r>
    </w:p>
    <w:p>
      <w:pPr>
        <w:pStyle w:val="ListParagraph"/>
        <w:numPr>
          <w:ilvl w:val="0"/>
          <w:numId w:val="24"/>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24"/>
        </w:numPr>
        <w:shd w:val="clear" w:color="auto" w:fill="FFFFFF"/>
        <w:tabs>
          <w:tab w:val="clear" w:pos="709"/>
          <w:tab w:val="left" w:pos="426" w:leader="none"/>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1"/>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1"/>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4"/>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24"/>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4"/>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24"/>
        </w:numPr>
        <w:shd w:val="clear" w:color="auto" w:fill="FFFFFF"/>
        <w:tabs>
          <w:tab w:val="clear" w:pos="709"/>
          <w:tab w:val="left" w:pos="1134" w:leader="none"/>
        </w:tabs>
        <w:ind w:left="0" w:firstLine="709"/>
        <w:jc w:val="both"/>
        <w:rPr>
          <w:bCs/>
        </w:rPr>
      </w:pPr>
      <w:bookmarkStart w:id="23" w:name="_Ref373243071"/>
      <w:r>
        <w:rPr>
          <w:bCs/>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23"/>
    </w:p>
    <w:p>
      <w:pPr>
        <w:pStyle w:val="ListParagraph"/>
        <w:numPr>
          <w:ilvl w:val="1"/>
          <w:numId w:val="24"/>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24"/>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567" w:leader="none"/>
        </w:tabs>
        <w:ind w:left="0" w:hanging="0"/>
        <w:jc w:val="both"/>
        <w:rPr>
          <w:bCs/>
        </w:rPr>
      </w:pPr>
      <w:r>
        <w:rPr>
          <w:bCs/>
        </w:rPr>
      </w:r>
    </w:p>
    <w:p>
      <w:pPr>
        <w:pStyle w:val="ListParagraph"/>
        <w:numPr>
          <w:ilvl w:val="0"/>
          <w:numId w:val="24"/>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24"/>
        </w:numPr>
        <w:shd w:val="clear" w:color="auto" w:fill="FFFFFF"/>
        <w:tabs>
          <w:tab w:val="clear" w:pos="709"/>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8"/>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8"/>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8"/>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8"/>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8"/>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4"/>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10"/>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10"/>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10"/>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0"/>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4"/>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4"/>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4"/>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firstLine="709"/>
        <w:jc w:val="both"/>
        <w:rPr>
          <w:b/>
        </w:rPr>
      </w:pPr>
      <w:r>
        <w:rPr>
          <w:b/>
        </w:rPr>
      </w:r>
    </w:p>
    <w:p>
      <w:pPr>
        <w:pStyle w:val="ListParagraph"/>
        <w:numPr>
          <w:ilvl w:val="0"/>
          <w:numId w:val="24"/>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24"/>
        </w:numPr>
        <w:shd w:val="clear" w:color="auto" w:fill="FFFFFF"/>
        <w:tabs>
          <w:tab w:val="clear" w:pos="709"/>
          <w:tab w:val="left" w:pos="426" w:leader="none"/>
        </w:tabs>
        <w:ind w:left="0" w:firstLine="709"/>
        <w:jc w:val="both"/>
        <w:rPr>
          <w:b/>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15.7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4"/>
        </w:numPr>
        <w:shd w:val="clear" w:color="auto" w:fill="FFFFFF"/>
        <w:tabs>
          <w:tab w:val="clear" w:pos="709"/>
          <w:tab w:val="left" w:pos="426" w:leader="none"/>
        </w:tabs>
        <w:ind w:left="0" w:firstLine="709"/>
        <w:jc w:val="both"/>
        <w:rPr>
          <w:b/>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426" w:leader="none"/>
        </w:tabs>
        <w:ind w:left="0" w:firstLine="709"/>
        <w:jc w:val="both"/>
        <w:rPr>
          <w:b/>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4"/>
        </w:numPr>
        <w:shd w:val="clear" w:color="auto" w:fill="FFFFFF"/>
        <w:tabs>
          <w:tab w:val="clear" w:pos="709"/>
          <w:tab w:val="left" w:pos="426" w:leader="none"/>
        </w:tabs>
        <w:ind w:left="0" w:firstLine="709"/>
        <w:jc w:val="both"/>
        <w:rPr>
          <w:b/>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426" w:leader="none"/>
        </w:tabs>
        <w:ind w:left="0" w:firstLine="709"/>
        <w:jc w:val="both"/>
        <w:rPr>
          <w:b/>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4"/>
        </w:numPr>
        <w:shd w:val="clear" w:color="auto" w:fill="FFFFFF"/>
        <w:tabs>
          <w:tab w:val="clear" w:pos="709"/>
          <w:tab w:val="left" w:pos="426" w:leader="none"/>
        </w:tabs>
        <w:ind w:left="0" w:firstLine="709"/>
        <w:jc w:val="both"/>
        <w:rPr>
          <w:b/>
        </w:rPr>
      </w:pPr>
      <w:r>
        <w:rPr/>
        <w:t>Стороны установили, что существенным нарушением Договора Исполнителем является:</w:t>
      </w:r>
    </w:p>
    <w:p>
      <w:pPr>
        <w:pStyle w:val="ListParagraph"/>
        <w:numPr>
          <w:ilvl w:val="0"/>
          <w:numId w:val="7"/>
        </w:numPr>
        <w:tabs>
          <w:tab w:val="clear" w:pos="709"/>
          <w:tab w:val="left" w:pos="1134" w:leader="none"/>
        </w:tabs>
        <w:ind w:left="0" w:right="23" w:firstLine="709"/>
        <w:jc w:val="both"/>
        <w:rPr/>
      </w:pPr>
      <w:r>
        <w:rPr/>
        <w:t>нарушение Исполнителем начального и конечного сроков оказания Услуг по Договору, а также промежуточных сроков оказания Услуг, установленных Графиком оказания Услуг (Приложение № 2 к Договору) более чем на 60 (шестьдесят) календарных дней по причинам, не зависящим от Заказчика;</w:t>
      </w:r>
    </w:p>
    <w:p>
      <w:pPr>
        <w:pStyle w:val="ListParagraph"/>
        <w:numPr>
          <w:ilvl w:val="0"/>
          <w:numId w:val="7"/>
        </w:numPr>
        <w:tabs>
          <w:tab w:val="clear" w:pos="709"/>
          <w:tab w:val="left" w:pos="1134" w:leader="none"/>
        </w:tabs>
        <w:ind w:left="0" w:right="23"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7"/>
        </w:numPr>
        <w:tabs>
          <w:tab w:val="clear" w:pos="709"/>
          <w:tab w:val="left" w:pos="1134" w:leader="none"/>
        </w:tabs>
        <w:ind w:left="0" w:right="23"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7"/>
        </w:numPr>
        <w:tabs>
          <w:tab w:val="clear" w:pos="709"/>
          <w:tab w:val="left" w:pos="1134" w:leader="none"/>
        </w:tabs>
        <w:ind w:left="0" w:right="23" w:firstLine="709"/>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7"/>
        </w:numPr>
        <w:tabs>
          <w:tab w:val="clear" w:pos="709"/>
          <w:tab w:val="left" w:pos="1134" w:leader="none"/>
        </w:tabs>
        <w:ind w:left="0" w:right="23"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7"/>
        </w:numPr>
        <w:tabs>
          <w:tab w:val="clear" w:pos="709"/>
          <w:tab w:val="left" w:pos="1134" w:leader="none"/>
        </w:tabs>
        <w:ind w:left="0" w:right="23"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pPr>
        <w:pStyle w:val="Normal"/>
        <w:numPr>
          <w:ilvl w:val="0"/>
          <w:numId w:val="7"/>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7"/>
        </w:numPr>
        <w:tabs>
          <w:tab w:val="clear" w:pos="709"/>
          <w:tab w:val="left" w:pos="1134" w:leader="none"/>
        </w:tabs>
        <w:ind w:left="0" w:right="23"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24"/>
        </w:numPr>
        <w:shd w:val="clear" w:color="auto" w:fill="FFFFFF"/>
        <w:tabs>
          <w:tab w:val="clear" w:pos="709"/>
          <w:tab w:val="left" w:pos="1134" w:leader="none"/>
          <w:tab w:val="left" w:pos="1418" w:leader="none"/>
        </w:tabs>
        <w:ind w:left="0" w:firstLine="709"/>
        <w:jc w:val="both"/>
        <w:rPr/>
      </w:pPr>
      <w: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4"/>
        </w:numPr>
        <w:shd w:val="clear" w:color="auto" w:fill="FFFFFF"/>
        <w:tabs>
          <w:tab w:val="clear" w:pos="709"/>
          <w:tab w:val="left" w:pos="1134" w:leader="none"/>
          <w:tab w:val="left" w:pos="1418"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2"/>
        </w:numPr>
        <w:shd w:val="clear" w:color="auto" w:fill="FFFFFF"/>
        <w:tabs>
          <w:tab w:val="clear" w:pos="709"/>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12"/>
        </w:numPr>
        <w:shd w:val="clear" w:color="auto" w:fill="FFFFFF"/>
        <w:tabs>
          <w:tab w:val="clear" w:pos="709"/>
          <w:tab w:val="left" w:pos="1134" w:leader="none"/>
          <w:tab w:val="left" w:pos="1418" w:leader="none"/>
        </w:tabs>
        <w:ind w:left="0" w:firstLine="709"/>
        <w:jc w:val="both"/>
        <w:rPr>
          <w:rFonts w:cs="Verdana"/>
          <w:highlight w:val="lightGray"/>
        </w:rPr>
      </w:pPr>
      <w:r>
        <w:rPr>
          <w:highlight w:val="lightGray"/>
        </w:rPr>
        <w:t>вывезти с места оказания Услуг оборудование</w:t>
      </w:r>
      <w:r>
        <w:rPr>
          <w:rFonts w:cs="Verdana"/>
          <w:highlight w:val="lightGray"/>
        </w:rPr>
        <w:t xml:space="preserve"> и персонал Исполнителя; </w:t>
      </w:r>
    </w:p>
    <w:p>
      <w:pPr>
        <w:pStyle w:val="ListParagraph"/>
        <w:numPr>
          <w:ilvl w:val="0"/>
          <w:numId w:val="12"/>
        </w:numPr>
        <w:shd w:val="clear" w:color="auto" w:fill="FFFFFF"/>
        <w:tabs>
          <w:tab w:val="clear" w:pos="709"/>
          <w:tab w:val="left" w:pos="1134" w:leader="none"/>
          <w:tab w:val="left" w:pos="1418" w:leader="none"/>
        </w:tabs>
        <w:ind w:left="0" w:firstLine="709"/>
        <w:jc w:val="both"/>
        <w:rPr>
          <w:rFonts w:cs="Verdana"/>
          <w:highlight w:val="lightGray"/>
        </w:rPr>
      </w:pPr>
      <w:r>
        <w:rPr>
          <w:rFonts w:cs="Verdana"/>
          <w:highlight w:val="lightGray"/>
        </w:rPr>
        <w:t xml:space="preserve">удалить </w:t>
      </w:r>
      <w:r>
        <w:rPr>
          <w:highlight w:val="lightGray"/>
        </w:rPr>
        <w:t xml:space="preserve">с места оказания Услуг </w:t>
      </w:r>
      <w:r>
        <w:rPr>
          <w:rFonts w:cs="Verdana"/>
          <w:highlight w:val="lightGray"/>
        </w:rPr>
        <w:t>весь мусор и все остаточные продукты любого рода и оставить место оказания Услуг чистым и безопасным.</w:t>
      </w:r>
    </w:p>
    <w:p>
      <w:pPr>
        <w:pStyle w:val="ListParagraph"/>
        <w:numPr>
          <w:ilvl w:val="1"/>
          <w:numId w:val="24"/>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418" w:leader="none"/>
        </w:tabs>
        <w:ind w:left="0" w:firstLine="567"/>
        <w:jc w:val="both"/>
        <w:rPr>
          <w:b/>
          <w:bCs/>
        </w:rPr>
      </w:pPr>
      <w:r>
        <w:rPr>
          <w:b/>
          <w:bCs/>
        </w:rPr>
      </w:r>
    </w:p>
    <w:p>
      <w:pPr>
        <w:pStyle w:val="ListParagraph"/>
        <w:numPr>
          <w:ilvl w:val="0"/>
          <w:numId w:val="24"/>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24"/>
        </w:numPr>
        <w:shd w:val="clear" w:color="auto" w:fill="FFFFFF"/>
        <w:tabs>
          <w:tab w:val="clear" w:pos="709"/>
          <w:tab w:val="left" w:pos="426" w:leader="none"/>
        </w:tabs>
        <w:ind w:left="0" w:firstLine="709"/>
        <w:jc w:val="both"/>
        <w:rPr>
          <w:b/>
          <w:bCs/>
        </w:rPr>
      </w:pPr>
      <w:r>
        <w:rP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__________</w:t>
      </w:r>
      <w:r>
        <w:rPr/>
        <w:t>.</w:t>
      </w:r>
    </w:p>
    <w:p>
      <w:pPr>
        <w:pStyle w:val="Normal"/>
        <w:numPr>
          <w:ilvl w:val="1"/>
          <w:numId w:val="24"/>
        </w:numPr>
        <w:snapToGrid w:val="false"/>
        <w:ind w:left="0" w:firstLine="709"/>
        <w:jc w:val="both"/>
        <w:rPr>
          <w:highlight w:val="lightGray"/>
          <w:lang w:val="ru-RU"/>
        </w:rPr>
      </w:pPr>
      <w:r>
        <w:rPr>
          <w:highlight w:val="lightGray"/>
          <w:lang w:val="ru-RU"/>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w:t>
      </w:r>
    </w:p>
    <w:p>
      <w:pPr>
        <w:pStyle w:val="Normal"/>
        <w:shd w:val="clear" w:color="auto" w:fill="FFFFFF"/>
        <w:tabs>
          <w:tab w:val="clear" w:pos="709"/>
          <w:tab w:val="left" w:pos="1134" w:leader="none"/>
        </w:tabs>
        <w:ind w:firstLine="709"/>
        <w:jc w:val="both"/>
        <w:rPr>
          <w:lang w:val="ru-RU"/>
        </w:rPr>
      </w:pPr>
      <w:r>
        <w:rPr>
          <w:highlight w:val="lightGray"/>
          <w:lang w:val="ru-RU"/>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numPr>
          <w:ilvl w:val="1"/>
          <w:numId w:val="24"/>
        </w:numPr>
        <w:shd w:val="clear" w:color="auto" w:fill="FFFFFF"/>
        <w:tabs>
          <w:tab w:val="clear" w:pos="709"/>
          <w:tab w:val="left" w:pos="1134"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15.6 Договора. </w:t>
      </w:r>
    </w:p>
    <w:p>
      <w:pPr>
        <w:pStyle w:val="ListParagraph"/>
        <w:numPr>
          <w:ilvl w:val="1"/>
          <w:numId w:val="24"/>
        </w:numPr>
        <w:shd w:val="clear" w:color="auto" w:fill="FFFFFF"/>
        <w:tabs>
          <w:tab w:val="clear" w:pos="709"/>
          <w:tab w:val="left" w:pos="1134"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shd w:val="clear" w:color="auto" w:fill="FFFFFF"/>
        <w:tabs>
          <w:tab w:val="clear" w:pos="709"/>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4"/>
        </w:numPr>
        <w:shd w:val="clear" w:color="auto" w:fill="FFFFFF"/>
        <w:tabs>
          <w:tab w:val="clear" w:pos="709"/>
          <w:tab w:val="left" w:pos="1134"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15.7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4"/>
        </w:numPr>
        <w:shd w:val="clear" w:color="auto" w:fill="FFFFFF"/>
        <w:tabs>
          <w:tab w:val="clear" w:pos="709"/>
          <w:tab w:val="left" w:pos="1134" w:leader="none"/>
        </w:tabs>
        <w:ind w:left="0" w:firstLine="709"/>
        <w:jc w:val="both"/>
        <w:rPr/>
      </w:pPr>
      <w:r>
        <w:rP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15.7 Договора. </w:t>
      </w:r>
    </w:p>
    <w:p>
      <w:pPr>
        <w:pStyle w:val="ListParagraph"/>
        <w:numPr>
          <w:ilvl w:val="1"/>
          <w:numId w:val="24"/>
        </w:numPr>
        <w:shd w:val="clear" w:color="auto" w:fill="FFFFFF"/>
        <w:tabs>
          <w:tab w:val="clear" w:pos="709"/>
          <w:tab w:val="left" w:pos="1134" w:leader="none"/>
        </w:tabs>
        <w:ind w:left="0" w:firstLine="709"/>
        <w:jc w:val="both"/>
        <w:rPr/>
      </w:pPr>
      <w:r>
        <w:rPr/>
        <w:t>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w:t>
      </w:r>
      <w:r>
        <w:rPr>
          <w:bCs/>
        </w:rPr>
        <w:t xml:space="preserve"> будет считаться полученным:</w:t>
      </w:r>
    </w:p>
    <w:p>
      <w:pPr>
        <w:pStyle w:val="ListParagraph"/>
        <w:shd w:val="clear" w:color="auto" w:fill="FFFFFF"/>
        <w:tabs>
          <w:tab w:val="clear" w:pos="709"/>
          <w:tab w:val="left" w:pos="1418" w:leader="none"/>
        </w:tabs>
        <w:ind w:left="0" w:firstLine="709"/>
        <w:jc w:val="both"/>
        <w:rPr>
          <w:bCs/>
        </w:rPr>
      </w:pPr>
      <w:r>
        <w:rPr>
          <w:bCs/>
        </w:rPr>
        <w:t>15.7.1.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9"/>
          <w:tab w:val="left" w:pos="1418" w:leader="none"/>
        </w:tabs>
        <w:ind w:left="0" w:firstLine="709"/>
        <w:jc w:val="both"/>
        <w:rPr>
          <w:bCs/>
        </w:rPr>
      </w:pPr>
      <w:r>
        <w:rPr>
          <w:bCs/>
        </w:rPr>
        <w:t>15.7.2. 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bCs/>
        </w:rPr>
      </w:pPr>
      <w:r>
        <w:rPr>
          <w:bCs/>
        </w:rPr>
        <w:t>15.7.3.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15.7.1 – 15.7.2 Договора. </w:t>
      </w:r>
    </w:p>
    <w:p>
      <w:pPr>
        <w:pStyle w:val="ListParagraph"/>
        <w:numPr>
          <w:ilvl w:val="1"/>
          <w:numId w:val="24"/>
        </w:numPr>
        <w:shd w:val="clear" w:color="auto" w:fill="FFFFFF"/>
        <w:tabs>
          <w:tab w:val="clear" w:pos="709"/>
          <w:tab w:val="left" w:pos="1134"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4"/>
        </w:numPr>
        <w:shd w:val="clear" w:color="auto" w:fill="FFFFFF"/>
        <w:tabs>
          <w:tab w:val="clear" w:pos="709"/>
          <w:tab w:val="left" w:pos="1134" w:leader="none"/>
        </w:tabs>
        <w:ind w:left="0" w:firstLine="709"/>
        <w:jc w:val="both"/>
        <w:rPr>
          <w:bCs/>
        </w:rPr>
      </w:pPr>
      <w:r>
        <w:rPr>
          <w:bCs/>
        </w:rPr>
        <w:t>Уступка (передача), в том числе в залог, прав (требований) к Заказчику по денежным обязательствам, возникшим из Договора, и принадлежащих Исполнителю, осуществляется только при условии предварительного письменного согласия Заказчика и оформляется трёхсторонним договором.</w:t>
      </w:r>
    </w:p>
    <w:p>
      <w:pPr>
        <w:pStyle w:val="ListParagraph"/>
        <w:shd w:val="clear" w:color="auto" w:fill="FFFFFF"/>
        <w:tabs>
          <w:tab w:val="clear" w:pos="709"/>
          <w:tab w:val="left" w:pos="1134" w:leader="none"/>
        </w:tabs>
        <w:ind w:left="0" w:firstLine="709"/>
        <w:jc w:val="both"/>
        <w:rPr>
          <w:bCs/>
        </w:rPr>
      </w:pPr>
      <w:r>
        <w:rPr>
          <w:bCs/>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Заказчика</w:t>
      </w:r>
      <w:r>
        <w:rPr/>
        <w:t>. </w:t>
      </w:r>
    </w:p>
    <w:p>
      <w:pPr>
        <w:pStyle w:val="ListParagraph"/>
        <w:numPr>
          <w:ilvl w:val="1"/>
          <w:numId w:val="24"/>
        </w:numPr>
        <w:shd w:val="clear" w:color="auto" w:fill="FFFFFF"/>
        <w:tabs>
          <w:tab w:val="clear" w:pos="709"/>
          <w:tab w:val="left" w:pos="1134"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24"/>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Приложение №2 – График оказания Услуг;</w:t>
      </w:r>
    </w:p>
    <w:p>
      <w:pPr>
        <w:pStyle w:val="Normal"/>
        <w:tabs>
          <w:tab w:val="clear" w:pos="709"/>
          <w:tab w:val="left" w:pos="2127" w:leader="none"/>
          <w:tab w:val="left" w:pos="2410" w:leader="none"/>
        </w:tabs>
        <w:jc w:val="both"/>
        <w:rPr>
          <w:lang w:val="ru-RU" w:eastAsia="en-US"/>
        </w:rPr>
      </w:pPr>
      <w:r>
        <w:rPr>
          <w:lang w:val="ru-RU"/>
        </w:rPr>
        <w:t xml:space="preserve">Приложение № 3 – </w:t>
      </w:r>
      <w:r>
        <w:rPr>
          <w:highlight w:val="lightGray"/>
          <w:lang w:val="ru-RU"/>
        </w:rPr>
        <w:t>Сводный расчет стоимости Услуг с приложениями / Расчет стоимости Услуг</w:t>
      </w:r>
      <w:r>
        <w:rPr>
          <w:lang w:val="ru-RU"/>
        </w:rPr>
        <w:t>;</w:t>
      </w:r>
    </w:p>
    <w:p>
      <w:pPr>
        <w:pStyle w:val="Normal"/>
        <w:tabs>
          <w:tab w:val="clear" w:pos="709"/>
          <w:tab w:val="left" w:pos="2127" w:leader="none"/>
          <w:tab w:val="left" w:pos="2410" w:leader="none"/>
        </w:tabs>
        <w:jc w:val="both"/>
        <w:rPr>
          <w:bCs/>
          <w:lang w:val="ru-RU"/>
        </w:rPr>
      </w:pPr>
      <w:r>
        <w:rPr>
          <w:lang w:val="ru-RU"/>
        </w:rPr>
        <w:t xml:space="preserve">Приложение № 4 </w:t>
      </w:r>
      <w:r>
        <w:rPr>
          <w:bCs/>
          <w:lang w:val="ru-RU"/>
        </w:rPr>
        <w:t>– Форма Акта сдачи-приемки технической и иной документации;</w:t>
      </w:r>
    </w:p>
    <w:p>
      <w:pPr>
        <w:pStyle w:val="Normal"/>
        <w:tabs>
          <w:tab w:val="clear" w:pos="709"/>
          <w:tab w:val="left" w:pos="2127" w:leader="none"/>
          <w:tab w:val="left" w:pos="2410" w:leader="none"/>
        </w:tabs>
        <w:jc w:val="both"/>
        <w:rPr>
          <w:lang w:val="ru-RU"/>
        </w:rPr>
      </w:pPr>
      <w:r>
        <w:rPr>
          <w:lang w:val="ru-RU"/>
        </w:rPr>
        <w:t>Приложение № 5 – Форма Акта об оказании Услуг;</w:t>
      </w:r>
    </w:p>
    <w:p>
      <w:pPr>
        <w:pStyle w:val="ListParagraph"/>
        <w:shd w:val="clear" w:color="auto" w:fill="FFFFFF"/>
        <w:tabs>
          <w:tab w:val="clear" w:pos="709"/>
          <w:tab w:val="left" w:pos="1134" w:leader="none"/>
          <w:tab w:val="left" w:pos="2127" w:leader="none"/>
          <w:tab w:val="left" w:pos="2410" w:leader="none"/>
        </w:tabs>
        <w:ind w:left="0" w:hanging="0"/>
        <w:jc w:val="both"/>
        <w:rPr>
          <w:lang w:eastAsia="en-US"/>
        </w:rPr>
      </w:pPr>
      <w:r>
        <w:rPr>
          <w:bCs/>
        </w:rPr>
        <w:t xml:space="preserve">Приложение № 6 </w:t>
      </w:r>
      <w:r>
        <w:rPr/>
        <w:t>–</w:t>
      </w:r>
      <w:r>
        <w:rPr>
          <w:bCs/>
        </w:rPr>
        <w:t xml:space="preserve"> Размер ответственности Исполнителя за нарушения пропускного и внутриобъектового режима, требований охраны труда, пожарной безопасности.</w:t>
      </w:r>
    </w:p>
    <w:p>
      <w:pPr>
        <w:pStyle w:val="ListParagraph"/>
        <w:shd w:val="clear" w:color="auto" w:fill="FFFFFF"/>
        <w:tabs>
          <w:tab w:val="clear" w:pos="709"/>
          <w:tab w:val="left" w:pos="1134" w:leader="none"/>
          <w:tab w:val="left" w:pos="2127" w:leader="none"/>
          <w:tab w:val="left" w:pos="2410" w:leader="none"/>
        </w:tabs>
        <w:ind w:left="0" w:hanging="0"/>
        <w:jc w:val="both"/>
        <w:rPr/>
      </w:pPr>
      <w:r>
        <w:rPr>
          <w:highlight w:val="lightGray"/>
        </w:rPr>
        <w:t>Приложение № 7 – Методика расчета упущенной выгоды (выручки) и дополнительных обязательств участника ОРЭМ от недопоставки электрической энергии и мощности на ОРЭМ в неценовой зоне Дальнего Востока.</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ListParagraph"/>
        <w:numPr>
          <w:ilvl w:val="0"/>
          <w:numId w:val="24"/>
        </w:numPr>
        <w:shd w:val="clear" w:color="auto" w:fill="FFFFFF"/>
        <w:tabs>
          <w:tab w:val="clear" w:pos="709"/>
          <w:tab w:val="left" w:pos="426" w:leader="none"/>
        </w:tabs>
        <w:ind w:left="0" w:hanging="0"/>
        <w:jc w:val="center"/>
        <w:rPr>
          <w:b/>
          <w:bCs/>
          <w:color w:val="000000"/>
        </w:rPr>
      </w:pPr>
      <w:r>
        <w:rPr>
          <w:b/>
          <w:bCs/>
          <w:color w:val="000000"/>
        </w:rPr>
        <w:t>Адреса и платежные реквизиты Сторон</w:t>
      </w:r>
    </w:p>
    <w:p>
      <w:pPr>
        <w:pStyle w:val="Normal"/>
        <w:jc w:val="right"/>
        <w:rPr>
          <w:lang w:val="ru-RU"/>
        </w:rPr>
      </w:pPr>
      <w:r>
        <w:rPr>
          <w:lang w:val="ru-RU"/>
        </w:rPr>
      </w:r>
    </w:p>
    <w:tbl>
      <w:tblPr>
        <w:tblW w:w="9464"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820"/>
        <w:gridCol w:w="4643"/>
      </w:tblGrid>
      <w:tr>
        <w:trPr/>
        <w:tc>
          <w:tcPr>
            <w:tcW w:w="4820" w:type="dxa"/>
            <w:tcBorders/>
            <w:shd w:color="auto" w:fill="auto" w:val="clear"/>
          </w:tcPr>
          <w:p>
            <w:pPr>
              <w:pStyle w:val="Normal"/>
              <w:widowControl w:val="false"/>
              <w:rPr>
                <w:b/>
              </w:rPr>
            </w:pPr>
            <w:r>
              <w:rPr>
                <w:b/>
              </w:rPr>
              <w:t>ЗАКАЗЧИК:</w:t>
            </w:r>
          </w:p>
        </w:tc>
        <w:tc>
          <w:tcPr>
            <w:tcW w:w="4643" w:type="dxa"/>
            <w:tcBorders/>
            <w:shd w:color="auto" w:fill="auto" w:val="clear"/>
          </w:tcPr>
          <w:p>
            <w:pPr>
              <w:pStyle w:val="Normal"/>
              <w:widowControl w:val="false"/>
              <w:rPr>
                <w:b/>
              </w:rPr>
            </w:pPr>
            <w:r>
              <w:rPr>
                <w:b/>
                <w:lang w:val="ru-RU"/>
              </w:rPr>
              <w:t>ИСПОЛНИТЕЛЬ</w:t>
            </w:r>
            <w:r>
              <w:rPr>
                <w:b/>
              </w:rPr>
              <w:t>:</w:t>
            </w:r>
          </w:p>
        </w:tc>
      </w:tr>
      <w:tr>
        <w:trPr/>
        <w:tc>
          <w:tcPr>
            <w:tcW w:w="4820" w:type="dxa"/>
            <w:tcBorders/>
            <w:shd w:color="auto" w:fill="auto" w:val="clear"/>
          </w:tcPr>
          <w:p>
            <w:pPr>
              <w:pStyle w:val="Normal"/>
              <w:widowControl w:val="false"/>
              <w:rPr>
                <w:b/>
                <w:lang w:val="ru-RU"/>
              </w:rPr>
            </w:pPr>
            <w:r>
              <w:rPr>
                <w:b/>
                <w:lang w:val="ru-RU"/>
              </w:rPr>
              <w:t>Публичное акционерное общество</w:t>
            </w:r>
          </w:p>
          <w:p>
            <w:pPr>
              <w:pStyle w:val="Normal"/>
              <w:widowControl w:val="false"/>
              <w:rPr>
                <w:b/>
                <w:lang w:val="ru-RU"/>
              </w:rPr>
            </w:pPr>
            <w:r>
              <w:rPr>
                <w:b/>
                <w:lang w:val="ru-RU"/>
              </w:rPr>
              <w:t>«Федеральная гидрогенерирующая компания - РусГидро» (ПАО «РусГидро»)</w:t>
            </w:r>
          </w:p>
          <w:p>
            <w:pPr>
              <w:pStyle w:val="Normal"/>
              <w:widowControl w:val="false"/>
              <w:rPr>
                <w:lang w:val="ru-RU"/>
              </w:rPr>
            </w:pPr>
            <w:r>
              <w:rPr>
                <w:lang w:val="ru-RU"/>
              </w:rPr>
              <w:t>Место нахождения:</w:t>
            </w:r>
          </w:p>
          <w:p>
            <w:pPr>
              <w:pStyle w:val="Normal"/>
              <w:widowControl w:val="false"/>
              <w:rPr>
                <w:lang w:val="ru-RU"/>
              </w:rPr>
            </w:pPr>
            <w:r>
              <w:rPr>
                <w:lang w:val="ru-RU"/>
              </w:rPr>
              <w:t>660017, Красноярский край, г. Красноярск, ул. Дубровинского, д. 43, стр. 1</w:t>
            </w:r>
          </w:p>
          <w:p>
            <w:pPr>
              <w:pStyle w:val="Normal"/>
              <w:widowControl w:val="false"/>
              <w:rPr>
                <w:lang w:val="ru-RU"/>
              </w:rPr>
            </w:pPr>
            <w:r>
              <w:rPr>
                <w:lang w:val="ru-RU"/>
              </w:rPr>
              <w:t xml:space="preserve">Почтовый адрес: </w:t>
            </w:r>
          </w:p>
          <w:p>
            <w:pPr>
              <w:pStyle w:val="Normal"/>
              <w:widowControl w:val="false"/>
              <w:rPr>
                <w:lang w:val="ru-RU"/>
              </w:rPr>
            </w:pPr>
            <w:r>
              <w:rPr>
                <w:lang w:val="ru-RU"/>
              </w:rPr>
              <w:t>______________________________</w:t>
            </w:r>
          </w:p>
          <w:p>
            <w:pPr>
              <w:pStyle w:val="Normal"/>
              <w:widowControl w:val="false"/>
              <w:rPr>
                <w:lang w:val="ru-RU"/>
              </w:rPr>
            </w:pPr>
            <w:r>
              <w:rPr>
                <w:lang w:val="ru-RU"/>
              </w:rPr>
              <w:t xml:space="preserve">ОГРН 1042401810494, </w:t>
            </w:r>
          </w:p>
          <w:p>
            <w:pPr>
              <w:pStyle w:val="Normal"/>
              <w:widowControl w:val="false"/>
              <w:rPr>
                <w:lang w:val="ru-RU"/>
              </w:rPr>
            </w:pPr>
            <w:r>
              <w:rPr>
                <w:lang w:val="ru-RU"/>
              </w:rPr>
              <w:t>ИНН 2460066195 / КПП 997650001</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820" w:type="dxa"/>
            <w:tcBorders/>
            <w:shd w:color="auto" w:fill="auto" w:val="clear"/>
          </w:tcPr>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c>
          <w:tcPr>
            <w:tcW w:w="4643" w:type="dxa"/>
            <w:tcBorders/>
            <w:shd w:color="auto" w:fill="auto" w:val="clear"/>
          </w:tcPr>
          <w:p>
            <w:pPr>
              <w:pStyle w:val="Normal"/>
              <w:widowControl w:val="false"/>
              <w:rPr>
                <w:sz w:val="22"/>
                <w:lang w:val="ru-RU"/>
              </w:rPr>
            </w:pPr>
            <w:r>
              <w:rPr>
                <w:sz w:val="22"/>
              </w:rPr>
              <w:t xml:space="preserve">_______________ / _______________ </w:t>
            </w:r>
          </w:p>
          <w:p>
            <w:pPr>
              <w:pStyle w:val="Normal"/>
              <w:widowControl w:val="false"/>
              <w:rPr>
                <w:sz w:val="22"/>
              </w:rPr>
            </w:pPr>
            <w:r>
              <w:rPr>
                <w:sz w:val="22"/>
              </w:rPr>
            </w:r>
          </w:p>
        </w:tc>
      </w:tr>
    </w:tbl>
    <w:p>
      <w:pPr>
        <w:pStyle w:val="Normal"/>
        <w:ind w:firstLine="709"/>
        <w:jc w:val="right"/>
        <w:rPr>
          <w:sz w:val="22"/>
          <w:szCs w:val="22"/>
          <w:lang w:val="ru-RU"/>
        </w:rPr>
      </w:pPr>
      <w:r>
        <w:br w:type="page"/>
      </w:r>
      <w:r>
        <w:rPr>
          <w:sz w:val="22"/>
          <w:szCs w:val="22"/>
          <w:lang w:val="ru-RU"/>
        </w:rPr>
        <w:t>Приложение № 1</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4820" w:hanging="0"/>
        <w:rPr>
          <w:lang w:val="ru-RU"/>
        </w:rPr>
      </w:pPr>
      <w:r>
        <w:rPr>
          <w:lang w:val="ru-RU"/>
        </w:rPr>
      </w:r>
    </w:p>
    <w:p>
      <w:pPr>
        <w:pStyle w:val="Normal"/>
        <w:ind w:left="6379" w:hanging="0"/>
        <w:rPr>
          <w:lang w:val="ru-RU"/>
        </w:rPr>
      </w:pPr>
      <w:r>
        <w:rPr>
          <w:lang w:val="ru-RU"/>
        </w:rPr>
      </w:r>
    </w:p>
    <w:p>
      <w:pPr>
        <w:pStyle w:val="Normal"/>
        <w:ind w:left="6379" w:hanging="0"/>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p>
            <w:pPr>
              <w:pStyle w:val="Normal"/>
              <w:widowControl w:val="false"/>
              <w:rPr>
                <w:sz w:val="22"/>
                <w:szCs w:val="22"/>
              </w:rPr>
            </w:pPr>
            <w:r>
              <w:rPr>
                <w:sz w:val="22"/>
                <w:szCs w:val="22"/>
              </w:rPr>
            </w:r>
          </w:p>
        </w:tc>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2</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4820" w:hanging="0"/>
        <w:rPr>
          <w:b/>
        </w:rPr>
      </w:pPr>
      <w:r>
        <w:rPr>
          <w:b/>
        </w:rPr>
      </w:r>
    </w:p>
    <w:p>
      <w:pPr>
        <w:pStyle w:val="Normal"/>
        <w:jc w:val="center"/>
        <w:rPr>
          <w:b/>
        </w:rPr>
      </w:pPr>
      <w:r>
        <w:rPr>
          <w:b/>
        </w:rPr>
      </w:r>
    </w:p>
    <w:p>
      <w:pPr>
        <w:pStyle w:val="Normal"/>
        <w:jc w:val="center"/>
        <w:rPr>
          <w:b/>
        </w:rPr>
      </w:pPr>
      <w:r>
        <w:rPr>
          <w:b/>
        </w:rPr>
      </w:r>
    </w:p>
    <w:p>
      <w:pPr>
        <w:pStyle w:val="Normal"/>
        <w:jc w:val="center"/>
        <w:rPr>
          <w:b/>
          <w:lang w:val="ru-RU"/>
        </w:rPr>
      </w:pPr>
      <w:r>
        <w:rPr>
          <w:b/>
          <w:lang w:val="ru-RU"/>
        </w:rPr>
        <w:t>График оказания Услуг</w:t>
      </w:r>
    </w:p>
    <w:p>
      <w:pPr>
        <w:pStyle w:val="Normal"/>
        <w:rPr/>
      </w:pPr>
      <w:r>
        <w:rPr/>
      </w:r>
    </w:p>
    <w:tbl>
      <w:tblPr>
        <w:tblW w:w="9720"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671"/>
        <w:gridCol w:w="1534"/>
        <w:gridCol w:w="1842"/>
        <w:gridCol w:w="1484"/>
        <w:gridCol w:w="1268"/>
        <w:gridCol w:w="850"/>
        <w:gridCol w:w="851"/>
        <w:gridCol w:w="1218"/>
      </w:tblGrid>
      <w:tr>
        <w:trPr>
          <w:trHeight w:val="239" w:hRule="atLeast"/>
        </w:trPr>
        <w:tc>
          <w:tcPr>
            <w:tcW w:w="67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 xml:space="preserve">№ </w:t>
            </w:r>
            <w:r>
              <w:rPr>
                <w:sz w:val="20"/>
                <w:szCs w:val="20"/>
              </w:rPr>
              <w:t>этапа</w:t>
            </w:r>
          </w:p>
        </w:tc>
        <w:tc>
          <w:tcPr>
            <w:tcW w:w="153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 xml:space="preserve">Наименование этапа (состав </w:t>
            </w:r>
            <w:r>
              <w:rPr>
                <w:sz w:val="20"/>
                <w:szCs w:val="20"/>
                <w:lang w:val="ru-RU"/>
              </w:rPr>
              <w:t>Услуг</w:t>
            </w:r>
            <w:r>
              <w:rPr>
                <w:sz w:val="20"/>
                <w:szCs w:val="20"/>
              </w:rPr>
              <w:t>)</w:t>
            </w:r>
          </w:p>
        </w:tc>
        <w:tc>
          <w:tcPr>
            <w:tcW w:w="184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lang w:val="ru-RU"/>
              </w:rPr>
            </w:pPr>
            <w:r>
              <w:rPr>
                <w:sz w:val="20"/>
                <w:szCs w:val="20"/>
                <w:lang w:val="ru-RU"/>
              </w:rPr>
              <w:t>Отчетные документы</w:t>
            </w:r>
          </w:p>
          <w:p>
            <w:pPr>
              <w:pStyle w:val="Normal"/>
              <w:widowControl w:val="false"/>
              <w:jc w:val="center"/>
              <w:rPr>
                <w:sz w:val="20"/>
                <w:szCs w:val="20"/>
              </w:rPr>
            </w:pPr>
            <w:r>
              <w:rPr>
                <w:sz w:val="20"/>
                <w:szCs w:val="20"/>
              </w:rPr>
            </w:r>
          </w:p>
        </w:tc>
        <w:tc>
          <w:tcPr>
            <w:tcW w:w="275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Период выполнения этапа</w:t>
            </w:r>
          </w:p>
        </w:tc>
        <w:tc>
          <w:tcPr>
            <w:tcW w:w="8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lang w:val="ru-RU"/>
              </w:rPr>
            </w:pPr>
            <w:r>
              <w:rPr>
                <w:sz w:val="20"/>
                <w:szCs w:val="20"/>
                <w:lang w:val="ru-RU"/>
              </w:rPr>
              <w:t>Цена этапа, руб. без НДС</w:t>
            </w:r>
          </w:p>
        </w:tc>
        <w:tc>
          <w:tcPr>
            <w:tcW w:w="85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Сумма НДС</w:t>
            </w:r>
          </w:p>
          <w:p>
            <w:pPr>
              <w:pStyle w:val="Normal"/>
              <w:widowControl w:val="false"/>
              <w:jc w:val="center"/>
              <w:rPr>
                <w:sz w:val="20"/>
                <w:szCs w:val="20"/>
              </w:rPr>
            </w:pPr>
            <w:r>
              <w:rPr>
                <w:sz w:val="20"/>
                <w:szCs w:val="20"/>
              </w:rPr>
              <w:t>(__ %)</w:t>
            </w:r>
            <w:r>
              <w:rPr>
                <w:sz w:val="20"/>
                <w:szCs w:val="20"/>
                <w:lang w:val="ru-RU"/>
              </w:rPr>
              <w:t>,</w:t>
            </w:r>
            <w:r>
              <w:rPr>
                <w:sz w:val="20"/>
                <w:szCs w:val="20"/>
              </w:rPr>
              <w:t xml:space="preserve"> руб.</w:t>
            </w:r>
          </w:p>
        </w:tc>
        <w:tc>
          <w:tcPr>
            <w:tcW w:w="121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lang w:val="ru-RU"/>
              </w:rPr>
            </w:pPr>
            <w:r>
              <w:rPr>
                <w:sz w:val="20"/>
                <w:szCs w:val="20"/>
                <w:lang w:val="ru-RU"/>
              </w:rPr>
              <w:t>Стоимость этапа, руб. с НДС</w:t>
            </w:r>
          </w:p>
        </w:tc>
      </w:tr>
      <w:tr>
        <w:trPr>
          <w:trHeight w:val="972" w:hRule="atLeast"/>
        </w:trPr>
        <w:tc>
          <w:tcPr>
            <w:tcW w:w="67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53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84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4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Начало</w:t>
            </w:r>
          </w:p>
        </w:tc>
        <w:tc>
          <w:tcPr>
            <w:tcW w:w="12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Окончание</w:t>
            </w:r>
          </w:p>
        </w:tc>
        <w:tc>
          <w:tcPr>
            <w:tcW w:w="85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1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r>
      <w:tr>
        <w:trPr>
          <w:trHeight w:val="277" w:hRule="atLeas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t>1.</w:t>
            </w:r>
          </w:p>
        </w:tc>
        <w:tc>
          <w:tcPr>
            <w:tcW w:w="15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4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r>
      <w:tr>
        <w:trPr>
          <w:trHeight w:val="290" w:hRule="atLeas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lang w:val="ru-RU"/>
              </w:rPr>
              <w:t>2</w:t>
            </w:r>
            <w:r>
              <w:rPr/>
              <w:t>.</w:t>
            </w:r>
          </w:p>
        </w:tc>
        <w:tc>
          <w:tcPr>
            <w:tcW w:w="15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4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r>
      <w:tr>
        <w:trPr>
          <w:trHeight w:val="290" w:hRule="atLeas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
          </w:p>
        </w:tc>
        <w:tc>
          <w:tcPr>
            <w:tcW w:w="7829"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2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r>
      <w:tr>
        <w:trPr>
          <w:trHeight w:val="290" w:hRule="atLeast"/>
        </w:trPr>
        <w:tc>
          <w:tcPr>
            <w:tcW w:w="8500"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right"/>
              <w:rPr>
                <w:b/>
              </w:rPr>
            </w:pPr>
            <w:r>
              <w:rPr>
                <w:b/>
              </w:rPr>
              <w:t>Всего по Договору:</w:t>
            </w:r>
          </w:p>
        </w:tc>
        <w:tc>
          <w:tcPr>
            <w:tcW w:w="12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rPr>
            </w:pPr>
            <w:r>
              <w:rPr>
                <w:b/>
              </w:rPr>
            </w:r>
          </w:p>
        </w:tc>
      </w:tr>
    </w:tbl>
    <w:p>
      <w:pPr>
        <w:pStyle w:val="Normal"/>
        <w:rPr/>
      </w:pPr>
      <w:r>
        <w:rPr/>
      </w:r>
    </w:p>
    <w:p>
      <w:pPr>
        <w:pStyle w:val="Normal"/>
        <w:rPr/>
      </w:pPr>
      <w:r>
        <w:rPr/>
      </w:r>
    </w:p>
    <w:p>
      <w:pPr>
        <w:pStyle w:val="Normal"/>
        <w:rPr/>
      </w:pPr>
      <w:r>
        <w:rPr/>
      </w:r>
    </w:p>
    <w:tbl>
      <w:tblPr>
        <w:tblW w:w="9571" w:type="dxa"/>
        <w:jc w:val="center"/>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p>
            <w:pPr>
              <w:pStyle w:val="Normal"/>
              <w:widowControl w:val="false"/>
              <w:rPr>
                <w:sz w:val="22"/>
                <w:szCs w:val="22"/>
              </w:rPr>
            </w:pPr>
            <w:r>
              <w:rPr>
                <w:sz w:val="22"/>
                <w:szCs w:val="22"/>
              </w:rPr>
            </w:r>
          </w:p>
        </w:tc>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p>
            <w:pPr>
              <w:pStyle w:val="Normal"/>
              <w:widowControl w:val="false"/>
              <w:rPr>
                <w:sz w:val="22"/>
                <w:szCs w:val="22"/>
              </w:rPr>
            </w:pPr>
            <w:r>
              <w:rPr>
                <w:sz w:val="22"/>
                <w:szCs w:val="22"/>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81" w:charSpace="0"/>
        </w:sectPr>
        <w:pStyle w:val="Normal"/>
        <w:ind w:left="5103" w:hanging="0"/>
        <w:rPr>
          <w:sz w:val="22"/>
          <w:szCs w:val="22"/>
        </w:rPr>
      </w:pPr>
      <w:r>
        <w:rPr>
          <w:sz w:val="22"/>
          <w:szCs w:val="22"/>
        </w:rPr>
      </w:r>
    </w:p>
    <w:p>
      <w:pPr>
        <w:pStyle w:val="Normal"/>
        <w:ind w:left="5103" w:firstLine="709"/>
        <w:jc w:val="right"/>
        <w:rPr>
          <w:sz w:val="22"/>
          <w:szCs w:val="22"/>
          <w:lang w:val="ru-RU"/>
        </w:rPr>
      </w:pPr>
      <w:r>
        <w:rPr>
          <w:sz w:val="22"/>
          <w:szCs w:val="22"/>
          <w:lang w:val="ru-RU"/>
        </w:rPr>
        <w:t>Приложение № 3</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6379" w:hanging="0"/>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rPr>
        <w:t>Сводный расчет</w:t>
      </w:r>
      <w:r>
        <w:rPr>
          <w:b/>
          <w:highlight w:val="lightGray"/>
          <w:lang w:val="ru-RU" w:eastAsia="en-US"/>
        </w:rPr>
        <w:t xml:space="preserve"> стоимости Услуг / Расчет стоимости Услуг</w:t>
      </w:r>
      <w:r>
        <w:rPr>
          <w:b/>
          <w:lang w:val="ru-RU" w:eastAsia="en-US"/>
        </w:rPr>
        <w:t xml:space="preserve"> </w:t>
      </w:r>
    </w:p>
    <w:p>
      <w:pPr>
        <w:pStyle w:val="Normal"/>
        <w:jc w:val="center"/>
        <w:rPr>
          <w:b/>
          <w:lang w:val="ru-RU" w:eastAsia="en-US"/>
        </w:rPr>
      </w:pPr>
      <w:r>
        <w:rPr>
          <w:b/>
          <w:lang w:val="ru-RU" w:eastAsia="en-US"/>
        </w:rPr>
        <w:t xml:space="preserve"> </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r>
    </w:tbl>
    <w:p>
      <w:pPr>
        <w:pStyle w:val="Normal"/>
        <w:ind w:firstLine="709"/>
        <w:jc w:val="right"/>
        <w:rPr>
          <w:sz w:val="22"/>
          <w:szCs w:val="22"/>
          <w:lang w:val="ru-RU"/>
        </w:rPr>
      </w:pPr>
      <w:r>
        <w:br w:type="page"/>
      </w:r>
      <w:r>
        <w:rPr>
          <w:sz w:val="22"/>
          <w:szCs w:val="22"/>
          <w:lang w:val="ru-RU"/>
        </w:rPr>
        <w:t>Приложение № 4</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4820" w:hanging="0"/>
        <w:jc w:val="right"/>
        <w:rPr>
          <w:sz w:val="22"/>
          <w:szCs w:val="22"/>
          <w:highlight w:val="lightGray"/>
          <w:lang w:val="ru-RU"/>
        </w:rPr>
      </w:pPr>
      <w:r>
        <w:rPr>
          <w:sz w:val="22"/>
          <w:szCs w:val="22"/>
          <w:highlight w:val="lightGray"/>
          <w:lang w:val="ru-RU"/>
        </w:rPr>
      </w:r>
    </w:p>
    <w:p>
      <w:pPr>
        <w:pStyle w:val="Title"/>
        <w:ind w:left="6379" w:hanging="0"/>
        <w:jc w:val="both"/>
        <w:rPr>
          <w:highlight w:val="lightGray"/>
          <w:lang w:val="ru-RU"/>
        </w:rPr>
      </w:pPr>
      <w:r>
        <w:rPr>
          <w:highlight w:val="lightGray"/>
          <w:lang w:val="ru-RU"/>
        </w:rPr>
      </w:r>
    </w:p>
    <w:p>
      <w:pPr>
        <w:pStyle w:val="Title"/>
        <w:rPr>
          <w:b w:val="false"/>
          <w:bCs w:val="false"/>
          <w:highlight w:val="lightGray"/>
        </w:rPr>
      </w:pPr>
      <w:r>
        <w:rPr>
          <w:iCs/>
          <w:highlight w:val="lightGray"/>
        </w:rPr>
        <w:t>ФОРМА</w:t>
      </w:r>
    </w:p>
    <w:p>
      <w:pPr>
        <w:pStyle w:val="Title"/>
        <w:rPr>
          <w:i/>
          <w:i/>
          <w:iCs/>
          <w:highlight w:val="lightGray"/>
        </w:rPr>
      </w:pPr>
      <w:r>
        <w:rPr>
          <w:bCs w:val="false"/>
          <w:highlight w:val="lightGray"/>
        </w:rPr>
        <w:t xml:space="preserve">Акта сдачи-приемки технической и иной документации </w:t>
      </w:r>
    </w:p>
    <w:p>
      <w:pPr>
        <w:pStyle w:val="Normal"/>
        <w:rPr>
          <w:highlight w:val="lightGray"/>
          <w:lang w:val="ru-RU"/>
        </w:rPr>
      </w:pPr>
      <w:r>
        <w:rPr>
          <w:highlight w:val="lightGray"/>
          <w:lang w:val="ru-RU"/>
        </w:rPr>
      </w:r>
    </w:p>
    <w:tbl>
      <w:tblPr>
        <w:tblW w:w="9606"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shd w:color="auto" w:fill="auto" w:val="clear"/>
          </w:tcPr>
          <w:p>
            <w:pPr>
              <w:pStyle w:val="Title"/>
              <w:widowControl w:val="false"/>
              <w:rPr>
                <w:b w:val="false"/>
                <w:bCs w:val="false"/>
                <w:highlight w:val="lightGray"/>
                <w:lang w:val="ru-RU" w:eastAsia="ru-RU"/>
              </w:rPr>
            </w:pPr>
            <w:r>
              <w:rPr>
                <w:b w:val="false"/>
                <w:bCs w:val="false"/>
                <w:highlight w:val="lightGray"/>
                <w:lang w:val="ru-RU" w:eastAsia="ru-RU"/>
              </w:rPr>
              <w:t xml:space="preserve">Акт </w:t>
            </w:r>
          </w:p>
          <w:p>
            <w:pPr>
              <w:pStyle w:val="Title"/>
              <w:widowControl w:val="false"/>
              <w:rPr>
                <w:i/>
                <w:i/>
                <w:iCs/>
                <w:highlight w:val="lightGray"/>
                <w:lang w:val="ru-RU" w:eastAsia="ru-RU"/>
              </w:rPr>
            </w:pPr>
            <w:r>
              <w:rPr>
                <w:b w:val="false"/>
                <w:bCs w:val="false"/>
                <w:highlight w:val="lightGray"/>
                <w:lang w:val="ru-RU" w:eastAsia="ru-RU"/>
              </w:rPr>
              <w:t>сдачи-приемки технической и иной документации</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t>г.___________                                                                                  «_____» _________20_г.</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bCs/>
                <w:highlight w:val="lightGray"/>
                <w:lang w:val="ru-RU"/>
              </w:rPr>
            </w:pPr>
            <w:r>
              <w:rPr>
                <w:highlight w:val="lightGray"/>
                <w:lang w:val="ru-RU"/>
              </w:rPr>
              <w:t>Заказчик передал Исполнителю, а Исполнитель принял</w:t>
            </w:r>
            <w:r>
              <w:rPr>
                <w:bCs/>
                <w:highlight w:val="lightGray"/>
                <w:lang w:val="ru-RU"/>
              </w:rPr>
              <w:t xml:space="preserve"> следующую </w:t>
            </w:r>
            <w:r>
              <w:rPr>
                <w:highlight w:val="lightGray"/>
                <w:lang w:val="ru-RU"/>
              </w:rPr>
              <w:t>техническую и иную документацию для оказания Услуг по Договору</w:t>
            </w:r>
            <w:r>
              <w:rPr>
                <w:bCs/>
                <w:highlight w:val="lightGray"/>
                <w:lang w:val="ru-RU"/>
              </w:rPr>
              <w:t xml:space="preserve"> №______ от _____________:</w:t>
            </w:r>
          </w:p>
          <w:p>
            <w:pPr>
              <w:pStyle w:val="Normal"/>
              <w:widowControl w:val="false"/>
              <w:rPr>
                <w:bCs/>
                <w:highlight w:val="lightGray"/>
                <w:lang w:val="ru-RU"/>
              </w:rPr>
            </w:pPr>
            <w:r>
              <w:rPr>
                <w:bCs/>
                <w:highlight w:val="lightGray"/>
                <w:lang w:val="ru-RU"/>
              </w:rPr>
              <w:t xml:space="preserve">__________________________________________________________________________ </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 xml:space="preserve">Документация передана </w:t>
            </w:r>
            <w:r>
              <w:rPr>
                <w:highlight w:val="lightGray"/>
                <w:lang w:val="ru-RU"/>
              </w:rPr>
              <w:t>Исполнителю</w:t>
            </w:r>
            <w:r>
              <w:rPr>
                <w:bCs/>
                <w:highlight w:val="lightGray"/>
                <w:lang w:val="ru-RU"/>
              </w:rPr>
              <w:t xml:space="preserve"> в установленный Договором срок. </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r>
          </w:p>
          <w:tbl>
            <w:tblPr>
              <w:tblW w:w="9390"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695"/>
              <w:gridCol w:w="4694"/>
            </w:tblGrid>
            <w:tr>
              <w:trPr/>
              <w:tc>
                <w:tcPr>
                  <w:tcW w:w="4695" w:type="dxa"/>
                  <w:tcBorders/>
                </w:tcPr>
                <w:p>
                  <w:pPr>
                    <w:pStyle w:val="Normal"/>
                    <w:widowControl w:val="false"/>
                    <w:rPr>
                      <w:bCs/>
                      <w:highlight w:val="lightGray"/>
                    </w:rPr>
                  </w:pPr>
                  <w:r>
                    <w:rPr>
                      <w:bCs/>
                      <w:highlight w:val="lightGray"/>
                    </w:rPr>
                    <w:t>Заказчик:</w:t>
                  </w:r>
                </w:p>
              </w:tc>
              <w:tc>
                <w:tcPr>
                  <w:tcW w:w="4694" w:type="dxa"/>
                  <w:tcBorders/>
                </w:tcPr>
                <w:p>
                  <w:pPr>
                    <w:pStyle w:val="Normal"/>
                    <w:widowControl w:val="false"/>
                    <w:rPr>
                      <w:bCs/>
                      <w:highlight w:val="lightGray"/>
                    </w:rPr>
                  </w:pPr>
                  <w:r>
                    <w:rPr>
                      <w:bCs/>
                      <w:highlight w:val="lightGray"/>
                      <w:lang w:val="ru-RU"/>
                    </w:rPr>
                    <w:t>Исполнитель</w:t>
                  </w:r>
                  <w:r>
                    <w:rPr>
                      <w:bCs/>
                      <w:highlight w:val="lightGray"/>
                    </w:rPr>
                    <w:t>:</w:t>
                  </w:r>
                </w:p>
              </w:tc>
            </w:tr>
            <w:tr>
              <w:trPr/>
              <w:tc>
                <w:tcPr>
                  <w:tcW w:w="4695" w:type="dxa"/>
                  <w:tcBorders/>
                  <w:shd w:color="auto"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c>
                <w:tcPr>
                  <w:tcW w:w="4694" w:type="dxa"/>
                  <w:tcBorders/>
                  <w:shd w:color="auto"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r>
          </w:tbl>
          <w:p>
            <w:pPr>
              <w:pStyle w:val="Title"/>
              <w:widowControl w:val="false"/>
              <w:jc w:val="left"/>
              <w:rPr>
                <w:i/>
                <w:i/>
                <w:iCs/>
                <w:highlight w:val="lightGray"/>
                <w:lang w:val="ru-RU" w:eastAsia="ru-RU"/>
              </w:rPr>
            </w:pPr>
            <w:r>
              <w:rPr>
                <w:i/>
                <w:iCs/>
                <w:highlight w:val="lightGray"/>
                <w:lang w:val="ru-RU" w:eastAsia="ru-RU"/>
              </w:rPr>
            </w:r>
          </w:p>
          <w:p>
            <w:pPr>
              <w:pStyle w:val="Title"/>
              <w:widowControl w:val="false"/>
              <w:spacing w:before="0" w:after="120"/>
              <w:jc w:val="left"/>
              <w:rPr>
                <w:i/>
                <w:i/>
                <w:iCs/>
                <w:highlight w:val="lightGray"/>
                <w:lang w:val="ru-RU" w:eastAsia="ru-RU"/>
              </w:rPr>
            </w:pPr>
            <w:r>
              <w:rPr>
                <w:i/>
                <w:iCs/>
                <w:highlight w:val="lightGray"/>
                <w:lang w:val="ru-RU" w:eastAsia="ru-RU"/>
              </w:rPr>
            </w:r>
          </w:p>
        </w:tc>
      </w:tr>
    </w:tbl>
    <w:p>
      <w:pPr>
        <w:pStyle w:val="Title"/>
        <w:jc w:val="left"/>
        <w:rPr>
          <w:i/>
          <w:i/>
          <w:iCs/>
          <w:highlight w:val="lightGray"/>
        </w:rPr>
      </w:pPr>
      <w:r>
        <w:rPr>
          <w:i/>
          <w:iCs/>
          <w:highlight w:val="lightGray"/>
        </w:rPr>
      </w:r>
    </w:p>
    <w:p>
      <w:pPr>
        <w:pStyle w:val="Title"/>
        <w:jc w:val="left"/>
        <w:rPr>
          <w:i/>
          <w:i/>
          <w:iCs/>
          <w:highlight w:val="lightGray"/>
        </w:rPr>
      </w:pPr>
      <w:r>
        <w:rPr>
          <w:i/>
          <w:iCs/>
          <w:highlight w:val="lightGray"/>
        </w:rPr>
      </w:r>
    </w:p>
    <w:p>
      <w:pPr>
        <w:pStyle w:val="Normal"/>
        <w:rPr>
          <w:highlight w:val="lightGray"/>
        </w:rPr>
      </w:pPr>
      <w:r>
        <w:rPr>
          <w:highlight w:val="lightGray"/>
        </w:rPr>
      </w:r>
    </w:p>
    <w:p>
      <w:pPr>
        <w:pStyle w:val="Normal"/>
        <w:rPr>
          <w:highlight w:val="lightGray"/>
        </w:rPr>
      </w:pPr>
      <w:r>
        <w:rPr>
          <w:highlight w:val="lightGray"/>
        </w:rPr>
      </w:r>
    </w:p>
    <w:p>
      <w:pPr>
        <w:pStyle w:val="Normal"/>
        <w:rPr>
          <w:highlight w:val="lightGray"/>
        </w:rPr>
      </w:pPr>
      <w:r>
        <w:rPr>
          <w:highlight w:val="lightGray"/>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highlight w:val="lightGray"/>
              </w:rPr>
            </w:pPr>
            <w:r>
              <w:rPr>
                <w:b/>
                <w:highlight w:val="lightGray"/>
              </w:rPr>
              <w:t>Заказчик:</w:t>
            </w:r>
          </w:p>
        </w:tc>
        <w:tc>
          <w:tcPr>
            <w:tcW w:w="4785" w:type="dxa"/>
            <w:tcBorders/>
          </w:tcPr>
          <w:p>
            <w:pPr>
              <w:pStyle w:val="Normal"/>
              <w:widowControl w:val="false"/>
              <w:rPr>
                <w:b/>
                <w:highlight w:val="lightGray"/>
              </w:rPr>
            </w:pPr>
            <w:r>
              <w:rPr>
                <w:b/>
                <w:highlight w:val="lightGray"/>
                <w:lang w:val="ru-RU"/>
              </w:rPr>
              <w:t>Исполнитель</w:t>
            </w:r>
            <w:r>
              <w:rPr>
                <w:b/>
                <w:highlight w:val="lightGray"/>
              </w:rPr>
              <w:t>:</w:t>
            </w:r>
          </w:p>
        </w:tc>
      </w:tr>
      <w:tr>
        <w:trPr/>
        <w:tc>
          <w:tcPr>
            <w:tcW w:w="4785" w:type="dxa"/>
            <w:tcBorders/>
          </w:tcPr>
          <w:p>
            <w:pPr>
              <w:pStyle w:val="Normal"/>
              <w:widowControl w:val="false"/>
              <w:rPr>
                <w:sz w:val="22"/>
                <w:szCs w:val="22"/>
                <w:highlight w:val="lightGray"/>
              </w:rPr>
            </w:pPr>
            <w:r>
              <w:rPr>
                <w:sz w:val="22"/>
                <w:szCs w:val="22"/>
                <w:highlight w:val="lightGray"/>
              </w:rPr>
            </w:r>
          </w:p>
          <w:p>
            <w:pPr>
              <w:pStyle w:val="Normal"/>
              <w:widowControl w:val="false"/>
              <w:rPr>
                <w:sz w:val="22"/>
                <w:szCs w:val="22"/>
                <w:highlight w:val="lightGray"/>
              </w:rPr>
            </w:pPr>
            <w:r>
              <w:rPr>
                <w:sz w:val="22"/>
                <w:szCs w:val="22"/>
                <w:highlight w:val="lightGray"/>
              </w:rPr>
            </w:r>
          </w:p>
          <w:p>
            <w:pPr>
              <w:pStyle w:val="Normal"/>
              <w:widowControl w:val="false"/>
              <w:rPr>
                <w:sz w:val="22"/>
                <w:szCs w:val="22"/>
                <w:highlight w:val="lightGray"/>
                <w:lang w:val="ru-RU"/>
              </w:rPr>
            </w:pPr>
            <w:r>
              <w:rPr>
                <w:sz w:val="22"/>
                <w:szCs w:val="22"/>
                <w:highlight w:val="lightGray"/>
              </w:rPr>
              <w:t xml:space="preserve">_______________ / _______________ </w:t>
            </w:r>
          </w:p>
          <w:p>
            <w:pPr>
              <w:pStyle w:val="Normal"/>
              <w:widowControl w:val="false"/>
              <w:rPr>
                <w:sz w:val="22"/>
                <w:szCs w:val="22"/>
                <w:highlight w:val="lightGray"/>
              </w:rPr>
            </w:pPr>
            <w:r>
              <w:rPr>
                <w:sz w:val="22"/>
                <w:szCs w:val="22"/>
                <w:highlight w:val="lightGray"/>
              </w:rPr>
            </w:r>
          </w:p>
        </w:tc>
        <w:tc>
          <w:tcPr>
            <w:tcW w:w="4785" w:type="dxa"/>
            <w:tcBorders/>
          </w:tcPr>
          <w:p>
            <w:pPr>
              <w:pStyle w:val="Normal"/>
              <w:widowControl w:val="false"/>
              <w:rPr>
                <w:sz w:val="22"/>
                <w:szCs w:val="22"/>
                <w:highlight w:val="lightGray"/>
              </w:rPr>
            </w:pPr>
            <w:r>
              <w:rPr>
                <w:sz w:val="22"/>
                <w:szCs w:val="22"/>
                <w:highlight w:val="lightGray"/>
              </w:rPr>
            </w:r>
          </w:p>
          <w:p>
            <w:pPr>
              <w:pStyle w:val="Normal"/>
              <w:widowControl w:val="false"/>
              <w:rPr>
                <w:sz w:val="22"/>
                <w:szCs w:val="22"/>
                <w:highlight w:val="lightGray"/>
              </w:rPr>
            </w:pPr>
            <w:r>
              <w:rPr>
                <w:sz w:val="22"/>
                <w:szCs w:val="22"/>
                <w:highlight w:val="lightGray"/>
              </w:rPr>
            </w:r>
          </w:p>
          <w:p>
            <w:pPr>
              <w:pStyle w:val="Normal"/>
              <w:widowControl w:val="false"/>
              <w:rPr>
                <w:sz w:val="22"/>
                <w:szCs w:val="22"/>
                <w:lang w:val="ru-RU"/>
              </w:rPr>
            </w:pPr>
            <w:r>
              <w:rPr>
                <w:sz w:val="22"/>
                <w:szCs w:val="22"/>
                <w:highlight w:val="lightGray"/>
              </w:rPr>
              <w:t>_______________ / _______________</w:t>
            </w:r>
            <w:r>
              <w:rPr>
                <w:sz w:val="22"/>
                <w:szCs w:val="22"/>
              </w:rPr>
              <w:t xml:space="preserve"> </w:t>
            </w:r>
          </w:p>
          <w:p>
            <w:pPr>
              <w:pStyle w:val="Normal"/>
              <w:widowControl w:val="false"/>
              <w:rPr>
                <w:sz w:val="22"/>
                <w:szCs w:val="22"/>
              </w:rPr>
            </w:pPr>
            <w:r>
              <w:rPr>
                <w:sz w:val="22"/>
                <w:szCs w:val="22"/>
              </w:rPr>
            </w:r>
          </w:p>
        </w:tc>
      </w:tr>
    </w:tbl>
    <w:p>
      <w:pPr>
        <w:pStyle w:val="Normal"/>
        <w:ind w:firstLine="709"/>
        <w:jc w:val="right"/>
        <w:rPr>
          <w:sz w:val="22"/>
          <w:szCs w:val="22"/>
          <w:lang w:val="ru-RU"/>
        </w:rPr>
      </w:pPr>
      <w:r>
        <w:br w:type="page"/>
      </w:r>
      <w:r>
        <w:rPr>
          <w:sz w:val="22"/>
          <w:szCs w:val="22"/>
          <w:lang w:val="ru-RU"/>
        </w:rPr>
        <w:t>Приложение № 5</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4820" w:hanging="0"/>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Cs/>
                <w:lang w:val="ru-RU" w:eastAsia="ru-RU"/>
              </w:rPr>
            </w:pPr>
            <w:r>
              <w:rPr>
                <w:iCs/>
                <w:lang w:val="ru-RU" w:eastAsia="ru-RU"/>
              </w:rPr>
              <w:t>АКТ  №  ____</w:t>
            </w:r>
          </w:p>
          <w:p>
            <w:pPr>
              <w:pStyle w:val="Normal"/>
              <w:widowControl w:val="false"/>
              <w:jc w:val="center"/>
              <w:rPr>
                <w:b/>
                <w:bCs/>
                <w:iCs/>
                <w:lang w:val="ru-RU"/>
              </w:rPr>
            </w:pPr>
            <w:r>
              <w:rPr>
                <w:b/>
                <w:bCs/>
                <w:iCs/>
                <w:lang w:val="ru-RU"/>
              </w:rPr>
              <w:t>об оказании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в соответствии с условиями Договора № _______________, а Заказчик принял услуги Исполнителя по</w:t>
            </w:r>
            <w:r>
              <w:rPr>
                <w:b/>
                <w:highlight w:val="lightGray"/>
                <w:lang w:val="ru-RU"/>
              </w:rPr>
              <w:t xml:space="preserve"> ______________</w:t>
            </w:r>
            <w:r>
              <w:rPr>
                <w:highlight w:val="lightGray"/>
                <w:lang w:val="ru-RU"/>
              </w:rPr>
              <w:t>Этапу Услуг.</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за указанный период составляет _______________ (____________) рублей ____ копеек, в том числе НДС ___% -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w:t>
            </w:r>
            <w:r>
              <w:rPr>
                <w:highlight w:val="lightGray"/>
                <w:u w:val="single"/>
                <w:lang w:val="ru-RU"/>
              </w:rPr>
              <w:t xml:space="preserve"> на ______ листах.</w:t>
            </w:r>
            <w:r>
              <w:rPr>
                <w:u w:val="single"/>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tabs>
                <w:tab w:val="left" w:pos="709" w:leader="none"/>
                <w:tab w:val="left" w:pos="4111" w:leader="none"/>
              </w:tabs>
              <w:jc w:val="both"/>
              <w:rPr>
                <w:b/>
                <w:bCs/>
                <w:lang w:val="ru-RU"/>
              </w:rPr>
            </w:pPr>
            <w:r>
              <w:rPr>
                <w:b/>
                <w:bCs/>
                <w:lang w:val="ru-RU"/>
              </w:rPr>
              <w:t xml:space="preserve">______________________________________________________________.   </w:t>
            </w:r>
          </w:p>
          <w:p>
            <w:pPr>
              <w:pStyle w:val="Normal"/>
              <w:widowControl w:val="false"/>
              <w:tabs>
                <w:tab w:val="clear" w:pos="709"/>
                <w:tab w:val="left" w:pos="4111" w:leader="none"/>
              </w:tabs>
              <w:ind w:firstLine="709"/>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6</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4820" w:hanging="0"/>
        <w:rPr>
          <w:lang w:val="ru-RU"/>
        </w:rPr>
      </w:pPr>
      <w:r>
        <w:rPr>
          <w:lang w:val="ru-RU"/>
        </w:rPr>
      </w:r>
    </w:p>
    <w:p>
      <w:pPr>
        <w:pStyle w:val="Normal"/>
        <w:ind w:left="4820" w:hanging="0"/>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9776"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067"/>
        <w:gridCol w:w="5708"/>
      </w:tblGrid>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708"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 Нарушение правил пожарной безопасности (ППБ):</w:t>
            </w:r>
          </w:p>
        </w:tc>
        <w:tc>
          <w:tcPr>
            <w:tcW w:w="570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1.1.Нарушение ППБ без возникновения пожара</w:t>
            </w:r>
          </w:p>
          <w:p>
            <w:pPr>
              <w:pStyle w:val="Normal"/>
              <w:widowControl w:val="false"/>
              <w:rPr/>
            </w:pPr>
            <w:r>
              <w:rPr/>
            </w:r>
          </w:p>
        </w:tc>
        <w:tc>
          <w:tcPr>
            <w:tcW w:w="57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1.2. Нарушение ППБ, ставшее причиной возникновения пожара, не причинившего ущерб имуществу Заказчика</w:t>
            </w:r>
          </w:p>
        </w:tc>
        <w:tc>
          <w:tcPr>
            <w:tcW w:w="57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7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 xml:space="preserve">2. Нарушение пропускного и внутриобъектового режима, </w:t>
            </w:r>
            <w:r>
              <w:rPr>
                <w:color w:val="000000"/>
                <w:lang w:val="ru-RU"/>
              </w:rPr>
              <w:t>требований охраны труда</w:t>
            </w:r>
          </w:p>
        </w:tc>
        <w:tc>
          <w:tcPr>
            <w:tcW w:w="57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r>
    </w:tbl>
    <w:p>
      <w:pPr>
        <w:pStyle w:val="Normal"/>
        <w:ind w:left="6379" w:hanging="0"/>
        <w:rPr>
          <w:lang w:val="ru-RU"/>
        </w:rPr>
      </w:pPr>
      <w:r>
        <w:rPr>
          <w:lang w:val="ru-RU"/>
        </w:rPr>
      </w:r>
    </w:p>
    <w:p>
      <w:pPr>
        <w:pStyle w:val="Normal"/>
        <w:ind w:left="6379" w:hanging="0"/>
        <w:rPr>
          <w:lang w:val="ru-RU"/>
        </w:rPr>
      </w:pPr>
      <w:r>
        <w:rPr>
          <w:lang w:val="ru-RU"/>
        </w:rPr>
      </w:r>
    </w:p>
    <w:p>
      <w:pPr>
        <w:pStyle w:val="Normal"/>
        <w:ind w:left="6379" w:hanging="0"/>
        <w:rPr>
          <w:lang w:val="ru-RU"/>
        </w:rPr>
      </w:pPr>
      <w:r>
        <w:rPr>
          <w:lang w:val="ru-RU"/>
        </w:rPr>
      </w:r>
    </w:p>
    <w:p>
      <w:pPr>
        <w:pStyle w:val="Normal"/>
        <w:rPr>
          <w:sz w:val="22"/>
          <w:szCs w:val="22"/>
          <w:lang w:val="ru-RU"/>
        </w:rPr>
      </w:pPr>
      <w:r>
        <w:rPr>
          <w:sz w:val="22"/>
          <w:szCs w:val="22"/>
          <w:lang w:val="ru-RU"/>
        </w:rPr>
      </w:r>
      <w:r>
        <w:br w:type="page"/>
      </w:r>
    </w:p>
    <w:p>
      <w:pPr>
        <w:pStyle w:val="Normal"/>
        <w:ind w:firstLine="709"/>
        <w:jc w:val="right"/>
        <w:rPr>
          <w:sz w:val="22"/>
          <w:szCs w:val="22"/>
          <w:lang w:val="ru-RU"/>
        </w:rPr>
      </w:pPr>
      <w:r>
        <w:rPr>
          <w:sz w:val="22"/>
          <w:szCs w:val="22"/>
          <w:lang w:val="ru-RU"/>
        </w:rPr>
        <w:t>Приложение № 7</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center"/>
        <w:rPr>
          <w:lang w:val="ru-RU"/>
        </w:rPr>
      </w:pPr>
      <w:r>
        <w:rPr>
          <w:lang w:val="ru-RU"/>
        </w:rPr>
        <w:t>Методика расчета упущенной выгоды (выручки) и дополнительных обязательств участника ОРЭМ от недопоставки электрической энергии и мощности на ОРЭМ в неценовой зоне Дальнего Востока</w:t>
      </w:r>
    </w:p>
    <w:p>
      <w:pPr>
        <w:pStyle w:val="Normal"/>
        <w:ind w:firstLine="709"/>
        <w:jc w:val="center"/>
        <w:rPr>
          <w:lang w:val="ru-RU"/>
        </w:rPr>
      </w:pPr>
      <w:r>
        <w:rPr>
          <w:lang w:val="ru-RU"/>
        </w:rPr>
      </w:r>
    </w:p>
    <w:p>
      <w:pPr>
        <w:pStyle w:val="Normal"/>
        <w:spacing w:before="20" w:after="20"/>
        <w:ind w:firstLine="709"/>
        <w:jc w:val="both"/>
        <w:rPr>
          <w:lang w:val="ru-RU"/>
        </w:rPr>
      </w:pPr>
      <w:r>
        <w:rPr>
          <w:lang w:val="ru-RU"/>
        </w:rPr>
        <w: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t>
      </w:r>
    </w:p>
    <w:p>
      <w:pPr>
        <w:pStyle w:val="Normal"/>
        <w:spacing w:before="120" w:after="20"/>
        <w:ind w:firstLine="709"/>
        <w:jc w:val="both"/>
        <w:rPr>
          <w:lang w:val="ru-RU"/>
        </w:rPr>
      </w:pPr>
      <w:r>
        <w:rPr>
          <w:lang w:val="ru-RU"/>
        </w:rPr>
        <w:t>1. 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в соответствии с п. 4 «Положения о порядке оформления, подачи,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t>
      </w:r>
    </w:p>
    <w:p>
      <w:pPr>
        <w:pStyle w:val="Normal"/>
        <w:spacing w:before="20" w:after="20"/>
        <w:ind w:firstLine="709"/>
        <w:jc w:val="both"/>
        <w:rPr>
          <w:lang w:val="ru-RU"/>
        </w:rPr>
      </w:pPr>
      <w:r>
        <w:rPr>
          <w:lang w:val="ru-RU"/>
        </w:rPr>
        <w:t xml:space="preserve"> </w:t>
      </w:r>
      <w:r>
        <w:rPr>
          <w:lang w:val="ru-RU"/>
        </w:rPr>
        <w:t xml:space="preserve">В заявках должны быть указаны: </w:t>
      </w:r>
    </w:p>
    <w:p>
      <w:pPr>
        <w:pStyle w:val="Normal"/>
        <w:numPr>
          <w:ilvl w:val="0"/>
          <w:numId w:val="22"/>
        </w:numPr>
        <w:ind w:left="0" w:firstLine="709"/>
        <w:jc w:val="both"/>
        <w:rPr>
          <w:bCs/>
        </w:rPr>
      </w:pPr>
      <w:r>
        <w:rPr>
          <w:bCs/>
        </w:rPr>
        <w:t>номер заявки;</w:t>
      </w:r>
    </w:p>
    <w:p>
      <w:pPr>
        <w:pStyle w:val="Normal"/>
        <w:numPr>
          <w:ilvl w:val="0"/>
          <w:numId w:val="22"/>
        </w:numPr>
        <w:ind w:left="0" w:firstLine="709"/>
        <w:jc w:val="both"/>
        <w:rPr>
          <w:bCs/>
        </w:rPr>
      </w:pPr>
      <w:r>
        <w:rPr>
          <w:bCs/>
        </w:rPr>
        <w:t>подающее предприятие;</w:t>
      </w:r>
    </w:p>
    <w:p>
      <w:pPr>
        <w:pStyle w:val="Normal"/>
        <w:numPr>
          <w:ilvl w:val="0"/>
          <w:numId w:val="22"/>
        </w:numPr>
        <w:ind w:left="0" w:firstLine="709"/>
        <w:jc w:val="both"/>
        <w:rPr>
          <w:bCs/>
          <w:lang w:val="ru-RU"/>
        </w:rPr>
      </w:pPr>
      <w:r>
        <w:rPr>
          <w:bCs/>
          <w:lang w:val="ru-RU"/>
        </w:rPr>
        <w:t>оборудование, по которому фиксируется изменение эксплуатационного состояния или технологического режима работы;</w:t>
      </w:r>
    </w:p>
    <w:p>
      <w:pPr>
        <w:pStyle w:val="Normal"/>
        <w:numPr>
          <w:ilvl w:val="0"/>
          <w:numId w:val="22"/>
        </w:numPr>
        <w:ind w:left="0" w:firstLine="709"/>
        <w:jc w:val="both"/>
        <w:rPr>
          <w:bCs/>
        </w:rPr>
      </w:pPr>
      <w:r>
        <w:rPr>
          <w:bCs/>
        </w:rPr>
        <w:t>величина снижения максимальной мощности;</w:t>
      </w:r>
    </w:p>
    <w:p>
      <w:pPr>
        <w:pStyle w:val="Normal"/>
        <w:numPr>
          <w:ilvl w:val="0"/>
          <w:numId w:val="22"/>
        </w:numPr>
        <w:ind w:left="0" w:firstLine="709"/>
        <w:jc w:val="both"/>
        <w:rPr>
          <w:bCs/>
        </w:rPr>
      </w:pPr>
      <w:r>
        <w:rPr>
          <w:bCs/>
        </w:rPr>
        <w:t>содержание работ;</w:t>
      </w:r>
    </w:p>
    <w:p>
      <w:pPr>
        <w:pStyle w:val="Normal"/>
        <w:numPr>
          <w:ilvl w:val="0"/>
          <w:numId w:val="22"/>
        </w:numPr>
        <w:ind w:left="0" w:firstLine="709"/>
        <w:jc w:val="both"/>
        <w:rPr>
          <w:bCs/>
        </w:rPr>
      </w:pPr>
      <w:r>
        <w:rPr>
          <w:bCs/>
        </w:rPr>
        <w:t>время подачи заявки;</w:t>
      </w:r>
    </w:p>
    <w:p>
      <w:pPr>
        <w:pStyle w:val="Normal"/>
        <w:numPr>
          <w:ilvl w:val="0"/>
          <w:numId w:val="22"/>
        </w:numPr>
        <w:ind w:left="0" w:firstLine="709"/>
        <w:jc w:val="both"/>
        <w:rPr>
          <w:bCs/>
          <w:lang w:val="ru-RU"/>
        </w:rPr>
      </w:pPr>
      <w:r>
        <w:rPr>
          <w:bCs/>
          <w:lang w:val="ru-RU"/>
        </w:rPr>
        <w:t>время начала и конца действия заявки и др.</w:t>
      </w:r>
    </w:p>
    <w:p>
      <w:pPr>
        <w:pStyle w:val="Normal"/>
        <w:spacing w:before="120" w:after="20"/>
        <w:ind w:firstLine="709"/>
        <w:jc w:val="both"/>
        <w:rPr>
          <w:lang w:val="ru-RU"/>
        </w:rPr>
      </w:pPr>
      <w:r>
        <w:rPr>
          <w:lang w:val="ru-RU"/>
        </w:rPr>
        <w:t>2.</w:t>
        <w:tab/>
        <w:t xml:space="preserve"> Таблица данных по готовности генерирующего оборудования (ГРМ) сформированная Системным Оператором на конец каждого часа в отношении группы точек поставки генерации (ГТПГ) в которой в соответствии с п. 6.  «Технических требований к генерирующему оборудованию участников оптового рынка», пп. 5.3. – 5.9. Порядка установления соответствия генерирующего оборудования участников оптового рынка техническим требованиям и пп. 3.4.6 - 3.4.15.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w:t>
      </w:r>
    </w:p>
    <w:p>
      <w:pPr>
        <w:pStyle w:val="Normal"/>
        <w:spacing w:before="20" w:after="20"/>
        <w:ind w:firstLine="709"/>
        <w:jc w:val="both"/>
        <w:rPr>
          <w:lang w:val="ru-RU"/>
        </w:rPr>
      </w:pPr>
      <w:r>
        <w:rPr/>
        <w:drawing>
          <wp:inline distT="0" distB="0" distL="0" distR="0">
            <wp:extent cx="323850" cy="219075"/>
            <wp:effectExtent l="0" t="0" r="0" b="0"/>
            <wp:docPr id="1"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9" descr=""/>
                    <pic:cNvPicPr>
                      <a:picLocks noChangeAspect="1" noChangeArrowheads="1"/>
                    </pic:cNvPicPr>
                  </pic:nvPicPr>
                  <pic:blipFill>
                    <a:blip r:embed="rId8"/>
                    <a:stretch>
                      <a:fillRect/>
                    </a:stretch>
                  </pic:blipFill>
                  <pic:spPr bwMode="auto">
                    <a:xfrm>
                      <a:off x="0" y="0"/>
                      <a:ext cx="323850" cy="219075"/>
                    </a:xfrm>
                    <a:prstGeom prst="rect">
                      <a:avLst/>
                    </a:prstGeom>
                  </pic:spPr>
                </pic:pic>
              </a:graphicData>
            </a:graphic>
          </wp:inline>
        </w:drawing>
      </w:r>
      <w:r>
        <w:rPr>
          <w:lang w:val="ru-RU"/>
        </w:rPr>
        <w:t xml:space="preserve"> – </w:t>
      </w:r>
      <w:r>
        <w:rPr>
          <w:lang w:val="ru-RU"/>
        </w:rPr>
        <w:t>величина согласованного планового ремонтного снижения мощности;</w:t>
      </w:r>
    </w:p>
    <w:p>
      <w:pPr>
        <w:pStyle w:val="Normal"/>
        <w:spacing w:before="20" w:after="20"/>
        <w:ind w:firstLine="709"/>
        <w:jc w:val="both"/>
        <w:rPr>
          <w:lang w:val="ru-RU"/>
        </w:rPr>
      </w:pPr>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h</m:t>
            </m:r>
          </m:sub>
          <m:sup>
            <m:r>
              <w:rPr>
                <w:rFonts w:ascii="Cambria Math" w:hAnsi="Cambria Math"/>
              </w:rPr>
              <m:t xml:space="preserve">j</m:t>
            </m:r>
          </m:sup>
        </m:sSubSup>
      </m:oMath>
      <w:r>
        <w:rPr>
          <w:lang w:val="ru-RU"/>
        </w:rPr>
        <w:t xml:space="preserve"> – </w:t>
      </w:r>
      <w:r>
        <w:rPr>
          <w:lang w:val="ru-RU"/>
        </w:rPr>
        <w:t>плановое ремонтное снижение мощности, обусловленное проведением ремонта длительностью более 180 (сто восьмидесяти) суток для ТЭС в год;</w:t>
      </w:r>
    </w:p>
    <w:p>
      <w:pPr>
        <w:pStyle w:val="Normal"/>
        <w:spacing w:before="20" w:after="20"/>
        <w:ind w:firstLine="709"/>
        <w:jc w:val="both"/>
        <w:rPr>
          <w:lang w:val="ru-RU"/>
        </w:rPr>
      </w:pPr>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2</m:t>
            </m:r>
            <m:r>
              <w:rPr>
                <w:rFonts w:ascii="Cambria Math" w:hAnsi="Cambria Math"/>
              </w:rPr>
              <m:t xml:space="preserve">,</m:t>
            </m:r>
            <m:r>
              <w:rPr>
                <w:rFonts w:ascii="Cambria Math" w:hAnsi="Cambria Math"/>
              </w:rPr>
              <m:t xml:space="preserve">h</m:t>
            </m:r>
          </m:sub>
          <m:sup>
            <m:r>
              <w:rPr>
                <w:rFonts w:ascii="Cambria Math" w:hAnsi="Cambria Math"/>
              </w:rPr>
              <m:t xml:space="preserve">j</m:t>
            </m:r>
          </m:sup>
        </m:sSubSup>
      </m:oMath>
      <w:r>
        <w:rPr>
          <w:lang w:val="ru-RU"/>
        </w:rPr>
        <w:t xml:space="preserve"> – </w:t>
      </w:r>
      <w:r>
        <w:rPr>
          <w:lang w:val="ru-RU"/>
        </w:rPr>
        <w:t>плановое ремонтное снижение мощности, обусловленное проведением ремонта длительностью более 360 суток для ТЭС за 4 (четыре) года;</w:t>
      </w:r>
    </w:p>
    <w:p>
      <w:pPr>
        <w:pStyle w:val="Normal"/>
        <w:spacing w:before="20" w:after="20"/>
        <w:ind w:firstLine="709"/>
        <w:jc w:val="both"/>
        <w:rPr>
          <w:lang w:val="ru-RU"/>
        </w:rPr>
      </w:pPr>
      <w:r>
        <w:rPr/>
      </w:r>
      <m:oMath xmlns:m="http://schemas.openxmlformats.org/officeDocument/2006/math"/>
      <w:r>
        <w:rPr>
          <w:lang w:val="ru-RU"/>
        </w:rPr>
        <w:t xml:space="preserve"> – </w:t>
      </w:r>
      <w:r>
        <w:rPr>
          <w:lang w:val="ru-RU"/>
        </w:rPr>
        <w:t>итоговое значение согласованного планового ремонтного снижения располагаемой мощности;</w:t>
      </w:r>
    </w:p>
    <w:p>
      <w:pPr>
        <w:pStyle w:val="Normal"/>
        <w:spacing w:before="20" w:after="20"/>
        <w:ind w:firstLine="709"/>
        <w:jc w:val="both"/>
        <w:rPr>
          <w:lang w:val="ru-RU"/>
        </w:rPr>
      </w:pPr>
      <w:r>
        <w:rPr/>
        <w:drawing>
          <wp:inline distT="0" distB="0" distL="0" distR="0">
            <wp:extent cx="546100" cy="273050"/>
            <wp:effectExtent l="0" t="0" r="0" b="0"/>
            <wp:docPr id="2"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7" descr=""/>
                    <pic:cNvPicPr>
                      <a:picLocks noChangeAspect="1" noChangeArrowheads="1"/>
                    </pic:cNvPicPr>
                  </pic:nvPicPr>
                  <pic:blipFill>
                    <a:blip r:embed="rId9"/>
                    <a:stretch>
                      <a:fillRect/>
                    </a:stretch>
                  </pic:blipFill>
                  <pic:spPr bwMode="auto">
                    <a:xfrm>
                      <a:off x="0" y="0"/>
                      <a:ext cx="546100" cy="273050"/>
                    </a:xfrm>
                    <a:prstGeom prst="rect">
                      <a:avLst/>
                    </a:prstGeom>
                  </pic:spPr>
                </pic:pic>
              </a:graphicData>
            </a:graphic>
          </wp:inline>
        </w:drawing>
      </w:r>
      <w:r>
        <w:rPr>
          <w:lang w:val="ru-RU"/>
        </w:rPr>
        <w:t xml:space="preserve"> – </w:t>
      </w:r>
      <w:r>
        <w:rPr>
          <w:lang w:val="ru-RU"/>
        </w:rPr>
        <w:t>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не позднее 10 часов 00 минут московского времени суток Х-2 в отношении суток Х+2 для часов с порядковыми номерами от 120;</w:t>
      </w:r>
    </w:p>
    <w:p>
      <w:pPr>
        <w:pStyle w:val="Normal"/>
        <w:spacing w:before="20" w:after="20"/>
        <w:ind w:firstLine="709"/>
        <w:jc w:val="both"/>
        <w:rPr>
          <w:lang w:val="ru-RU"/>
        </w:rPr>
      </w:pPr>
      <w:r>
        <w:rPr/>
        <w:drawing>
          <wp:inline distT="0" distB="0" distL="0" distR="0">
            <wp:extent cx="525145" cy="266065"/>
            <wp:effectExtent l="0" t="0" r="0" b="0"/>
            <wp:docPr id="3"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6" descr=""/>
                    <pic:cNvPicPr>
                      <a:picLocks noChangeAspect="1" noChangeArrowheads="1"/>
                    </pic:cNvPicPr>
                  </pic:nvPicPr>
                  <pic:blipFill>
                    <a:blip r:embed="rId10"/>
                    <a:stretch>
                      <a:fillRect/>
                    </a:stretch>
                  </pic:blipFill>
                  <pic:spPr bwMode="auto">
                    <a:xfrm>
                      <a:off x="0" y="0"/>
                      <a:ext cx="525145" cy="266065"/>
                    </a:xfrm>
                    <a:prstGeom prst="rect">
                      <a:avLst/>
                    </a:prstGeom>
                  </pic:spPr>
                </pic:pic>
              </a:graphicData>
            </a:graphic>
          </wp:inline>
        </w:drawing>
      </w:r>
      <w:r>
        <w:rPr>
          <w:lang w:val="ru-RU"/>
        </w:rPr>
        <w:t xml:space="preserve"> – </w:t>
      </w:r>
      <w:r>
        <w:rPr>
          <w:lang w:val="ru-RU"/>
        </w:rPr>
        <w:t>заявленное в уведомлении о составе и параметрах оборудования, поданного не позднее 16 часов 30 минут московского времени суток Х-2 в отношении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t>
      </w:r>
    </w:p>
    <w:p>
      <w:pPr>
        <w:pStyle w:val="Normal"/>
        <w:spacing w:before="20" w:after="20"/>
        <w:ind w:firstLine="709"/>
        <w:jc w:val="both"/>
        <w:rPr>
          <w:lang w:val="ru-RU"/>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2</m:t>
                </m:r>
                <m:r>
                  <m:rPr>
                    <m:lit/>
                    <m:nor/>
                  </m:rPr>
                  <w:rPr>
                    <w:rFonts w:ascii="Cambria Math" w:hAnsi="Cambria Math"/>
                  </w:rPr>
                  <m:t xml:space="preserve">_max,</m:t>
                </m:r>
                <m:r>
                  <w:rPr>
                    <w:rFonts w:ascii="Cambria Math" w:hAnsi="Cambria Math"/>
                  </w:rPr>
                  <m:t xml:space="preserve">h</m:t>
                </m:r>
              </m:sub>
              <m:sup>
                <m:r>
                  <w:rPr>
                    <w:rFonts w:ascii="Cambria Math" w:hAnsi="Cambria Math"/>
                  </w:rPr>
                  <m:t xml:space="preserve">1</m:t>
                </m:r>
                <m:r>
                  <w:rPr>
                    <w:rFonts w:ascii="Cambria Math" w:hAnsi="Cambria Math"/>
                  </w:rPr>
                  <m:t xml:space="preserve">(</m:t>
                </m:r>
                <m:r>
                  <m:rPr>
                    <m:lit/>
                    <m:nor/>
                  </m:rPr>
                  <w:rPr>
                    <w:rFonts w:ascii="Cambria Math" w:hAnsi="Cambria Math"/>
                  </w:rPr>
                  <m:t xml:space="preserve">120</m:t>
                </m:r>
                <m:r>
                  <w:rPr>
                    <w:rFonts w:ascii="Cambria Math" w:hAnsi="Cambria Math"/>
                  </w:rPr>
                  <m:t xml:space="preserve">)</m:t>
                </m:r>
              </m:sup>
            </m:sSubSup>
          </m:sup>
        </m:sSup>
      </m:oMath>
      <w:r>
        <w:rPr>
          <w:lang w:val="ru-RU"/>
        </w:rPr>
        <w:t xml:space="preserve"> – </w:t>
      </w:r>
      <w:r>
        <w:rPr>
          <w:lang w:val="ru-RU"/>
        </w:rPr>
        <w:t>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не позднее 10 часов 00 минут московского времени суток Х-4 для часов с порядковыми номерами от 1 до 120;</w:t>
      </w:r>
    </w:p>
    <w:p>
      <w:pPr>
        <w:pStyle w:val="Normal"/>
        <w:spacing w:before="20" w:after="20"/>
        <w:ind w:firstLine="709"/>
        <w:jc w:val="both"/>
        <w:rPr>
          <w:lang w:val="ru-RU"/>
        </w:rPr>
      </w:pPr>
      <w:r>
        <w:rPr/>
        <w:drawing>
          <wp:inline distT="0" distB="0" distL="0" distR="0">
            <wp:extent cx="532130" cy="273050"/>
            <wp:effectExtent l="0" t="0" r="0" b="0"/>
            <wp:docPr id="4"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5" descr=""/>
                    <pic:cNvPicPr>
                      <a:picLocks noChangeAspect="1" noChangeArrowheads="1"/>
                    </pic:cNvPicPr>
                  </pic:nvPicPr>
                  <pic:blipFill>
                    <a:blip r:embed="rId11"/>
                    <a:stretch>
                      <a:fillRect/>
                    </a:stretch>
                  </pic:blipFill>
                  <pic:spPr bwMode="auto">
                    <a:xfrm>
                      <a:off x="0" y="0"/>
                      <a:ext cx="532130" cy="273050"/>
                    </a:xfrm>
                    <a:prstGeom prst="rect">
                      <a:avLst/>
                    </a:prstGeom>
                  </pic:spPr>
                </pic:pic>
              </a:graphicData>
            </a:graphic>
          </wp:inline>
        </w:drawing>
      </w:r>
      <w:r>
        <w:rPr>
          <w:lang w:val="ru-RU"/>
        </w:rPr>
        <w:t xml:space="preserve"> – </w:t>
      </w:r>
      <w:r>
        <w:rPr>
          <w:lang w:val="ru-RU"/>
        </w:rPr>
        <w:t xml:space="preserve">снижение мощности ГТП генерации фиксируемое на основании данных, заявляемых участником ОРЭ не позднее 10 (десяти) часов хабаровского времени суток Х-1 для второй неценовой зоны в уведомлении о составе и параметрах оборудования и разрешенных внеплановых заявках на снижение максимальной мощности; </w:t>
      </w:r>
    </w:p>
    <w:p>
      <w:pPr>
        <w:pStyle w:val="Normal"/>
        <w:spacing w:before="20" w:after="20"/>
        <w:ind w:firstLine="709"/>
        <w:jc w:val="both"/>
        <w:rPr>
          <w:lang w:val="ru-RU"/>
        </w:rPr>
      </w:pPr>
      <w:r>
        <w:rPr/>
        <w:drawing>
          <wp:inline distT="0" distB="0" distL="0" distR="0">
            <wp:extent cx="526415" cy="263525"/>
            <wp:effectExtent l="0" t="0" r="0" b="0"/>
            <wp:docPr id="5" name="Рисунок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0" descr=""/>
                    <pic:cNvPicPr>
                      <a:picLocks noChangeAspect="1" noChangeArrowheads="1"/>
                    </pic:cNvPicPr>
                  </pic:nvPicPr>
                  <pic:blipFill>
                    <a:blip r:embed="rId12"/>
                    <a:stretch>
                      <a:fillRect/>
                    </a:stretch>
                  </pic:blipFill>
                  <pic:spPr bwMode="auto">
                    <a:xfrm>
                      <a:off x="0" y="0"/>
                      <a:ext cx="526415" cy="263525"/>
                    </a:xfrm>
                    <a:prstGeom prst="rect">
                      <a:avLst/>
                    </a:prstGeom>
                  </pic:spPr>
                </pic:pic>
              </a:graphicData>
            </a:graphic>
          </wp:inline>
        </w:drawing>
      </w:r>
      <w:r>
        <w:rPr>
          <w:lang w:val="ru-RU"/>
        </w:rPr>
        <w:t xml:space="preserve"> – </w:t>
      </w:r>
      <w:r>
        <w:rPr>
          <w:lang w:val="ru-RU"/>
        </w:rPr>
        <w:t>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не позднее 10 (десяти) часов хабаровского времени суток Х-1 (для второй неценовой зоны),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t>
      </w:r>
    </w:p>
    <w:p>
      <w:pPr>
        <w:pStyle w:val="Normal"/>
        <w:spacing w:before="20" w:after="20"/>
        <w:ind w:firstLine="709"/>
        <w:jc w:val="both"/>
        <w:rPr>
          <w:lang w:val="ru-RU"/>
        </w:rPr>
      </w:pPr>
      <w:r>
        <w:rPr/>
        <w:drawing>
          <wp:inline distT="0" distB="0" distL="0" distR="0">
            <wp:extent cx="621030" cy="320675"/>
            <wp:effectExtent l="0" t="0" r="0" b="0"/>
            <wp:docPr id="6"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4" descr=""/>
                    <pic:cNvPicPr>
                      <a:picLocks noChangeAspect="1" noChangeArrowheads="1"/>
                    </pic:cNvPicPr>
                  </pic:nvPicPr>
                  <pic:blipFill>
                    <a:blip r:embed="rId13"/>
                    <a:stretch>
                      <a:fillRect/>
                    </a:stretch>
                  </pic:blipFill>
                  <pic:spPr bwMode="auto">
                    <a:xfrm>
                      <a:off x="0" y="0"/>
                      <a:ext cx="621030" cy="320675"/>
                    </a:xfrm>
                    <a:prstGeom prst="rect">
                      <a:avLst/>
                    </a:prstGeom>
                  </pic:spPr>
                </pic:pic>
              </a:graphicData>
            </a:graphic>
          </wp:inline>
        </w:drawing>
      </w:r>
      <w:r>
        <w:rPr>
          <w:lang w:val="ru-RU"/>
        </w:rPr>
        <w:t xml:space="preserve"> – </w:t>
      </w:r>
      <w:r>
        <w:rPr>
          <w:lang w:val="ru-RU"/>
        </w:rPr>
        <w:t>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с 10 (десяти) часов суток Х-1(второй неценовой зоны), до часа (</w:t>
      </w:r>
      <w:r>
        <w:rPr/>
        <w:t>n</w:t>
      </w:r>
      <w:r>
        <w:rPr>
          <w:lang w:val="ru-RU"/>
        </w:rPr>
        <w:t>-4) суток Х;</w:t>
      </w:r>
    </w:p>
    <w:p>
      <w:pPr>
        <w:pStyle w:val="Normal"/>
        <w:spacing w:before="20" w:after="20"/>
        <w:ind w:firstLine="709"/>
        <w:jc w:val="both"/>
        <w:rPr>
          <w:lang w:val="ru-RU"/>
        </w:rPr>
      </w:pPr>
      <w:r>
        <w:rPr/>
        <w:drawing>
          <wp:inline distT="0" distB="0" distL="0" distR="0">
            <wp:extent cx="526415" cy="263525"/>
            <wp:effectExtent l="0" t="0" r="0" b="0"/>
            <wp:docPr id="7"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9" descr=""/>
                    <pic:cNvPicPr>
                      <a:picLocks noChangeAspect="1" noChangeArrowheads="1"/>
                    </pic:cNvPicPr>
                  </pic:nvPicPr>
                  <pic:blipFill>
                    <a:blip r:embed="rId14"/>
                    <a:stretch>
                      <a:fillRect/>
                    </a:stretch>
                  </pic:blipFill>
                  <pic:spPr bwMode="auto">
                    <a:xfrm>
                      <a:off x="0" y="0"/>
                      <a:ext cx="526415" cy="263525"/>
                    </a:xfrm>
                    <a:prstGeom prst="rect">
                      <a:avLst/>
                    </a:prstGeom>
                  </pic:spPr>
                </pic:pic>
              </a:graphicData>
            </a:graphic>
          </wp:inline>
        </w:drawing>
      </w:r>
      <w:r>
        <w:rPr>
          <w:lang w:val="ru-RU"/>
        </w:rPr>
        <w:t xml:space="preserve"> – </w:t>
      </w:r>
      <w:r>
        <w:rPr>
          <w:lang w:val="ru-RU"/>
        </w:rPr>
        <w:t>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с 10 (десяти) часов суток Х-1 (второй неценовой зоны), до часа (</w:t>
      </w:r>
      <w:r>
        <w:rPr/>
        <w:t>n</w:t>
      </w:r>
      <w:r>
        <w:rPr>
          <w:lang w:val="ru-RU"/>
        </w:rPr>
        <w:t>-4) суток Х;</w:t>
      </w:r>
    </w:p>
    <w:p>
      <w:pPr>
        <w:pStyle w:val="Normal"/>
        <w:spacing w:before="20" w:after="20"/>
        <w:ind w:firstLine="709"/>
        <w:jc w:val="both"/>
        <w:rPr>
          <w:lang w:val="ru-RU"/>
        </w:rPr>
      </w:pPr>
      <w:r>
        <w:rPr/>
        <w:drawing>
          <wp:inline distT="0" distB="0" distL="0" distR="0">
            <wp:extent cx="511810" cy="241300"/>
            <wp:effectExtent l="0" t="0" r="0" b="0"/>
            <wp:docPr id="8"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8" descr=""/>
                    <pic:cNvPicPr>
                      <a:picLocks noChangeAspect="1" noChangeArrowheads="1"/>
                    </pic:cNvPicPr>
                  </pic:nvPicPr>
                  <pic:blipFill>
                    <a:blip r:embed="rId15"/>
                    <a:stretch>
                      <a:fillRect/>
                    </a:stretch>
                  </pic:blipFill>
                  <pic:spPr bwMode="auto">
                    <a:xfrm>
                      <a:off x="0" y="0"/>
                      <a:ext cx="511810" cy="241300"/>
                    </a:xfrm>
                    <a:prstGeom prst="rect">
                      <a:avLst/>
                    </a:prstGeom>
                  </pic:spPr>
                </pic:pic>
              </a:graphicData>
            </a:graphic>
          </wp:inline>
        </w:drawing>
      </w:r>
      <w:r>
        <w:rPr>
          <w:lang w:val="ru-RU"/>
        </w:rPr>
        <w:t xml:space="preserve"> – </w:t>
      </w:r>
      <w:r>
        <w:rPr>
          <w:lang w:val="ru-RU"/>
        </w:rPr>
        <w:t>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t>
      </w:r>
    </w:p>
    <w:p>
      <w:pPr>
        <w:pStyle w:val="Normal"/>
        <w:spacing w:before="20" w:after="20"/>
        <w:ind w:firstLine="709"/>
        <w:jc w:val="both"/>
        <w:rPr>
          <w:lang w:val="ru-RU"/>
        </w:rPr>
      </w:pPr>
      <w:r>
        <w:rPr/>
        <w:drawing>
          <wp:inline distT="0" distB="0" distL="0" distR="0">
            <wp:extent cx="497205" cy="241300"/>
            <wp:effectExtent l="0" t="0" r="0" b="0"/>
            <wp:docPr id="9"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7" descr=""/>
                    <pic:cNvPicPr>
                      <a:picLocks noChangeAspect="1" noChangeArrowheads="1"/>
                    </pic:cNvPicPr>
                  </pic:nvPicPr>
                  <pic:blipFill>
                    <a:blip r:embed="rId16"/>
                    <a:stretch>
                      <a:fillRect/>
                    </a:stretch>
                  </pic:blipFill>
                  <pic:spPr bwMode="auto">
                    <a:xfrm>
                      <a:off x="0" y="0"/>
                      <a:ext cx="497205" cy="241300"/>
                    </a:xfrm>
                    <a:prstGeom prst="rect">
                      <a:avLst/>
                    </a:prstGeom>
                  </pic:spPr>
                </pic:pic>
              </a:graphicData>
            </a:graphic>
          </wp:inline>
        </w:drawing>
      </w:r>
      <w:r>
        <w:rPr>
          <w:lang w:val="ru-RU"/>
        </w:rPr>
        <w:t xml:space="preserve"> – </w:t>
      </w:r>
      <w:r>
        <w:rPr>
          <w:lang w:val="ru-RU"/>
        </w:rPr>
        <w:t>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t>
      </w:r>
    </w:p>
    <w:p>
      <w:pPr>
        <w:pStyle w:val="Normal"/>
        <w:spacing w:before="20" w:after="20"/>
        <w:ind w:firstLine="709"/>
        <w:jc w:val="both"/>
        <w:rPr>
          <w:lang w:val="ru-RU"/>
        </w:rPr>
      </w:pPr>
      <w:r>
        <w:rPr/>
        <w:drawing>
          <wp:inline distT="0" distB="0" distL="0" distR="0">
            <wp:extent cx="914400" cy="285115"/>
            <wp:effectExtent l="0" t="0" r="0" b="0"/>
            <wp:docPr id="10"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6" descr=""/>
                    <pic:cNvPicPr>
                      <a:picLocks noChangeAspect="1" noChangeArrowheads="1"/>
                    </pic:cNvPicPr>
                  </pic:nvPicPr>
                  <pic:blipFill>
                    <a:blip r:embed="rId17"/>
                    <a:stretch>
                      <a:fillRect/>
                    </a:stretch>
                  </pic:blipFill>
                  <pic:spPr bwMode="auto">
                    <a:xfrm>
                      <a:off x="0" y="0"/>
                      <a:ext cx="914400" cy="285115"/>
                    </a:xfrm>
                    <a:prstGeom prst="rect">
                      <a:avLst/>
                    </a:prstGeom>
                  </pic:spPr>
                </pic:pic>
              </a:graphicData>
            </a:graphic>
          </wp:inline>
        </w:drawing>
      </w:r>
      <w:r>
        <w:rPr>
          <w:lang w:val="ru-RU"/>
        </w:rPr>
        <w:t xml:space="preserve"> – </w:t>
      </w:r>
      <w:r>
        <w:rPr>
          <w:lang w:val="ru-RU"/>
        </w:rPr>
        <w:t>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t>
      </w:r>
    </w:p>
    <w:p>
      <w:pPr>
        <w:pStyle w:val="Normal"/>
        <w:spacing w:before="20" w:after="20"/>
        <w:ind w:firstLine="709"/>
        <w:jc w:val="both"/>
        <w:rPr>
          <w:lang w:val="ru-RU"/>
        </w:rPr>
      </w:pPr>
      <w:r>
        <w:rPr/>
        <w:drawing>
          <wp:inline distT="0" distB="0" distL="0" distR="0">
            <wp:extent cx="1053465" cy="358140"/>
            <wp:effectExtent l="0" t="0" r="0" b="0"/>
            <wp:docPr id="11"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5" descr=""/>
                    <pic:cNvPicPr>
                      <a:picLocks noChangeAspect="1" noChangeArrowheads="1"/>
                    </pic:cNvPicPr>
                  </pic:nvPicPr>
                  <pic:blipFill>
                    <a:blip r:embed="rId18"/>
                    <a:stretch>
                      <a:fillRect/>
                    </a:stretch>
                  </pic:blipFill>
                  <pic:spPr bwMode="auto">
                    <a:xfrm>
                      <a:off x="0" y="0"/>
                      <a:ext cx="1053465" cy="358140"/>
                    </a:xfrm>
                    <a:prstGeom prst="rect">
                      <a:avLst/>
                    </a:prstGeom>
                  </pic:spPr>
                </pic:pic>
              </a:graphicData>
            </a:graphic>
          </wp:inline>
        </w:drawing>
      </w:r>
      <w:r>
        <w:rPr>
          <w:lang w:val="ru-RU"/>
        </w:rPr>
        <w:t xml:space="preserve"> – </w:t>
      </w:r>
      <w:r>
        <w:rPr>
          <w:lang w:val="ru-RU"/>
        </w:rPr>
        <w:t>регистрируется при согласованном увеличении времени включения в сеть;</w:t>
      </w:r>
    </w:p>
    <w:p>
      <w:pPr>
        <w:pStyle w:val="Normal"/>
        <w:spacing w:before="20" w:after="20"/>
        <w:ind w:firstLine="709"/>
        <w:jc w:val="both"/>
        <w:rPr>
          <w:lang w:val="ru-RU"/>
        </w:rPr>
      </w:pPr>
      <w:r>
        <w:rPr/>
        <w:drawing>
          <wp:inline distT="0" distB="0" distL="0" distR="0">
            <wp:extent cx="958215" cy="314325"/>
            <wp:effectExtent l="0" t="0" r="0" b="0"/>
            <wp:docPr id="12"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4" descr=""/>
                    <pic:cNvPicPr>
                      <a:picLocks noChangeAspect="1" noChangeArrowheads="1"/>
                    </pic:cNvPicPr>
                  </pic:nvPicPr>
                  <pic:blipFill>
                    <a:blip r:embed="rId19"/>
                    <a:stretch>
                      <a:fillRect/>
                    </a:stretch>
                  </pic:blipFill>
                  <pic:spPr bwMode="auto">
                    <a:xfrm>
                      <a:off x="0" y="0"/>
                      <a:ext cx="958215" cy="314325"/>
                    </a:xfrm>
                    <a:prstGeom prst="rect">
                      <a:avLst/>
                    </a:prstGeom>
                  </pic:spPr>
                </pic:pic>
              </a:graphicData>
            </a:graphic>
          </wp:inline>
        </w:drawing>
      </w:r>
      <w:r>
        <w:rPr>
          <w:lang w:val="ru-RU"/>
        </w:rPr>
        <w:t xml:space="preserve"> – </w:t>
      </w:r>
      <w:r>
        <w:rPr>
          <w:lang w:val="ru-RU"/>
        </w:rPr>
        <w:t>регистрируется при фактическом включении в сеть генерирующего оборудования со временем, превышающим время нормативного включения в сеть;</w:t>
      </w:r>
    </w:p>
    <w:p>
      <w:pPr>
        <w:pStyle w:val="Normal"/>
        <w:spacing w:before="20" w:after="20"/>
        <w:ind w:firstLine="709"/>
        <w:jc w:val="both"/>
        <w:rPr>
          <w:lang w:val="ru-RU"/>
        </w:rPr>
      </w:pPr>
      <w:r>
        <w:rPr/>
        <w:drawing>
          <wp:inline distT="0" distB="0" distL="0" distR="0">
            <wp:extent cx="368300" cy="286385"/>
            <wp:effectExtent l="0" t="0" r="0" b="0"/>
            <wp:docPr id="1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3" descr=""/>
                    <pic:cNvPicPr>
                      <a:picLocks noChangeAspect="1" noChangeArrowheads="1"/>
                    </pic:cNvPicPr>
                  </pic:nvPicPr>
                  <pic:blipFill>
                    <a:blip r:embed="rId20"/>
                    <a:stretch>
                      <a:fillRect/>
                    </a:stretch>
                  </pic:blipFill>
                  <pic:spPr bwMode="auto">
                    <a:xfrm>
                      <a:off x="0" y="0"/>
                      <a:ext cx="368300" cy="286385"/>
                    </a:xfrm>
                    <a:prstGeom prst="rect">
                      <a:avLst/>
                    </a:prstGeom>
                  </pic:spPr>
                </pic:pic>
              </a:graphicData>
            </a:graphic>
          </wp:inline>
        </w:drawing>
      </w:r>
      <w:r>
        <w:rPr>
          <w:lang w:val="ru-RU"/>
        </w:rPr>
        <w:t xml:space="preserve"> – </w:t>
      </w:r>
      <w:r>
        <w:rPr>
          <w:lang w:val="ru-RU"/>
        </w:rPr>
        <w:t>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t>
      </w:r>
    </w:p>
    <w:p>
      <w:pPr>
        <w:pStyle w:val="Normal"/>
        <w:spacing w:before="120" w:after="20"/>
        <w:ind w:firstLine="709"/>
        <w:jc w:val="both"/>
        <w:rPr>
          <w:lang w:val="ru-RU"/>
        </w:rPr>
      </w:pPr>
      <w:r>
        <w:rPr>
          <w:lang w:val="ru-RU"/>
        </w:rPr>
        <w: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t>
      </w:r>
      <w:r>
        <w:rPr/>
        <w:drawing>
          <wp:inline distT="0" distB="0" distL="0" distR="0">
            <wp:extent cx="336550" cy="263525"/>
            <wp:effectExtent l="0" t="0" r="0" b="0"/>
            <wp:docPr id="14"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descr=""/>
                    <pic:cNvPicPr>
                      <a:picLocks noChangeAspect="1" noChangeArrowheads="1"/>
                    </pic:cNvPicPr>
                  </pic:nvPicPr>
                  <pic:blipFill>
                    <a:blip r:embed="rId21"/>
                    <a:stretch>
                      <a:fillRect/>
                    </a:stretch>
                  </pic:blipFill>
                  <pic:spPr bwMode="auto">
                    <a:xfrm>
                      <a:off x="0" y="0"/>
                      <a:ext cx="336550" cy="263525"/>
                    </a:xfrm>
                    <a:prstGeom prst="rect">
                      <a:avLst/>
                    </a:prstGeom>
                  </pic:spPr>
                </pic:pic>
              </a:graphicData>
            </a:graphic>
          </wp:inline>
        </w:drawing>
      </w:r>
      <w:r>
        <w:rPr>
          <w:lang w:val="ru-RU"/>
        </w:rPr>
        <w:t>, соответствующие объемам невыполнения требований в месяце, определяется по формуле:</w:t>
      </w:r>
    </w:p>
    <w:p>
      <w:pPr>
        <w:pStyle w:val="Normal"/>
        <w:spacing w:before="20" w:after="20"/>
        <w:jc w:val="center"/>
        <w:rPr/>
      </w:pPr>
      <w:r>
        <w:rPr/>
        <w:drawing>
          <wp:inline distT="0" distB="0" distL="0" distR="0">
            <wp:extent cx="1375410" cy="673100"/>
            <wp:effectExtent l="0" t="0" r="0" b="0"/>
            <wp:docPr id="15"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2" descr=""/>
                    <pic:cNvPicPr>
                      <a:picLocks noChangeAspect="1" noChangeArrowheads="1"/>
                    </pic:cNvPicPr>
                  </pic:nvPicPr>
                  <pic:blipFill>
                    <a:blip r:embed="rId22"/>
                    <a:stretch>
                      <a:fillRect/>
                    </a:stretch>
                  </pic:blipFill>
                  <pic:spPr bwMode="auto">
                    <a:xfrm>
                      <a:off x="0" y="0"/>
                      <a:ext cx="1375410" cy="673100"/>
                    </a:xfrm>
                    <a:prstGeom prst="rect">
                      <a:avLst/>
                    </a:prstGeom>
                  </pic:spPr>
                </pic:pic>
              </a:graphicData>
            </a:graphic>
          </wp:inline>
        </w:drawing>
      </w:r>
    </w:p>
    <w:p>
      <w:pPr>
        <w:pStyle w:val="Normal"/>
        <w:spacing w:before="20" w:after="20"/>
        <w:ind w:firstLine="709"/>
        <w:jc w:val="both"/>
        <w:rPr>
          <w:lang w:val="ru-RU"/>
        </w:rPr>
      </w:pPr>
      <w:r>
        <w:rPr>
          <w:lang w:val="ru-RU"/>
        </w:rPr>
        <w:t>где:</w:t>
      </w:r>
    </w:p>
    <w:p>
      <w:pPr>
        <w:pStyle w:val="Normal"/>
        <w:spacing w:before="20" w:after="20"/>
        <w:ind w:firstLine="709"/>
        <w:jc w:val="both"/>
        <w:rPr>
          <w:lang w:val="ru-RU"/>
        </w:rPr>
      </w:pPr>
      <w:r>
        <w:rPr/>
        <w:drawing>
          <wp:inline distT="0" distB="0" distL="0" distR="0">
            <wp:extent cx="292735" cy="263525"/>
            <wp:effectExtent l="0" t="0" r="0" b="0"/>
            <wp:docPr id="16"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1" descr=""/>
                    <pic:cNvPicPr>
                      <a:picLocks noChangeAspect="1" noChangeArrowheads="1"/>
                    </pic:cNvPicPr>
                  </pic:nvPicPr>
                  <pic:blipFill>
                    <a:blip r:embed="rId23"/>
                    <a:stretch>
                      <a:fillRect/>
                    </a:stretch>
                  </pic:blipFill>
                  <pic:spPr bwMode="auto">
                    <a:xfrm>
                      <a:off x="0" y="0"/>
                      <a:ext cx="292735" cy="263525"/>
                    </a:xfrm>
                    <a:prstGeom prst="rect">
                      <a:avLst/>
                    </a:prstGeom>
                  </pic:spPr>
                </pic:pic>
              </a:graphicData>
            </a:graphic>
          </wp:inline>
        </w:drawing>
      </w:r>
      <w:r>
        <w:rPr>
          <w:lang w:val="ru-RU"/>
        </w:rPr>
        <w:t xml:space="preserve"> – </w:t>
      </w:r>
      <w:r>
        <w:rPr>
          <w:lang w:val="ru-RU"/>
        </w:rPr>
        <w:t>значения снижения мощности ГТПГ, установленные СО в ГРМ;</w:t>
      </w:r>
    </w:p>
    <w:p>
      <w:pPr>
        <w:pStyle w:val="Normal"/>
        <w:spacing w:before="20" w:after="20"/>
        <w:ind w:firstLine="709"/>
        <w:jc w:val="both"/>
        <w:rPr>
          <w:lang w:val="ru-RU"/>
        </w:rPr>
      </w:pPr>
      <w:r>
        <w:rPr>
          <w:lang w:val="ru-RU"/>
        </w:rPr>
        <w:t xml:space="preserve">Н – количество часов, соответствующее расчетному месяцу </w:t>
      </w:r>
      <w:r>
        <w:rPr/>
        <w:t>m</w:t>
      </w:r>
      <w:r>
        <w:rPr>
          <w:lang w:val="ru-RU"/>
        </w:rPr>
        <w:t xml:space="preserve">. </w:t>
      </w:r>
    </w:p>
    <w:p>
      <w:pPr>
        <w:pStyle w:val="Normal"/>
        <w:spacing w:before="20" w:after="20"/>
        <w:ind w:firstLine="709"/>
        <w:jc w:val="both"/>
        <w:rPr>
          <w:lang w:val="ru-RU"/>
        </w:rPr>
      </w:pPr>
      <w:r>
        <w:rPr>
          <w:lang w:val="ru-RU"/>
        </w:rPr>
      </w:r>
    </w:p>
    <w:p>
      <w:pPr>
        <w:pStyle w:val="Normal"/>
        <w:spacing w:before="20" w:after="20"/>
        <w:ind w:firstLine="709"/>
        <w:jc w:val="both"/>
        <w:rPr>
          <w:lang w:val="ru-RU"/>
        </w:rPr>
      </w:pPr>
      <w:r>
        <w:rPr>
          <w:lang w:val="ru-RU"/>
        </w:rPr>
        <w: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t>
      </w:r>
    </w:p>
    <w:p>
      <w:pPr>
        <w:pStyle w:val="Normal"/>
        <w:spacing w:before="120" w:after="20"/>
        <w:ind w:firstLine="709"/>
        <w:jc w:val="both"/>
        <w:rPr>
          <w:lang w:val="ru-RU"/>
        </w:rPr>
      </w:pPr>
      <w:r>
        <w:rPr>
          <w:lang w:val="ru-RU"/>
        </w:rPr>
        <w:t xml:space="preserve">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w:t>
      </w:r>
      <w:r>
        <w:rPr/>
        <w:t>m</w:t>
      </w:r>
      <w:r>
        <w:rPr>
          <w:lang w:val="ru-RU"/>
        </w:rPr>
        <w:t>, рассчитывается для каждой ГТП (единицы оборудования) по формуле:</w:t>
      </w:r>
    </w:p>
    <w:p>
      <w:pPr>
        <w:pStyle w:val="Normal"/>
        <w:spacing w:before="20" w:after="20"/>
        <w:ind w:firstLine="709"/>
        <w:jc w:val="both"/>
        <w:rPr>
          <w:lang w:val="ru-RU"/>
        </w:rPr>
      </w:pPr>
      <w:r>
        <w:rPr>
          <w:lang w:val="ru-RU"/>
        </w:rPr>
      </w:r>
    </w:p>
    <w:p>
      <w:pPr>
        <w:pStyle w:val="Normal"/>
        <w:spacing w:before="20" w:after="20"/>
        <w:jc w:val="center"/>
        <w:rPr/>
      </w:pPr>
      <w:r>
        <w:rPr/>
        <w:drawing>
          <wp:inline distT="0" distB="0" distL="0" distR="0">
            <wp:extent cx="1866900" cy="447675"/>
            <wp:effectExtent l="0" t="0" r="0" b="0"/>
            <wp:docPr id="17"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8" descr=""/>
                    <pic:cNvPicPr>
                      <a:picLocks noChangeAspect="1" noChangeArrowheads="1"/>
                    </pic:cNvPicPr>
                  </pic:nvPicPr>
                  <pic:blipFill>
                    <a:blip r:embed="rId24"/>
                    <a:stretch>
                      <a:fillRect/>
                    </a:stretch>
                  </pic:blipFill>
                  <pic:spPr bwMode="auto">
                    <a:xfrm>
                      <a:off x="0" y="0"/>
                      <a:ext cx="1866900" cy="447675"/>
                    </a:xfrm>
                    <a:prstGeom prst="rect">
                      <a:avLst/>
                    </a:prstGeom>
                  </pic:spPr>
                </pic:pic>
              </a:graphicData>
            </a:graphic>
          </wp:inline>
        </w:drawing>
      </w:r>
    </w:p>
    <w:p>
      <w:pPr>
        <w:pStyle w:val="Normal"/>
        <w:spacing w:before="20" w:after="20"/>
        <w:ind w:firstLine="709"/>
        <w:jc w:val="both"/>
        <w:rPr>
          <w:lang w:val="ru-RU"/>
        </w:rPr>
      </w:pPr>
      <w:r>
        <w:rPr>
          <w:lang w:val="ru-RU"/>
        </w:rPr>
        <w:t xml:space="preserve"> </w:t>
      </w:r>
      <w:r>
        <w:rPr>
          <w:lang w:val="ru-RU"/>
        </w:rPr>
        <w:t>где:</w:t>
        <w:tab/>
        <w:tab/>
        <w:tab/>
        <w:tab/>
        <w:tab/>
        <w:tab/>
      </w:r>
    </w:p>
    <w:p>
      <w:pPr>
        <w:pStyle w:val="Normal"/>
        <w:spacing w:before="20" w:after="20"/>
        <w:ind w:firstLine="709"/>
        <w:jc w:val="both"/>
        <w:rPr>
          <w:lang w:val="ru-RU"/>
        </w:rPr>
      </w:pPr>
      <w:r>
        <w:rPr/>
        <w:drawing>
          <wp:inline distT="0" distB="0" distL="0" distR="0">
            <wp:extent cx="184150" cy="231775"/>
            <wp:effectExtent l="0" t="0" r="0" b="0"/>
            <wp:docPr id="18"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2" descr=""/>
                    <pic:cNvPicPr>
                      <a:picLocks noChangeAspect="1" noChangeArrowheads="1"/>
                    </pic:cNvPicPr>
                  </pic:nvPicPr>
                  <pic:blipFill>
                    <a:blip r:embed="rId25"/>
                    <a:stretch>
                      <a:fillRect/>
                    </a:stretch>
                  </pic:blipFill>
                  <pic:spPr bwMode="auto">
                    <a:xfrm>
                      <a:off x="0" y="0"/>
                      <a:ext cx="184150" cy="231775"/>
                    </a:xfrm>
                    <a:prstGeom prst="rect">
                      <a:avLst/>
                    </a:prstGeom>
                  </pic:spPr>
                </pic:pic>
              </a:graphicData>
            </a:graphic>
          </wp:inline>
        </w:drawing>
      </w:r>
      <w:r>
        <w:rPr>
          <w:lang w:val="ru-RU"/>
        </w:rPr>
        <w:t xml:space="preserve"> </w:t>
      </w:r>
      <w:r>
        <w:rPr>
          <w:lang w:val="ru-RU"/>
        </w:rPr>
        <w:t>- коэффициенты (</w:t>
      </w:r>
      <w:r>
        <w:rPr/>
      </w:r>
      <m:oMath xmlns:m="http://schemas.openxmlformats.org/officeDocument/2006/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Α</m:t>
            </m:r>
            <m:r>
              <w:rPr>
                <w:rFonts w:ascii="Cambria Math" w:hAnsi="Cambria Math"/>
              </w:rPr>
              <m:t xml:space="preserve">2</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Α</m:t>
            </m:r>
            <m:r>
              <w:rPr>
                <w:rFonts w:ascii="Cambria Math" w:hAnsi="Cambria Math"/>
              </w:rPr>
              <m:t xml:space="preserve">3</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Б1</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Б2</m:t>
            </m:r>
          </m:sub>
        </m:sSub>
      </m:oMath>
      <w:r>
        <w:rPr>
          <w:lang w:val="ru-RU"/>
        </w:rPr>
        <w:t>,</w:t>
      </w:r>
      <w:r>
        <w:rPr/>
      </w:r>
      <m:oMath xmlns:m="http://schemas.openxmlformats.org/officeDocument/2006/math"/>
      <w:r>
        <w:rPr>
          <w:lang w:val="ru-RU"/>
        </w:rPr>
        <w:t>,</w:t>
      </w:r>
      <w:r>
        <w:rPr/>
      </w:r>
      <m:oMath xmlns:m="http://schemas.openxmlformats.org/officeDocument/2006/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В2</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В3</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Г1</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Г2</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Г3</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Д</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Е</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Ж</m:t>
            </m:r>
          </m:sub>
        </m:sSub>
      </m:oMath>
      <w:r>
        <w:rPr>
          <w:lang w:val="ru-RU"/>
        </w:rPr>
        <w:t xml:space="preserve">, </w:t>
      </w:r>
      <w:r>
        <w:rPr/>
      </w:r>
      <m:oMath xmlns:m="http://schemas.openxmlformats.org/officeDocument/2006/math">
        <m:sSub>
          <m:e>
            <m:r>
              <w:rPr>
                <w:rFonts w:ascii="Cambria Math" w:hAnsi="Cambria Math"/>
              </w:rPr>
              <m:t xml:space="preserve">k</m:t>
            </m:r>
          </m:e>
          <m:sub>
            <m:r>
              <w:rPr>
                <w:rFonts w:ascii="Cambria Math" w:hAnsi="Cambria Math"/>
              </w:rPr>
              <m:t xml:space="preserve">З</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И</m:t>
            </m:r>
          </m:sub>
        </m:sSub>
      </m:oMath>
      <w:r>
        <w:rPr>
          <w:lang w:val="ru-RU"/>
        </w:rPr>
        <w:t>), определяемые для каждой из соответствующих им Правилами оптового рынка или приказом Минэнерго России (приложение 2 к приказу ФСТ России от 03.03.2009 № 32-э/1);</w:t>
      </w:r>
    </w:p>
    <w:p>
      <w:pPr>
        <w:pStyle w:val="Normal"/>
        <w:spacing w:before="120" w:after="20"/>
        <w:ind w:firstLine="709"/>
        <w:jc w:val="both"/>
        <w:rPr>
          <w:lang w:val="ru-RU"/>
        </w:rPr>
      </w:pPr>
      <w:r>
        <w:rPr>
          <w:lang w:val="ru-RU"/>
        </w:rPr>
        <w:t xml:space="preserve">Снижение оплаты мощности рассчитывается как произведение объема недопоставки мощности </w:t>
      </w:r>
      <w:r>
        <w:rPr/>
        <w:drawing>
          <wp:inline distT="0" distB="0" distL="0" distR="0">
            <wp:extent cx="702945" cy="259080"/>
            <wp:effectExtent l="0" t="0" r="0" b="0"/>
            <wp:docPr id="19"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 descr=""/>
                    <pic:cNvPicPr>
                      <a:picLocks noChangeAspect="1" noChangeArrowheads="1"/>
                    </pic:cNvPicPr>
                  </pic:nvPicPr>
                  <pic:blipFill>
                    <a:blip r:embed="rId26"/>
                    <a:stretch>
                      <a:fillRect/>
                    </a:stretch>
                  </pic:blipFill>
                  <pic:spPr bwMode="auto">
                    <a:xfrm>
                      <a:off x="0" y="0"/>
                      <a:ext cx="702945" cy="259080"/>
                    </a:xfrm>
                    <a:prstGeom prst="rect">
                      <a:avLst/>
                    </a:prstGeom>
                  </pic:spPr>
                </pic:pic>
              </a:graphicData>
            </a:graphic>
          </wp:inline>
        </w:drawing>
      </w:r>
      <w:r>
        <w:rPr>
          <w:lang w:val="ru-RU"/>
        </w:rPr>
        <w:t xml:space="preserve"> на тариф </w:t>
      </w:r>
      <w:r>
        <w:rPr/>
        <w:drawing>
          <wp:inline distT="0" distB="0" distL="0" distR="0">
            <wp:extent cx="497205" cy="343535"/>
            <wp:effectExtent l="0" t="0" r="0" b="0"/>
            <wp:docPr id="2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0" descr=""/>
                    <pic:cNvPicPr>
                      <a:picLocks noChangeAspect="1" noChangeArrowheads="1"/>
                    </pic:cNvPicPr>
                  </pic:nvPicPr>
                  <pic:blipFill>
                    <a:blip r:embed="rId27"/>
                    <a:stretch>
                      <a:fillRect/>
                    </a:stretch>
                  </pic:blipFill>
                  <pic:spPr bwMode="auto">
                    <a:xfrm>
                      <a:off x="0" y="0"/>
                      <a:ext cx="497205" cy="343535"/>
                    </a:xfrm>
                    <a:prstGeom prst="rect">
                      <a:avLst/>
                    </a:prstGeom>
                  </pic:spPr>
                </pic:pic>
              </a:graphicData>
            </a:graphic>
          </wp:inline>
        </w:drawing>
      </w:r>
      <w:r>
        <w:rPr>
          <w:lang w:val="ru-RU"/>
        </w:rPr>
        <w:t xml:space="preserve"> (определяется на текущий период в соответствии с приказом ФАС России «О ценах (тарифах) на электроэнергию (мощность), поставляемую в неценовых зонах оптового рынка») и на коэффициент сезонности  (определяется на текущий период согласно приказу ФАС России «Об утверждении коэффициентов сезонности, применяемых для оплаты мощности на территориях, не объединенных в ценовые зоны оптового рынка (неценовых зон)»).</w:t>
      </w:r>
    </w:p>
    <w:tbl>
      <w:tblPr>
        <w:tblW w:w="1375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961"/>
        <w:gridCol w:w="8789"/>
      </w:tblGrid>
      <w:tr>
        <w:trPr/>
        <w:tc>
          <w:tcPr>
            <w:tcW w:w="4961" w:type="dxa"/>
            <w:tcBorders/>
          </w:tcPr>
          <w:p>
            <w:pPr>
              <w:pStyle w:val="Normal"/>
              <w:widowControl w:val="false"/>
              <w:rPr>
                <w:b/>
              </w:rPr>
            </w:pPr>
            <w:r>
              <w:rPr>
                <w:b/>
              </w:rPr>
              <w:t>Заказчик:</w:t>
            </w:r>
          </w:p>
        </w:tc>
        <w:tc>
          <w:tcPr>
            <w:tcW w:w="8789" w:type="dxa"/>
            <w:tcBorders/>
          </w:tcPr>
          <w:p>
            <w:pPr>
              <w:pStyle w:val="Normal"/>
              <w:widowControl w:val="false"/>
              <w:rPr>
                <w:b/>
              </w:rPr>
            </w:pPr>
            <w:r>
              <w:rPr>
                <w:b/>
                <w:lang w:val="ru-RU"/>
              </w:rPr>
              <w:t>Исполнитель</w:t>
            </w:r>
            <w:r>
              <w:rPr>
                <w:b/>
              </w:rPr>
              <w:t>:</w:t>
            </w:r>
          </w:p>
        </w:tc>
      </w:tr>
      <w:tr>
        <w:trPr/>
        <w:tc>
          <w:tcPr>
            <w:tcW w:w="4961"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c>
          <w:tcPr>
            <w:tcW w:w="8789"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r>
    </w:tbl>
    <w:p>
      <w:pPr>
        <w:pStyle w:val="Normal"/>
        <w:rPr>
          <w:i/>
          <w:i/>
          <w:color w:val="FF0000"/>
          <w:lang w:val="ru-RU"/>
        </w:rPr>
      </w:pPr>
      <w:r>
        <w:rPr/>
      </w:r>
    </w:p>
    <w:sectPr>
      <w:headerReference w:type="default" r:id="rId28"/>
      <w:headerReference w:type="first" r:id="rId29"/>
      <w:footerReference w:type="default" r:id="rId30"/>
      <w:footerReference w:type="first" r:id="rId31"/>
      <w:footnotePr>
        <w:numFmt w:val="decimal"/>
      </w:footnotePr>
      <w:type w:val="nextPage"/>
      <w:pgSz w:w="11906" w:h="16838"/>
      <w:pgMar w:left="1418" w:right="851" w:gutter="0" w:header="567"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swiss"/>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28</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36</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Пункт включается в Договор в случае, если к Договору прикладывается полный комплект расчетов стоимости услуг.</w:t>
      </w:r>
    </w:p>
  </w:footnote>
  <w:footnote w:id="3">
    <w:p>
      <w:pPr>
        <w:pStyle w:val="FootnoteText"/>
        <w:jc w:val="both"/>
        <w:rPr>
          <w:highlight w:val="yellow"/>
          <w:lang w:val="ru-RU"/>
        </w:rPr>
      </w:pPr>
      <w:r>
        <w:rPr>
          <w:rStyle w:val="Style6"/>
        </w:rPr>
        <w:footnoteRef/>
      </w:r>
      <w:r>
        <w:rPr>
          <w:lang w:val="ru-RU"/>
        </w:rPr>
        <w:t xml:space="preserve"> </w:t>
      </w:r>
      <w:r>
        <w:rPr>
          <w:highlight w:val="lightGray"/>
          <w:lang w:val="ru-RU"/>
        </w:rPr>
        <w:t>Условие включается в случае, когда на дату заключения Договора расчеты стоимости услуг по одному или нескольким Этапам отсутствуют</w:t>
      </w:r>
      <w:r>
        <w:rPr>
          <w:lang w:val="ru-RU"/>
        </w:rPr>
        <w:t>.</w:t>
      </w:r>
      <w:r>
        <w:rPr>
          <w:highlight w:val="yellow"/>
          <w:lang w:val="ru-RU"/>
        </w:rPr>
        <w:t xml:space="preserve"> </w:t>
      </w:r>
    </w:p>
  </w:footnote>
  <w:footnote w:id="4">
    <w:p>
      <w:pPr>
        <w:pStyle w:val="FootnoteText"/>
        <w:rPr>
          <w:lang w:val="ru-RU"/>
        </w:rPr>
      </w:pPr>
      <w:r>
        <w:rPr>
          <w:rStyle w:val="Style6"/>
        </w:rPr>
        <w:footnoteRef/>
      </w:r>
      <w:r>
        <w:rPr>
          <w:lang w:val="ru-RU"/>
        </w:rPr>
        <w:t xml:space="preserve"> </w:t>
      </w:r>
      <w:r>
        <w:rPr>
          <w:lang w:val="ru-RU"/>
        </w:rPr>
        <w:t>Указанное условие применяется к договорам оказания услуг в отношении имущества (оборудования), обеспечивающего производство и/или передачу (транспортировку) электрической энергии и мощности</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9"/>
        <w:tab w:val="left" w:pos="3148" w:leader="none"/>
        <w:tab w:val="center" w:pos="4818" w:leader="none"/>
        <w:tab w:val="left" w:pos="6926" w:leader="none"/>
      </w:tabs>
      <w:jc w:val="right"/>
      <w:rPr>
        <w:sz w:val="20"/>
        <w:szCs w:val="20"/>
        <w:lang w:val="ru-RU"/>
      </w:rPr>
    </w:pPr>
    <w:r>
      <w:rPr>
        <w:lang w:val="ru-RU"/>
      </w:rPr>
      <w:tab/>
    </w:r>
    <w:r>
      <w:rPr>
        <w:sz w:val="20"/>
        <w:szCs w:val="20"/>
        <w:lang w:val="ru-RU"/>
      </w:rPr>
      <w:t>ТФД 5.1.4.</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5.1.4.</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2"/>
      <w:numFmt w:val="decimal"/>
      <w:lvlText w:val="%1."/>
      <w:lvlJc w:val="left"/>
      <w:pPr>
        <w:tabs>
          <w:tab w:val="num" w:pos="0"/>
        </w:tabs>
        <w:ind w:left="660" w:hanging="660"/>
      </w:pPr>
      <w:rPr/>
    </w:lvl>
    <w:lvl w:ilvl="1">
      <w:start w:val="3"/>
      <w:numFmt w:val="decimal"/>
      <w:lvlText w:val="%1.%2."/>
      <w:lvlJc w:val="left"/>
      <w:pPr>
        <w:tabs>
          <w:tab w:val="num" w:pos="0"/>
        </w:tabs>
        <w:ind w:left="1015" w:hanging="660"/>
      </w:pPr>
      <w:rPr/>
    </w:lvl>
    <w:lvl w:ilvl="2">
      <w:start w:val="19"/>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8">
    <w:lvl w:ilvl="0">
      <w:start w:val="3"/>
      <w:numFmt w:val="decimal"/>
      <w:lvlText w:val="%1."/>
      <w:lvlJc w:val="left"/>
      <w:pPr>
        <w:tabs>
          <w:tab w:val="num" w:pos="0"/>
        </w:tabs>
        <w:ind w:left="360" w:hanging="360"/>
      </w:pPr>
      <w:rPr/>
    </w:lvl>
    <w:lvl w:ilvl="1">
      <w:start w:val="4"/>
      <w:numFmt w:val="decimal"/>
      <w:lvlText w:val="%1.%2."/>
      <w:lvlJc w:val="left"/>
      <w:pPr>
        <w:tabs>
          <w:tab w:val="num" w:pos="0"/>
        </w:tabs>
        <w:ind w:left="856" w:hanging="360"/>
      </w:pPr>
      <w:rPr/>
    </w:lvl>
    <w:lvl w:ilvl="2">
      <w:start w:val="1"/>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0">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1">
    <w:lvl w:ilvl="0">
      <w:start w:val="5"/>
      <w:numFmt w:val="decimal"/>
      <w:lvlText w:val="%1."/>
      <w:lvlJc w:val="left"/>
      <w:pPr>
        <w:tabs>
          <w:tab w:val="num" w:pos="0"/>
        </w:tabs>
        <w:ind w:left="540" w:hanging="540"/>
      </w:pPr>
      <w:rPr/>
    </w:lvl>
    <w:lvl w:ilvl="1">
      <w:start w:val="5"/>
      <w:numFmt w:val="decimal"/>
      <w:lvlText w:val="%1.%2."/>
      <w:lvlJc w:val="left"/>
      <w:pPr>
        <w:tabs>
          <w:tab w:val="num" w:pos="0"/>
        </w:tabs>
        <w:ind w:left="1036" w:hanging="540"/>
      </w:pPr>
      <w:rPr/>
    </w:lvl>
    <w:lvl w:ilvl="2">
      <w:start w:val="1"/>
      <w:numFmt w:val="decimal"/>
      <w:lvlText w:val="%1.%2.%3."/>
      <w:lvlJc w:val="left"/>
      <w:pPr>
        <w:tabs>
          <w:tab w:val="num" w:pos="0"/>
        </w:tabs>
        <w:ind w:left="2705"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3">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4">
    <w:lvl w:ilvl="0">
      <w:start w:val="5"/>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b w:val="false"/>
      </w:rPr>
    </w:lvl>
    <w:lvl w:ilvl="2">
      <w:start w:val="1"/>
      <w:numFmt w:val="decimal"/>
      <w:lvlText w:val="%1.%2.%3."/>
      <w:lvlJc w:val="left"/>
      <w:pPr>
        <w:tabs>
          <w:tab w:val="num" w:pos="0"/>
        </w:tabs>
        <w:ind w:left="720" w:hanging="720"/>
      </w:pPr>
      <w:rPr>
        <w:b w:val="false"/>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25">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6">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7">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8">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9">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w="http://schemas.openxmlformats.org/wordprocessingml/2006/main">
  <w:zoom w:percent="9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link w:val="Textbody"/>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EndnoteReference">
    <w:name w:val="Endnote Reference"/>
    <w:rPr>
      <w:vertAlign w:val="superscript"/>
    </w:rPr>
  </w:style>
  <w:style w:type="character" w:styleId="Style16">
    <w:name w:val="Символ концевой сноски"/>
    <w:qFormat/>
    <w:rPr/>
  </w:style>
  <w:style w:type="paragraph" w:styleId="Style17">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8">
    <w:name w:val="Указатель"/>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paragraph" w:styleId="Textbody" w:customStyle="1">
    <w:name w:val="Text body"/>
    <w:basedOn w:val="Normal"/>
    <w:qFormat/>
    <w:rsid w:val="0056573b"/>
    <w:pPr>
      <w:widowControl w:val="false"/>
      <w:tabs>
        <w:tab w:val="clear" w:pos="709"/>
        <w:tab w:val="left" w:pos="708" w:leader="none"/>
      </w:tabs>
      <w:suppressAutoHyphens w:val="true"/>
      <w:spacing w:lineRule="atLeast" w:line="276" w:before="0" w:after="200"/>
      <w:jc w:val="both"/>
    </w:pPr>
    <w:rPr>
      <w:rFonts w:cs="Calibri"/>
      <w:sz w:val="28"/>
      <w:szCs w:val="20"/>
      <w:lang w:val="ru-RU" w:eastAsia="zh-CN"/>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image" Target="media/image1.png"/><Relationship Id="rId9" Type="http://schemas.openxmlformats.org/officeDocument/2006/relationships/image" Target="media/image2.wmf"/><Relationship Id="rId10" Type="http://schemas.openxmlformats.org/officeDocument/2006/relationships/image" Target="media/image3.wmf"/><Relationship Id="rId11" Type="http://schemas.openxmlformats.org/officeDocument/2006/relationships/image" Target="media/image4.wmf"/><Relationship Id="rId12" Type="http://schemas.openxmlformats.org/officeDocument/2006/relationships/image" Target="media/image5.wmf"/><Relationship Id="rId13" Type="http://schemas.openxmlformats.org/officeDocument/2006/relationships/image" Target="media/image6.wmf"/><Relationship Id="rId14" Type="http://schemas.openxmlformats.org/officeDocument/2006/relationships/image" Target="media/image7.wmf"/><Relationship Id="rId15" Type="http://schemas.openxmlformats.org/officeDocument/2006/relationships/image" Target="media/image8.wmf"/><Relationship Id="rId16" Type="http://schemas.openxmlformats.org/officeDocument/2006/relationships/image" Target="media/image9.wmf"/><Relationship Id="rId17" Type="http://schemas.openxmlformats.org/officeDocument/2006/relationships/image" Target="media/image10.wmf"/><Relationship Id="rId18" Type="http://schemas.openxmlformats.org/officeDocument/2006/relationships/image" Target="media/image11.wmf"/><Relationship Id="rId19" Type="http://schemas.openxmlformats.org/officeDocument/2006/relationships/image" Target="media/image12.wmf"/><Relationship Id="rId20" Type="http://schemas.openxmlformats.org/officeDocument/2006/relationships/image" Target="media/image13.wmf"/><Relationship Id="rId21" Type="http://schemas.openxmlformats.org/officeDocument/2006/relationships/image" Target="media/image14.wmf"/><Relationship Id="rId22" Type="http://schemas.openxmlformats.org/officeDocument/2006/relationships/image" Target="media/image15.wmf"/><Relationship Id="rId23" Type="http://schemas.openxmlformats.org/officeDocument/2006/relationships/image" Target="media/image16.wmf"/><Relationship Id="rId24" Type="http://schemas.openxmlformats.org/officeDocument/2006/relationships/image" Target="media/image17.png"/><Relationship Id="rId25" Type="http://schemas.openxmlformats.org/officeDocument/2006/relationships/image" Target="media/image18.wmf"/><Relationship Id="rId26" Type="http://schemas.openxmlformats.org/officeDocument/2006/relationships/image" Target="media/image19.wmf"/><Relationship Id="rId27" Type="http://schemas.openxmlformats.org/officeDocument/2006/relationships/image" Target="media/image20.wmf"/><Relationship Id="rId28" Type="http://schemas.openxmlformats.org/officeDocument/2006/relationships/header" Target="header3.xml"/><Relationship Id="rId29" Type="http://schemas.openxmlformats.org/officeDocument/2006/relationships/header" Target="header4.xml"/><Relationship Id="rId30" Type="http://schemas.openxmlformats.org/officeDocument/2006/relationships/footer" Target="footer2.xml"/><Relationship Id="rId31" Type="http://schemas.openxmlformats.org/officeDocument/2006/relationships/footer" Target="footer3.xml"/><Relationship Id="rId32" Type="http://schemas.openxmlformats.org/officeDocument/2006/relationships/footnotes" Target="footnotes.xml"/><Relationship Id="rId33" Type="http://schemas.openxmlformats.org/officeDocument/2006/relationships/numbering" Target="numbering.xml"/><Relationship Id="rId34" Type="http://schemas.openxmlformats.org/officeDocument/2006/relationships/fontTable" Target="fontTable.xml"/><Relationship Id="rId35" Type="http://schemas.openxmlformats.org/officeDocument/2006/relationships/settings" Target="settings.xml"/><Relationship Id="rId36" Type="http://schemas.openxmlformats.org/officeDocument/2006/relationships/theme" Target="theme/theme1.xml"/><Relationship Id="rId37" Type="http://schemas.openxmlformats.org/officeDocument/2006/relationships/customXml" Target="../customXml/item1.xml"/><Relationship Id="rId38" Type="http://schemas.openxmlformats.org/officeDocument/2006/relationships/customXml" Target="../customXml/item2.xml"/><Relationship Id="rId39" Type="http://schemas.openxmlformats.org/officeDocument/2006/relationships/customXml" Target="../customXml/item3.xml"/><Relationship Id="rId40" Type="http://schemas.openxmlformats.org/officeDocument/2006/relationships/customXml" Target="../customXml/item4.xml"/><Relationship Id="rId41" Type="http://schemas.openxmlformats.org/officeDocument/2006/relationships/customXml" Target="../customXml/item5.xml"/><Relationship Id="rId42" Type="http://schemas.openxmlformats.org/officeDocument/2006/relationships/customXml" Target="../customXml/item6.xml"/><Relationship Id="rId43"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3F28E-009A-4C6A-B902-82F8C3A97EDC}">
  <ds:schemaRefs>
    <ds:schemaRef ds:uri="http://schemas.openxmlformats.org/officeDocument/2006/bibliography"/>
  </ds:schemaRefs>
</ds:datastoreItem>
</file>

<file path=customXml/itemProps2.xml><?xml version="1.0" encoding="utf-8"?>
<ds:datastoreItem xmlns:ds="http://schemas.openxmlformats.org/officeDocument/2006/customXml" ds:itemID="{87BE7DDC-4AA1-46F4-BC99-D3A7A2B980D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65BB0C1A-9E36-47FF-B3CA-1406A422E548}">
  <ds:schemaRefs>
    <ds:schemaRef ds:uri="http://schemas.openxmlformats.org/officeDocument/2006/bibliography"/>
  </ds:schemaRefs>
</ds:datastoreItem>
</file>

<file path=customXml/itemProps5.xml><?xml version="1.0" encoding="utf-8"?>
<ds:datastoreItem xmlns:ds="http://schemas.openxmlformats.org/officeDocument/2006/customXml" ds:itemID="{059E35C8-069C-4749-B7B9-428C0E53CA6C}">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82E159F8-A709-43BA-8071-56EB40CAA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Application>AlterOffice/3.4.0.9$Linux_X86_64 LibreOffice_project/b8daf9e823b1a5463a2f48435ddc2e8696e7d4fc</Application>
  <AppVersion>15.0000</AppVersion>
  <Pages>31</Pages>
  <Words>12334</Words>
  <Characters>88027</Characters>
  <CharactersWithSpaces>94924</CharactersWithSpaces>
  <Paragraphs>562</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2020-06-09T22:35:00Z</dcterms:created>
  <dc:creator>UK VoHEC</dc:creator>
  <dc:description/>
  <dc:language>ru-RU</dc:language>
  <cp:lastModifiedBy>Тарабаев Александр Вячеславович</cp:lastModifiedBy>
  <cp:lastPrinted>2016-12-15T13:00:00Z</cp:lastPrinted>
  <dcterms:modified xsi:type="dcterms:W3CDTF">2023-07-17T13:14:00Z</dcterms:modified>
  <cp:revision>118</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