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media/image13.wmf" ContentType="image/x-wmf"/>
  <Override PartName="/word/media/image12.wmf" ContentType="image/x-wmf"/>
  <Override PartName="/word/media/image11.wmf" ContentType="image/x-wmf"/>
  <Override PartName="/word/media/image10.wmf" ContentType="image/x-wmf"/>
  <Override PartName="/word/media/image9.wmf" ContentType="image/x-wmf"/>
  <Override PartName="/word/media/image8.wmf" ContentType="image/x-wmf"/>
  <Override PartName="/word/media/image17.wmf" ContentType="image/x-wmf"/>
  <Override PartName="/word/media/image5.wmf" ContentType="image/x-wmf"/>
  <Override PartName="/word/media/image18.wmf" ContentType="image/x-wmf"/>
  <Override PartName="/word/media/image6.wmf" ContentType="image/x-wmf"/>
  <Override PartName="/word/media/image19.wmf" ContentType="image/x-wmf"/>
  <Override PartName="/word/media/image7.wmf" ContentType="image/x-wmf"/>
  <Override PartName="/word/media/image20.wmf" ContentType="image/x-wmf"/>
  <Override PartName="/word/media/image22.wmf" ContentType="image/x-wmf"/>
  <Override PartName="/word/media/image21.wmf" ContentType="image/x-wmf"/>
  <Override PartName="/word/media/image4.wmf" ContentType="image/x-wmf"/>
  <Override PartName="/word/media/image16.wmf" ContentType="image/x-wmf"/>
  <Override PartName="/word/media/image15.wmf" ContentType="image/x-wmf"/>
  <Override PartName="/word/media/image1.png" ContentType="image/png"/>
  <Override PartName="/word/media/image3.wmf" ContentType="image/x-wmf"/>
  <Override PartName="/word/media/image2.wmf" ContentType="image/x-wmf"/>
  <Override PartName="/word/media/image14.wmf" ContentType="image/x-wmf"/>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footer4.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footer5.xml" ContentType="application/vnd.openxmlformats-officedocument.wordprocessingml.footer+xml"/>
  <Override PartName="/customXml/_rels/item1.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itemProps3.xml" ContentType="application/vnd.openxmlformats-officedocument.customXmlProperties+xml"/>
  <Override PartName="/customXml/item3.xml" ContentType="application/xml"/>
  <Override PartName="/customXml/item4.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1.xml" ContentType="application/xml"/>
  <Override PartName="/customXml/item2.xml" ContentType="application/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r>
        <w:rPr>
          <w:b/>
          <w:bCs/>
          <w:sz w:val="24"/>
          <w:szCs w:val="24"/>
        </w:rPr>
        <w:t>Договор поставки</w:t>
      </w:r>
      <w:bookmarkStart w:id="0" w:name="_GoBack"/>
      <w:bookmarkEnd w:id="0"/>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Железноводск</w:t>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pacing w:val="10"/>
          <w:sz w:val="24"/>
          <w:szCs w:val="24"/>
        </w:rPr>
      </w:pPr>
      <w:r>
        <w:rPr>
          <w:b/>
          <w:sz w:val="24"/>
          <w:szCs w:val="24"/>
        </w:rPr>
        <w:t xml:space="preserve">Общество с ограниченной ответственностью «Малые ГЭС Ставрополья и Карачаево-Черкессии» </w:t>
      </w:r>
      <w:r>
        <w:rPr>
          <w:sz w:val="24"/>
          <w:szCs w:val="24"/>
        </w:rPr>
        <w:t>(ООО «МГЭС Ставрополья и КЧР»)</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по результатам проведенной Покупателем конкурентной процедуры по лоту № ____________ и на основании протокола __________ от «___» _________ г. №_______,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567" w:leader="none"/>
          <w:tab w:val="left" w:pos="1134" w:leader="none"/>
        </w:tabs>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br/>
        <w:t>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«Партия Товара»</w:t>
      </w:r>
      <w:r>
        <w:rPr>
          <w:sz w:val="24"/>
          <w:szCs w:val="24"/>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tabs>
          <w:tab w:val="clear" w:pos="709"/>
          <w:tab w:val="left" w:pos="567" w:leader="none"/>
        </w:tabs>
        <w:ind w:firstLine="708"/>
        <w:jc w:val="both"/>
        <w:rPr>
          <w:sz w:val="24"/>
          <w:szCs w:val="24"/>
          <w:highlight w:val="lightGray"/>
          <w:lang w:eastAsia="en-US"/>
        </w:rPr>
      </w:pPr>
      <w:r>
        <w:rPr>
          <w:b/>
          <w:sz w:val="24"/>
          <w:szCs w:val="24"/>
          <w:highlight w:val="lightGray"/>
          <w:lang w:eastAsia="en-US"/>
        </w:rPr>
        <w:t xml:space="preserve">«Рабочая документация» </w:t>
      </w:r>
      <w:r>
        <w:rPr>
          <w:sz w:val="24"/>
          <w:szCs w:val="24"/>
          <w:highlight w:val="lightGray"/>
          <w:lang w:eastAsia="en-US"/>
        </w:rPr>
        <w:t>–</w:t>
      </w:r>
      <w:r>
        <w:rPr>
          <w:b/>
          <w:sz w:val="24"/>
          <w:szCs w:val="24"/>
          <w:highlight w:val="lightGray"/>
          <w:lang w:eastAsia="en-US"/>
        </w:rPr>
        <w:t xml:space="preserve"> </w:t>
      </w:r>
      <w:r>
        <w:rPr>
          <w:sz w:val="24"/>
          <w:szCs w:val="24"/>
          <w:highlight w:val="lightGray"/>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рабочие чертежи основного комплекта, спецификации оборудования и изделий;</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документы, разработанные в дополнение к рабочим чертежам основного комплекта;</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сметную документацию.</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567" w:leader="none"/>
        </w:tabs>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Heading3"/>
        <w:tabs>
          <w:tab w:val="clear" w:pos="709"/>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сухие смеси для производства </w:t>
      </w:r>
      <w:r>
        <w:rPr>
          <w:rFonts w:eastAsia="Calibri"/>
          <w:bCs/>
          <w:sz w:val="24"/>
          <w:szCs w:val="24"/>
          <w:lang w:eastAsia="en-US"/>
        </w:rPr>
        <w:t xml:space="preserve">подводных </w:t>
      </w:r>
      <w:r>
        <w:rPr>
          <w:rFonts w:eastAsia="Calibri"/>
          <w:bCs/>
          <w:sz w:val="24"/>
          <w:szCs w:val="24"/>
          <w:lang w:eastAsia="en-US"/>
        </w:rPr>
        <w:t xml:space="preserve">работ </w:t>
      </w:r>
      <w:r>
        <w:rPr>
          <w:rFonts w:eastAsia="Calibri"/>
          <w:bCs/>
          <w:sz w:val="24"/>
          <w:szCs w:val="24"/>
          <w:lang w:eastAsia="en-US"/>
        </w:rPr>
        <w:t>при перекрытии русла реки Аргун</w:t>
      </w:r>
      <w:r>
        <w:rPr>
          <w:bCs/>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
        <w:t>Поставка Товара по Договору осуществляется для нужд ООО «МГЭС Ставрополья и КЧР».</w:t>
      </w:r>
    </w:p>
    <w:p>
      <w:pPr>
        <w:pStyle w:val="Normal"/>
        <w:numPr>
          <w:ilvl w:val="1"/>
          <w:numId w:val="2"/>
        </w:numPr>
        <w:shd w:val="clear" w:color="auto" w:fill="FFFFFF"/>
        <w:tabs>
          <w:tab w:val="clear" w:pos="709"/>
          <w:tab w:val="left" w:pos="0" w:leader="none"/>
          <w:tab w:val="left" w:pos="1134" w:leader="none"/>
        </w:tabs>
        <w:ind w:left="0" w:firstLine="709"/>
        <w:jc w:val="both"/>
        <w:rPr>
          <w:highlight w:val="none"/>
          <w:shd w:fill="auto" w:val="clear"/>
        </w:rPr>
      </w:pPr>
      <w:r>
        <w:rPr>
          <w:bCs/>
          <w:sz w:val="24"/>
          <w:szCs w:val="24"/>
          <w:shd w:fill="auto" w:val="clear"/>
        </w:rPr>
        <w:t>Место поставки Товара: Чеченская Республика, Шатойский район, Памятой</w:t>
      </w:r>
      <w:r>
        <w:rPr>
          <w:sz w:val="24"/>
          <w:szCs w:val="24"/>
          <w:shd w:fill="auto" w:val="clear"/>
        </w:rPr>
        <w:t xml:space="preserve"> (далее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Общий срок поставки Товара: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Начало – с даты заключения договора.</w:t>
      </w:r>
    </w:p>
    <w:p>
      <w:pPr>
        <w:pStyle w:val="Normal"/>
        <w:numPr>
          <w:ilvl w:val="2"/>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bCs/>
          <w:sz w:val="24"/>
          <w:szCs w:val="24"/>
        </w:rPr>
        <w:t xml:space="preserve">Окончание – </w:t>
      </w:r>
      <w:r>
        <w:rPr>
          <w:bCs/>
          <w:sz w:val="24"/>
          <w:szCs w:val="24"/>
          <w:shd w:fill="auto" w:val="clear"/>
        </w:rPr>
        <w:t>«</w:t>
      </w:r>
      <w:r>
        <w:rPr>
          <w:bCs/>
          <w:sz w:val="24"/>
          <w:szCs w:val="24"/>
          <w:shd w:fill="auto" w:val="clear"/>
        </w:rPr>
        <w:t>0</w:t>
      </w:r>
      <w:r>
        <w:rPr>
          <w:bCs/>
          <w:sz w:val="24"/>
          <w:szCs w:val="24"/>
          <w:shd w:fill="auto" w:val="clear"/>
        </w:rPr>
        <w:t xml:space="preserve">5» </w:t>
      </w:r>
      <w:r>
        <w:rPr>
          <w:bCs/>
          <w:sz w:val="24"/>
          <w:szCs w:val="24"/>
          <w:shd w:fill="auto" w:val="clear"/>
        </w:rPr>
        <w:t>ноября</w:t>
      </w:r>
      <w:r>
        <w:rPr>
          <w:bCs/>
          <w:sz w:val="24"/>
          <w:szCs w:val="24"/>
          <w:shd w:fill="auto" w:val="clear"/>
        </w:rPr>
        <w:t xml:space="preserve"> 2026 г.</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Сроки поставки Товара (партий Товара) указаны в Календарном графике поставки Товара (Приложение № 3 к Договору) в рамках общих сроков, указанных в пункте 1.4 Договора. </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sz w:val="24"/>
          <w:szCs w:val="24"/>
          <w:highlight w:val="lightGray"/>
        </w:rPr>
        <w:t>предельной / твердой</w:t>
      </w:r>
      <w:r>
        <w:rPr>
          <w:rStyle w:val="FootnoteReference"/>
          <w:bCs/>
          <w:sz w:val="24"/>
          <w:szCs w:val="24"/>
          <w:highlight w:val="lightGray"/>
        </w:rPr>
        <w:footnoteReference w:id="2"/>
      </w:r>
      <w:r>
        <w:rPr>
          <w:bCs/>
          <w:sz w:val="24"/>
          <w:szCs w:val="24"/>
        </w:rPr>
        <w:t xml:space="preserve">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w:t>
      </w:r>
    </w:p>
    <w:p>
      <w:pPr>
        <w:pStyle w:val="ListParagraph"/>
        <w:numPr>
          <w:ilvl w:val="1"/>
          <w:numId w:val="2"/>
        </w:numPr>
        <w:tabs>
          <w:tab w:val="clear" w:pos="709"/>
          <w:tab w:val="left" w:pos="568" w:leader="none"/>
          <w:tab w:val="left" w:pos="1134" w:leader="none"/>
        </w:tabs>
        <w:ind w:left="0" w:firstLine="709"/>
        <w:jc w:val="both"/>
        <w:rPr/>
      </w:pPr>
      <w:r>
        <w:rPr>
          <w:bCs/>
          <w:sz w:val="24"/>
          <w:szCs w:val="24"/>
          <w:highlight w:val="lightGray"/>
        </w:rPr>
        <w:t>Спецификация (Приложение № 1 к Договору) подлежит согласованию Сторонами не позднее истечения 30 (тридцати) рабочих дней с даты завершения разработки Рабочей документации и приемки ее Покупателем.  При несогласовании Спецификации (Приложение № 1 к Договору) в установленный срок Поставщик обязан по соответствующему письменному требованию Покупателя приостановить исполнение Договора полностью или в части до момента такого согласования. После согласования Спецификации Стороны обязаны уточнить Цену Договора путем заключения дополнительного соглашения к Договору. Спецификация включается в Договор в качестве приложения путем заключения дополнительного соглашения к Договору.</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13"/>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highlight w:val="lightGray"/>
        </w:rPr>
        <w:footnoteReference w:id="3"/>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32"/>
          <w:szCs w:val="24"/>
        </w:rPr>
      </w:pPr>
      <w:r>
        <w:rPr>
          <w:sz w:val="24"/>
        </w:rPr>
        <w:t>Авансовые платежи за каждую партию Товара в размере 30 (тридцати) процентов от стоимости соответствующей партии Товара</w:t>
      </w:r>
      <w:r>
        <w:rPr>
          <w:rStyle w:val="FootnoteReference"/>
          <w:sz w:val="24"/>
        </w:rPr>
        <w:footnoteReference w:id="4"/>
      </w:r>
      <w:r>
        <w:rPr>
          <w:sz w:val="24"/>
        </w:rPr>
        <w:t xml:space="preserve"> выплачиваются Поставщику </w:t>
      </w:r>
      <w:r>
        <w:rPr>
          <w:sz w:val="24"/>
          <w:highlight w:val="lightGray"/>
        </w:rPr>
        <w:t>при условии согласования Сторонами Спецификации (Приложение № 1 к Договору) в соответствии с пунктом 2.2 Договора</w:t>
      </w:r>
      <w:r>
        <w:rPr>
          <w:sz w:val="24"/>
        </w:rPr>
        <w:t xml:space="preserve">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партии Товара, и с учетом пунктов 2.5.1, 2.5.4 Договора.</w:t>
      </w:r>
    </w:p>
    <w:p>
      <w:pPr>
        <w:pStyle w:val="ListParagraph"/>
        <w:numPr>
          <w:ilvl w:val="2"/>
          <w:numId w:val="2"/>
        </w:numPr>
        <w:ind w:left="0" w:firstLine="709"/>
        <w:jc w:val="both"/>
        <w:rPr>
          <w:sz w:val="24"/>
        </w:rPr>
      </w:pPr>
      <w:r>
        <w:rPr>
          <w:sz w:val="24"/>
        </w:rPr>
        <w:t>Последующие платежи в размере 70 % (семидесяти процентов) от стоимости партии Товара</w:t>
      </w:r>
      <w:r>
        <w:rPr>
          <w:rStyle w:val="FootnoteReference"/>
          <w:sz w:val="24"/>
        </w:rPr>
        <w:footnoteReference w:id="5"/>
      </w:r>
      <w:r>
        <w:rPr>
          <w:sz w:val="24"/>
        </w:rPr>
        <w:t xml:space="preserve"> выплачиваются Поставщику в течение </w:t>
      </w:r>
      <w:r>
        <w:rPr>
          <w:sz w:val="24"/>
          <w:highlight w:val="lightGray"/>
        </w:rPr>
        <w:t>20 (двадцати) календарных дней</w:t>
      </w:r>
      <w:r>
        <w:rPr>
          <w:rStyle w:val="FootnoteReference"/>
          <w:sz w:val="24"/>
          <w:highlight w:val="lightGray"/>
        </w:rPr>
        <w:footnoteReference w:id="6"/>
      </w:r>
      <w:r>
        <w:rPr>
          <w:sz w:val="24"/>
          <w:highlight w:val="lightGray"/>
        </w:rPr>
        <w:t xml:space="preserve"> / 45 (сорока пяти) календарных дней</w:t>
      </w:r>
      <w:r>
        <w:rPr>
          <w:rStyle w:val="FootnoteReference"/>
          <w:sz w:val="24"/>
          <w:highlight w:val="lightGray"/>
        </w:rPr>
        <w:footnoteReference w:id="7"/>
      </w:r>
      <w:r>
        <w:rPr>
          <w:sz w:val="24"/>
          <w:highlight w:val="lightGray"/>
        </w:rPr>
        <w:t xml:space="preserve"> / 7 (семи) рабочих дней</w:t>
      </w:r>
      <w:r>
        <w:rPr>
          <w:rStyle w:val="FootnoteReference"/>
          <w:sz w:val="24"/>
          <w:highlight w:val="lightGray"/>
        </w:rPr>
        <w:footnoteReference w:id="8"/>
      </w:r>
      <w:r>
        <w:rPr>
          <w:sz w:val="24"/>
        </w:rPr>
        <w:t xml:space="preserve"> с даты подписания Сторонами Накладной ТОРГ-12/УПД, на основании счета, выставленного Поставщиком, и с учетом пункта 2.5.4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1"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bookmarkEnd w:id="1"/>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партиями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Pr>
          <w:bCs/>
          <w:sz w:val="24"/>
          <w:szCs w:val="24"/>
          <w:highlight w:val="lightGray"/>
        </w:rPr>
        <w:t>и Рабочей</w:t>
      </w:r>
      <w:r>
        <w:rPr>
          <w:bCs/>
          <w:sz w:val="24"/>
          <w:szCs w:val="24"/>
        </w:rPr>
        <w:t xml:space="preserve">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9"/>
          <w:tab w:val="left" w:pos="1134" w:leader="none"/>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замену Товара, содержащегося в одном из реестров, предусмотренных пунктом 2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партии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сертификат качества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технический паспорт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инструкция по эксплуатации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упаковочный лист в </w:t>
      </w:r>
      <w:r>
        <w:rPr>
          <w:sz w:val="24"/>
          <w:szCs w:val="24"/>
          <w:highlight w:val="lightGray"/>
        </w:rPr>
        <w:t>__(____)</w:t>
      </w:r>
      <w:r>
        <w:rPr>
          <w:sz w:val="24"/>
          <w:szCs w:val="24"/>
        </w:rPr>
        <w:t xml:space="preserve">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w:t>
      </w:r>
      <w:r>
        <w:rPr>
          <w:sz w:val="24"/>
          <w:szCs w:val="24"/>
          <w:highlight w:val="lightGray"/>
        </w:rPr>
        <w:t>__(____)</w:t>
      </w:r>
      <w:r>
        <w:rPr>
          <w:sz w:val="24"/>
          <w:szCs w:val="24"/>
        </w:rPr>
        <w:t xml:space="preserve">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Накладная ТОРГ-12/УПД в </w:t>
      </w:r>
      <w:r>
        <w:rPr>
          <w:sz w:val="24"/>
          <w:szCs w:val="24"/>
          <w:highlight w:val="lightGray"/>
        </w:rPr>
        <w:t>__(____)</w:t>
      </w:r>
      <w:r>
        <w:rPr>
          <w:sz w:val="24"/>
          <w:szCs w:val="24"/>
        </w:rPr>
        <w:t xml:space="preserve"> экз.</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Cs/>
          <w:sz w:val="24"/>
          <w:szCs w:val="24"/>
        </w:rPr>
      </w:pPr>
      <w:bookmarkStart w:id="2"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rPr>
        <w:footnoteReference w:id="9"/>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стоимость Товара.</w:t>
      </w:r>
    </w:p>
    <w:p>
      <w:pPr>
        <w:pStyle w:val="ListParagraph"/>
        <w:widowContro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bookmarkStart w:id="3" w:name="_Ref361396594"/>
      <w:r>
        <w:rPr>
          <w:sz w:val="24"/>
          <w:szCs w:val="24"/>
        </w:rPr>
        <w:t>Датой поставки партии Товара является дата подписания Сторонами Накладной ТОРГ-12/УПД.</w:t>
      </w:r>
      <w:bookmarkEnd w:id="3"/>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4"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4"/>
      <w:r>
        <w:rPr>
          <w:sz w:val="24"/>
          <w:szCs w:val="24"/>
        </w:rPr>
        <w:t xml:space="preserve">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Приемка партии Товара со вскрытием тары и упаковки производится Покупателем в присутствии представителя Поставщика в течение </w:t>
      </w:r>
      <w:r>
        <w:rPr>
          <w:sz w:val="24"/>
          <w:szCs w:val="24"/>
          <w:highlight w:val="lightGray"/>
        </w:rPr>
        <w:t>10 (десяти)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ТОРГ-12/УПД.</w:t>
      </w:r>
    </w:p>
    <w:p>
      <w:pPr>
        <w:pStyle w:val="Normal"/>
        <w:numPr>
          <w:ilvl w:val="1"/>
          <w:numId w:val="2"/>
        </w:numPr>
        <w:shd w:val="clear" w:color="auto" w:fill="FFFFFF"/>
        <w:tabs>
          <w:tab w:val="clear" w:pos="709"/>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pPr>
        <w:pStyle w:val="Normal"/>
        <w:numPr>
          <w:ilvl w:val="1"/>
          <w:numId w:val="2"/>
        </w:numPr>
        <w:shd w:val="clear" w:color="auto" w:fill="FFFFFF"/>
        <w:tabs>
          <w:tab w:val="clear" w:pos="709"/>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партии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Если Поставщик не вывезет партию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ТОРГ-12/УПД.</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5"/>
      <w:bookmarkStart w:id="6" w:name="OLE_LINK6"/>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100 </w:t>
        <w:br/>
        <w:t xml:space="preserve">(ста)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непогашенного (незачтенного)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нарушения Поставщиком сроков</w:t>
      </w:r>
      <w:r>
        <w:rPr>
          <w:sz w:val="24"/>
          <w:szCs w:val="24"/>
        </w:rPr>
        <w:t xml:space="preserve"> </w:t>
      </w:r>
      <w:r>
        <w:rPr>
          <w:bCs/>
          <w:sz w:val="24"/>
          <w:szCs w:val="24"/>
        </w:rPr>
        <w:t>поставки Товара, установленных Календарным графиком поставки Товара (Приложение № 3 к Договору)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shd w:val="clear" w:color="auto" w:fill="FFFFFF"/>
        <w:tabs>
          <w:tab w:val="clear" w:pos="709"/>
          <w:tab w:val="left" w:pos="1418" w:leader="none"/>
        </w:tabs>
        <w:ind w:left="0" w:firstLine="709"/>
        <w:jc w:val="both"/>
        <w:rPr>
          <w:bCs/>
        </w:rPr>
      </w:pPr>
      <w:r>
        <w:rPr>
          <w:bCs/>
          <w:color w:val="000000"/>
          <w:sz w:val="24"/>
          <w:szCs w:val="24"/>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ind w:firstLine="709"/>
        <w:jc w:val="both"/>
        <w:rPr>
          <w:bCs/>
          <w:sz w:val="24"/>
          <w:szCs w:val="24"/>
          <w:shd w:fill="FFFF00" w:val="clear"/>
        </w:rPr>
      </w:pPr>
      <w:r>
        <w:rPr>
          <w:bCs/>
          <w:color w:val="000000"/>
          <w:sz w:val="24"/>
          <w:szCs w:val="24"/>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соответствующей партии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Банковские гарантии, предусмотренные настоящим разделом Договора, предоставляются (по выбору Заказчика): </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оригинале на бумажном носителе.</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4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10"/>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Положения пункта 2.5.1 Договора применяются, если совокупный размер авансовых платежей, уплаченных и подлежащих уплате по Договору в соответствии </w:t>
        <w:br/>
        <w:t xml:space="preserve">с выставленными счетами Поставщика составляет 5 000 000 (Пять миллионов) рублей и более без учета НДС. </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bCs/>
          <w:sz w:val="24"/>
          <w:szCs w:val="24"/>
        </w:rPr>
      </w:pPr>
      <w:r>
        <w:rPr>
          <w:sz w:val="24"/>
          <w:szCs w:val="24"/>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sz w:val="24"/>
          <w:szCs w:val="24"/>
          <w:highlight w:val="lightGray"/>
        </w:rPr>
        <w:footnoteReference w:id="11"/>
      </w:r>
      <w:r>
        <w:rPr>
          <w:sz w:val="24"/>
          <w:szCs w:val="24"/>
          <w:highlight w:val="lightGray"/>
        </w:rPr>
        <w:t>.</w:t>
      </w:r>
    </w:p>
    <w:p>
      <w:pPr>
        <w:pStyle w:val="ListParagraph"/>
        <w:widowControl/>
        <w:numPr>
          <w:ilvl w:val="1"/>
          <w:numId w:val="2"/>
        </w:numPr>
        <w:shd w:val="clear" w:color="auto" w:fill="FFFFFF"/>
        <w:ind w:left="0" w:firstLine="709"/>
        <w:jc w:val="both"/>
        <w:rPr>
          <w:bCs/>
          <w:sz w:val="24"/>
          <w:szCs w:val="24"/>
        </w:rPr>
      </w:pPr>
      <w:r>
        <w:rPr>
          <w:sz w:val="24"/>
        </w:rPr>
        <w: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в том числе установленных Календарным графиком поставки Товара (Приложение № 3 к Договору), а также в случае несвоевременного устранения выявленных недостатков Товара, Покупатель вправе требовать уплаты Поставщиком:</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 0,1 (ноль целых</w:t>
      </w:r>
      <w:r>
        <w:rPr>
          <w:rFonts w:eastAsia="Calibri"/>
          <w:bCs/>
          <w:sz w:val="24"/>
          <w:szCs w:val="24"/>
        </w:rPr>
        <w:t xml:space="preserve"> и одна десятая) </w:t>
      </w:r>
      <w:r>
        <w:rPr>
          <w:bCs/>
          <w:sz w:val="24"/>
          <w:szCs w:val="24"/>
        </w:rPr>
        <w:t xml:space="preserve">процента от цены </w:t>
      </w:r>
      <w:r>
        <w:rPr>
          <w:rFonts w:eastAsia="Calibri"/>
          <w:bCs/>
          <w:sz w:val="24"/>
          <w:szCs w:val="24"/>
        </w:rPr>
        <w:t>Партии Товара</w:t>
      </w:r>
      <w:r>
        <w:rPr>
          <w:bCs/>
          <w:sz w:val="24"/>
          <w:szCs w:val="24"/>
        </w:rPr>
        <w:t xml:space="preserve"> за каждый день просрочки;</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 размере</w:t>
      </w:r>
      <w:r>
        <w:rPr>
          <w:bCs/>
          <w:sz w:val="24"/>
          <w:szCs w:val="24"/>
        </w:rPr>
        <w:t xml:space="preserve"> 0,1 </w:t>
      </w:r>
      <w:r>
        <w:rPr>
          <w:sz w:val="24"/>
          <w:szCs w:val="24"/>
        </w:rPr>
        <w:t>(ноль целых и одна десятая) процента</w:t>
      </w:r>
      <w:r>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w:t>
      </w:r>
      <w:r>
        <w:rPr>
          <w:rFonts w:eastAsia="Calibri"/>
          <w:bCs/>
          <w:sz w:val="24"/>
          <w:szCs w:val="24"/>
        </w:rPr>
        <w:t>;</w:t>
      </w:r>
    </w:p>
    <w:p>
      <w:pPr>
        <w:pStyle w:val="ListParagraph"/>
        <w:widowControl/>
        <w:numPr>
          <w:ilvl w:val="2"/>
          <w:numId w:val="2"/>
        </w:numPr>
        <w:tabs>
          <w:tab w:val="clear" w:pos="709"/>
          <w:tab w:val="left" w:pos="1276" w:leader="none"/>
        </w:tabs>
        <w:ind w:left="0" w:firstLine="709"/>
        <w:jc w:val="both"/>
        <w:rPr>
          <w:bCs/>
          <w:sz w:val="24"/>
          <w:szCs w:val="24"/>
        </w:rPr>
      </w:pPr>
      <w:r>
        <w:rPr>
          <w:sz w:val="24"/>
          <w:szCs w:val="24"/>
        </w:rPr>
        <w:t>Неустойки в</w:t>
      </w:r>
      <w:r>
        <w:rPr>
          <w:bCs/>
          <w:sz w:val="24"/>
          <w:szCs w:val="24"/>
        </w:rPr>
        <w:t xml:space="preserve"> размере 0,1 </w:t>
      </w:r>
      <w:r>
        <w:rPr>
          <w:sz w:val="24"/>
          <w:szCs w:val="24"/>
        </w:rPr>
        <w:t>(ноль целых и одна десятая) процента</w:t>
      </w:r>
      <w:r>
        <w:rPr>
          <w:bCs/>
          <w:sz w:val="24"/>
          <w:szCs w:val="24"/>
        </w:rPr>
        <w:t xml:space="preserve">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w:t>
      </w:r>
    </w:p>
    <w:p>
      <w:pPr>
        <w:pStyle w:val="ListParagraph"/>
        <w:widowControl/>
        <w:numPr>
          <w:ilvl w:val="1"/>
          <w:numId w:val="2"/>
        </w:numPr>
        <w:tabs>
          <w:tab w:val="clear" w:pos="709"/>
          <w:tab w:val="left" w:pos="1276" w:leader="none"/>
          <w:tab w:val="left" w:pos="1701" w:leader="none"/>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5 к Договору. </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Если в результате составления и выставления Поставщиком счетов-фактур/УПД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2"/>
        </w:numPr>
        <w:shd w:val="clear" w:color="auto" w:fill="FFFFFF"/>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три сотых) процента от Цены Договора за каждый день просрочки.</w:t>
      </w:r>
    </w:p>
    <w:p>
      <w:pPr>
        <w:pStyle w:val="ListParagraph"/>
        <w:numPr>
          <w:ilvl w:val="1"/>
          <w:numId w:val="2"/>
        </w:numPr>
        <w:ind w:left="0" w:firstLine="709"/>
        <w:jc w:val="both"/>
        <w:rPr>
          <w:sz w:val="24"/>
          <w:szCs w:val="24"/>
          <w:highlight w:val="lightGray"/>
        </w:rPr>
      </w:pPr>
      <w:r>
        <w:rPr>
          <w:sz w:val="24"/>
          <w:szCs w:val="24"/>
          <w:highlight w:val="lightGray"/>
        </w:rPr>
        <w:t xml:space="preserve">В случае если неисполнение / ненадлежащее исполнение Поставщиком обязательств по Договору повлекло за собой нарушение </w:t>
      </w:r>
      <w:r>
        <w:rPr>
          <w:bCs/>
          <w:sz w:val="24"/>
          <w:szCs w:val="24"/>
          <w:highlight w:val="lightGray"/>
        </w:rPr>
        <w:t>Покупателем</w:t>
      </w:r>
      <w:r>
        <w:rPr>
          <w:sz w:val="24"/>
          <w:szCs w:val="24"/>
          <w:highlight w:val="lightGray"/>
        </w:rPr>
        <w:t xml:space="preserve"> обязательств на оптовом и / или розничных рынках электрической энергии и мощности, Поставщик несет ответственность перед </w:t>
      </w:r>
      <w:r>
        <w:rPr>
          <w:bCs/>
          <w:sz w:val="24"/>
          <w:szCs w:val="24"/>
          <w:highlight w:val="lightGray"/>
        </w:rPr>
        <w:t>Покупателем</w:t>
      </w:r>
      <w:r>
        <w:rPr>
          <w:sz w:val="24"/>
          <w:szCs w:val="24"/>
          <w:highlight w:val="lightGray"/>
        </w:rPr>
        <w:t xml:space="preserve">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w:t>
      </w:r>
      <w:r>
        <w:rPr>
          <w:bCs/>
          <w:sz w:val="24"/>
          <w:szCs w:val="24"/>
          <w:highlight w:val="lightGray"/>
        </w:rPr>
        <w:t>Покупателем</w:t>
      </w:r>
      <w:r>
        <w:rPr>
          <w:sz w:val="24"/>
          <w:szCs w:val="24"/>
          <w:highlight w:val="lightGray"/>
        </w:rPr>
        <w:t xml:space="preserve">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t>
      </w:r>
    </w:p>
    <w:p>
      <w:pPr>
        <w:pStyle w:val="Normal"/>
        <w:ind w:firstLine="709"/>
        <w:jc w:val="both"/>
        <w:rPr>
          <w:sz w:val="24"/>
          <w:szCs w:val="24"/>
          <w:highlight w:val="lightGray"/>
        </w:rPr>
      </w:pPr>
      <w:r>
        <w:rPr>
          <w:sz w:val="24"/>
          <w:szCs w:val="24"/>
          <w:highlight w:val="lightGray"/>
        </w:rPr>
        <w:t xml:space="preserve">Кроме суммы реального ущерба, Поставщик компенсирует </w:t>
      </w:r>
      <w:r>
        <w:rPr>
          <w:bCs/>
          <w:sz w:val="24"/>
          <w:szCs w:val="24"/>
          <w:highlight w:val="lightGray"/>
        </w:rPr>
        <w:t>Покупателем</w:t>
      </w:r>
      <w:r>
        <w:rPr>
          <w:sz w:val="24"/>
          <w:szCs w:val="24"/>
          <w:highlight w:val="lightGray"/>
        </w:rPr>
        <w: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ind w:firstLine="709"/>
        <w:jc w:val="both"/>
        <w:rPr>
          <w:sz w:val="24"/>
          <w:szCs w:val="24"/>
          <w:highlight w:val="lightGray"/>
        </w:rPr>
      </w:pPr>
      <w:r>
        <w:rPr>
          <w:sz w:val="24"/>
          <w:szCs w:val="24"/>
          <w:highlight w:val="lightGray"/>
        </w:rPr>
        <w:t xml:space="preserve">Размер упущенной выгоды (выручки) подтверждается (по выбору </w:t>
      </w:r>
      <w:r>
        <w:rPr>
          <w:bCs/>
          <w:sz w:val="24"/>
          <w:szCs w:val="24"/>
          <w:highlight w:val="lightGray"/>
        </w:rPr>
        <w:t>Покупателя</w:t>
      </w:r>
      <w:r>
        <w:rPr>
          <w:sz w:val="24"/>
          <w:szCs w:val="24"/>
          <w:highlight w:val="lightGray"/>
        </w:rPr>
        <w:t>):</w:t>
      </w:r>
    </w:p>
    <w:p>
      <w:pPr>
        <w:pStyle w:val="Normal"/>
        <w:widowControl/>
        <w:numPr>
          <w:ilvl w:val="0"/>
          <w:numId w:val="14"/>
        </w:numPr>
        <w:spacing w:lineRule="auto" w:line="259"/>
        <w:ind w:left="0" w:firstLine="709"/>
        <w:jc w:val="both"/>
        <w:rPr>
          <w:sz w:val="24"/>
          <w:szCs w:val="24"/>
          <w:highlight w:val="lightGray"/>
        </w:rPr>
      </w:pPr>
      <w:r>
        <w:rPr>
          <w:sz w:val="24"/>
          <w:szCs w:val="24"/>
          <w:highlight w:val="lightGray"/>
        </w:rPr>
        <w:t>в ценовой зоне оптового рынка:</w:t>
      </w:r>
    </w:p>
    <w:p>
      <w:pPr>
        <w:pStyle w:val="Normal"/>
        <w:ind w:firstLine="709"/>
        <w:jc w:val="both"/>
        <w:rPr>
          <w:sz w:val="24"/>
          <w:szCs w:val="24"/>
          <w:highlight w:val="lightGray"/>
        </w:rPr>
      </w:pPr>
      <w:r>
        <w:rPr>
          <w:sz w:val="24"/>
          <w:szCs w:val="24"/>
          <w:highlight w:val="lightGray"/>
        </w:rPr>
        <w:t xml:space="preserve">расчетом, подготовленным Коммерческим оператором оптового рынка; </w:t>
      </w:r>
    </w:p>
    <w:p>
      <w:pPr>
        <w:pStyle w:val="Normal"/>
        <w:ind w:firstLine="709"/>
        <w:jc w:val="both"/>
        <w:rPr>
          <w:sz w:val="24"/>
          <w:szCs w:val="24"/>
          <w:highlight w:val="lightGray"/>
        </w:rPr>
      </w:pPr>
      <w:r>
        <w:rPr>
          <w:sz w:val="24"/>
          <w:szCs w:val="24"/>
          <w:highlight w:val="lightGray"/>
        </w:rPr>
        <w:t>и / или</w:t>
      </w:r>
    </w:p>
    <w:p>
      <w:pPr>
        <w:pStyle w:val="Normal"/>
        <w:ind w:firstLine="709"/>
        <w:jc w:val="both"/>
        <w:rPr>
          <w:sz w:val="24"/>
          <w:szCs w:val="24"/>
          <w:highlight w:val="lightGray"/>
        </w:rPr>
      </w:pPr>
      <w:r>
        <w:rPr>
          <w:sz w:val="24"/>
          <w:szCs w:val="24"/>
          <w:highlight w:val="lightGray"/>
        </w:rPr>
        <w:t xml:space="preserve">расчетом, подготовленным </w:t>
      </w:r>
      <w:r>
        <w:rPr>
          <w:bCs/>
          <w:sz w:val="24"/>
          <w:szCs w:val="24"/>
          <w:highlight w:val="lightGray"/>
        </w:rPr>
        <w:t>Покупателем</w:t>
      </w:r>
      <w:r>
        <w:rPr>
          <w:sz w:val="24"/>
          <w:szCs w:val="24"/>
          <w:highlight w:val="lightGray"/>
        </w:rPr>
        <w:t xml:space="preserve">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(далее – Ассоциация «НП Совета рынка»).</w:t>
      </w:r>
    </w:p>
    <w:p>
      <w:pPr>
        <w:pStyle w:val="Normal"/>
        <w:widowControl/>
        <w:numPr>
          <w:ilvl w:val="0"/>
          <w:numId w:val="14"/>
        </w:numPr>
        <w:spacing w:lineRule="auto" w:line="259"/>
        <w:ind w:left="0" w:firstLine="709"/>
        <w:jc w:val="both"/>
        <w:rPr>
          <w:sz w:val="24"/>
          <w:szCs w:val="24"/>
          <w:highlight w:val="lightGray"/>
        </w:rPr>
      </w:pPr>
      <w:r>
        <w:rPr>
          <w:sz w:val="24"/>
          <w:szCs w:val="24"/>
          <w:highlight w:val="lightGray"/>
        </w:rPr>
        <w:t xml:space="preserve">в отдельной территории ценовой зоны оптового рынка, ранее относившейся к  неценовой зоне оптового рынка Дальнего Востока: </w:t>
      </w:r>
    </w:p>
    <w:p>
      <w:pPr>
        <w:pStyle w:val="Normal"/>
        <w:ind w:firstLine="709"/>
        <w:jc w:val="both"/>
        <w:rPr>
          <w:sz w:val="24"/>
          <w:szCs w:val="24"/>
          <w:highlight w:val="lightGray"/>
        </w:rPr>
      </w:pPr>
      <w:r>
        <w:rPr>
          <w:sz w:val="24"/>
          <w:szCs w:val="24"/>
          <w:highlight w:val="lightGray"/>
        </w:rPr>
        <w:t xml:space="preserve">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w:t>
      </w:r>
      <w:r>
        <w:rPr>
          <w:bCs/>
          <w:sz w:val="24"/>
          <w:szCs w:val="24"/>
          <w:highlight w:val="lightGray"/>
        </w:rPr>
        <w:t>Покупателем</w:t>
      </w:r>
      <w:r>
        <w:rPr>
          <w:sz w:val="24"/>
          <w:szCs w:val="24"/>
          <w:highlight w:val="lightGray"/>
        </w:rPr>
        <w:t xml:space="preserve"> на основании Методики (Приложение № 7 к Договору);</w:t>
      </w:r>
    </w:p>
    <w:p>
      <w:pPr>
        <w:pStyle w:val="Normal"/>
        <w:ind w:firstLine="709"/>
        <w:jc w:val="both"/>
        <w:rPr>
          <w:sz w:val="24"/>
          <w:szCs w:val="24"/>
          <w:highlight w:val="lightGray"/>
        </w:rPr>
      </w:pPr>
      <w:r>
        <w:rPr>
          <w:sz w:val="24"/>
          <w:szCs w:val="24"/>
          <w:highlight w:val="lightGray"/>
        </w:rPr>
        <w: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t>
      </w:r>
    </w:p>
    <w:p>
      <w:pPr>
        <w:pStyle w:val="Normal"/>
        <w:ind w:firstLine="709"/>
        <w:jc w:val="both"/>
        <w:rPr>
          <w:sz w:val="24"/>
          <w:szCs w:val="24"/>
          <w:highlight w:val="lightGray"/>
        </w:rPr>
      </w:pPr>
      <w:r>
        <w:rPr>
          <w:sz w:val="24"/>
          <w:szCs w:val="24"/>
          <w:highlight w:val="lightGray"/>
        </w:rPr>
        <w:t xml:space="preserve">расчетом, подготовленным Коммерческим оператором оптового рынка; </w:t>
      </w:r>
    </w:p>
    <w:p>
      <w:pPr>
        <w:pStyle w:val="Normal"/>
        <w:ind w:firstLine="709"/>
        <w:jc w:val="both"/>
        <w:rPr>
          <w:sz w:val="24"/>
          <w:szCs w:val="24"/>
          <w:highlight w:val="lightGray"/>
        </w:rPr>
      </w:pPr>
      <w:r>
        <w:rPr>
          <w:sz w:val="24"/>
          <w:szCs w:val="24"/>
          <w:highlight w:val="lightGray"/>
        </w:rPr>
        <w:t>и / или</w:t>
      </w:r>
    </w:p>
    <w:p>
      <w:pPr>
        <w:pStyle w:val="Normal"/>
        <w:ind w:firstLine="709"/>
        <w:jc w:val="both"/>
        <w:rPr>
          <w:sz w:val="24"/>
          <w:szCs w:val="24"/>
          <w:highlight w:val="lightGray"/>
        </w:rPr>
      </w:pPr>
      <w:r>
        <w:rPr>
          <w:sz w:val="24"/>
          <w:szCs w:val="24"/>
          <w:highlight w:val="lightGray"/>
        </w:rPr>
        <w:t xml:space="preserve">расчетом, подготовленным </w:t>
      </w:r>
      <w:r>
        <w:rPr>
          <w:bCs/>
          <w:sz w:val="24"/>
          <w:szCs w:val="24"/>
          <w:highlight w:val="lightGray"/>
        </w:rPr>
        <w:t>Покупателем</w:t>
      </w:r>
      <w:r>
        <w:rPr>
          <w:sz w:val="24"/>
          <w:szCs w:val="24"/>
          <w:highlight w:val="lightGray"/>
        </w:rPr>
        <w:t xml:space="preserve"> на основании методики, утвержденной Наблюдательным советом Ассоциации «НП Совет рынка».</w:t>
      </w:r>
    </w:p>
    <w:p>
      <w:pPr>
        <w:pStyle w:val="Normal"/>
        <w:ind w:firstLine="709"/>
        <w:jc w:val="both"/>
        <w:rPr>
          <w:sz w:val="24"/>
          <w:szCs w:val="24"/>
          <w:highlight w:val="lightGray"/>
        </w:rPr>
      </w:pPr>
      <w:r>
        <w:rPr>
          <w:sz w:val="24"/>
          <w:szCs w:val="24"/>
          <w:highlight w:val="lightGray"/>
        </w:rPr>
        <w:t xml:space="preserve">В отношении вновь вводимого оборудования ГЭС / ГАЭС – объектов ДПМ, ДПМ ВИЭ в ценовых зонах ОРЭМ Поставщик дополнительно компенсирует </w:t>
      </w:r>
      <w:r>
        <w:rPr>
          <w:bCs/>
          <w:sz w:val="24"/>
          <w:szCs w:val="24"/>
          <w:highlight w:val="lightGray"/>
        </w:rPr>
        <w:t>Покупателю</w:t>
      </w:r>
      <w:r>
        <w:rPr>
          <w:sz w:val="24"/>
          <w:szCs w:val="24"/>
          <w:highlight w:val="lightGray"/>
        </w:rPr>
        <w:t xml:space="preserve">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ind w:firstLine="709"/>
        <w:jc w:val="both"/>
        <w:rPr>
          <w:sz w:val="24"/>
          <w:szCs w:val="24"/>
          <w:highlight w:val="lightGray"/>
        </w:rPr>
      </w:pPr>
      <w:r>
        <w:rPr>
          <w:sz w:val="24"/>
          <w:szCs w:val="24"/>
          <w:highlight w:val="lightGray"/>
        </w:rPr>
        <w:t xml:space="preserve">В отношении вновь вводимого (модернизируемого) оборудования ТЭС в отдельной территории ценовой зоны оптового рынка, ранее относившейся к неценовой зоне </w:t>
      </w:r>
      <w:r>
        <w:rPr>
          <w:bCs/>
          <w:color w:val="000000"/>
          <w:sz w:val="24"/>
          <w:szCs w:val="24"/>
          <w:highlight w:val="lightGray"/>
          <w:shd w:fill="CCCCCC" w:val="clear"/>
        </w:rPr>
        <w:t xml:space="preserve">оптового рынка </w:t>
      </w:r>
      <w:r>
        <w:rPr>
          <w:sz w:val="24"/>
          <w:szCs w:val="24"/>
          <w:highlight w:val="lightGray"/>
        </w:rPr>
        <w:t xml:space="preserve">Дальнего Востока Подрядчик дополнительно компенсирует Заказчику упущенную выгоду (выручку) в связи: </w:t>
      </w:r>
    </w:p>
    <w:p>
      <w:pPr>
        <w:pStyle w:val="ListParagraph"/>
        <w:numPr>
          <w:ilvl w:val="2"/>
          <w:numId w:val="2"/>
        </w:numPr>
        <w:ind w:left="0" w:firstLine="709"/>
        <w:jc w:val="both"/>
        <w:rPr>
          <w:sz w:val="24"/>
          <w:szCs w:val="24"/>
          <w:highlight w:val="lightGray"/>
        </w:rPr>
      </w:pPr>
      <w:r>
        <w:rPr>
          <w:sz w:val="24"/>
          <w:szCs w:val="24"/>
          <w:highlight w:val="lightGray"/>
        </w:rPr>
        <w:t>С неоплатой мощности из-за просрочки исполнения обязательства по поставке мощности от модернизированного объекта.</w:t>
      </w:r>
    </w:p>
    <w:p>
      <w:pPr>
        <w:pStyle w:val="Normal"/>
        <w:ind w:firstLine="709"/>
        <w:jc w:val="both"/>
        <w:rPr>
          <w:sz w:val="24"/>
          <w:szCs w:val="24"/>
          <w:highlight w:val="lightGray"/>
        </w:rPr>
      </w:pPr>
      <w:r>
        <w:rPr>
          <w:sz w:val="24"/>
          <w:szCs w:val="24"/>
          <w:highlight w:val="lightGray"/>
        </w:rPr>
        <w:t xml:space="preserve">Размер упущенной выгоды для каждого месяца просрочки определяется в соответствии с Правилами ОРЭМ. </w:t>
      </w:r>
    </w:p>
    <w:p>
      <w:pPr>
        <w:pStyle w:val="ListParagraph"/>
        <w:numPr>
          <w:ilvl w:val="2"/>
          <w:numId w:val="2"/>
        </w:numPr>
        <w:ind w:left="0" w:firstLine="709"/>
        <w:jc w:val="both"/>
        <w:rPr>
          <w:sz w:val="24"/>
          <w:szCs w:val="24"/>
          <w:highlight w:val="lightGray"/>
        </w:rPr>
      </w:pPr>
      <w:r>
        <w:rPr>
          <w:sz w:val="24"/>
          <w:szCs w:val="24"/>
          <w:highlight w:val="lightGray"/>
        </w:rPr>
        <w:t>С уменьшением тарифа на мощность генерирующего объекта, в порядке, установленном договором о присоединении к торговой системе оптового рынка, 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определенную в соответствии с решением Правительства Российской Федерации.</w:t>
      </w:r>
    </w:p>
    <w:p>
      <w:pPr>
        <w:pStyle w:val="Normal"/>
        <w:ind w:firstLine="709"/>
        <w:jc w:val="both"/>
        <w:rPr>
          <w:sz w:val="24"/>
          <w:szCs w:val="24"/>
          <w:highlight w:val="lightGray"/>
        </w:rPr>
      </w:pPr>
      <w:r>
        <w:rPr>
          <w:sz w:val="24"/>
          <w:szCs w:val="24"/>
          <w:highlight w:val="lightGray"/>
        </w:rPr>
        <w:t>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по локализации.</w:t>
      </w:r>
    </w:p>
    <w:p>
      <w:pPr>
        <w:pStyle w:val="ListParagraph"/>
        <w:numPr>
          <w:ilvl w:val="2"/>
          <w:numId w:val="2"/>
        </w:numPr>
        <w:ind w:left="0" w:firstLine="709"/>
        <w:jc w:val="both"/>
        <w:rPr>
          <w:sz w:val="24"/>
          <w:szCs w:val="24"/>
          <w:highlight w:val="lightGray"/>
        </w:rPr>
      </w:pPr>
      <w:r>
        <w:rPr>
          <w:sz w:val="24"/>
          <w:szCs w:val="24"/>
          <w:highlight w:val="lightGray"/>
        </w:rPr>
        <w:t xml:space="preserve"> </w:t>
      </w:r>
      <w:r>
        <w:rPr>
          <w:sz w:val="24"/>
          <w:szCs w:val="24"/>
          <w:highlight w:val="lightGray"/>
        </w:rPr>
        <w: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ОРЭМ</w:t>
      </w:r>
      <w:r>
        <w:rPr>
          <w:rStyle w:val="FootnoteReference"/>
          <w:sz w:val="24"/>
          <w:szCs w:val="24"/>
          <w:highlight w:val="lightGray"/>
        </w:rPr>
        <w:footnoteReference w:id="12"/>
      </w:r>
      <w:r>
        <w:rPr>
          <w:sz w:val="24"/>
          <w:szCs w:val="24"/>
          <w:highlight w:val="lightGray"/>
        </w:rPr>
        <w:t>.</w:t>
      </w:r>
    </w:p>
    <w:p>
      <w:pPr>
        <w:pStyle w:val="Normal"/>
        <w:ind w:firstLine="709"/>
        <w:jc w:val="both"/>
        <w:rPr>
          <w:sz w:val="24"/>
          <w:szCs w:val="24"/>
          <w:highlight w:val="lightGray"/>
        </w:rPr>
      </w:pPr>
      <w:r>
        <w:rPr>
          <w:sz w:val="24"/>
          <w:szCs w:val="24"/>
          <w:highlight w:val="lightGray"/>
        </w:rPr>
        <w:t>Методика</w:t>
      </w:r>
      <w:r>
        <w:rPr>
          <w:sz w:val="24"/>
          <w:szCs w:val="28"/>
          <w:highlight w:val="lightGray"/>
        </w:rPr>
        <w:t xml:space="preserve">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t>
      </w:r>
      <w:r>
        <w:rPr>
          <w:bCs/>
          <w:color w:val="000000"/>
          <w:sz w:val="24"/>
          <w:szCs w:val="24"/>
          <w:highlight w:val="lightGray"/>
          <w:shd w:fill="CCCCCC" w:val="clear"/>
        </w:rPr>
        <w:t xml:space="preserve">оптового рынка </w:t>
      </w:r>
      <w:r>
        <w:rPr>
          <w:sz w:val="24"/>
          <w:szCs w:val="28"/>
          <w:highlight w:val="lightGray"/>
        </w:rPr>
        <w:t xml:space="preserve">Дальнего Востока изложена в </w:t>
      </w:r>
      <w:r>
        <w:rPr>
          <w:sz w:val="24"/>
          <w:szCs w:val="24"/>
          <w:highlight w:val="lightGray"/>
        </w:rPr>
        <w:t>Приложении № 7 к Договору.</w:t>
      </w:r>
    </w:p>
    <w:p>
      <w:pPr>
        <w:pStyle w:val="ListParagraph"/>
        <w:widowControl/>
        <w:numPr>
          <w:ilvl w:val="1"/>
          <w:numId w:val="2"/>
        </w:numPr>
        <w:shd w:val="clear" w:color="auto" w:fill="FFFFFF"/>
        <w:ind w:left="0" w:firstLine="709"/>
        <w:jc w:val="both"/>
        <w:rPr>
          <w:bCs/>
          <w:sz w:val="24"/>
          <w:szCs w:val="24"/>
        </w:rPr>
      </w:pPr>
      <w:r>
        <w:rPr>
          <w:bCs/>
          <w:sz w:val="24"/>
          <w:szCs w:val="24"/>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numPr>
          <w:ilvl w:val="1"/>
          <w:numId w:val="2"/>
        </w:numPr>
        <w:shd w:val="clear" w:color="auto" w:fill="FFFFFF"/>
        <w:ind w:left="0" w:firstLine="709"/>
        <w:jc w:val="both"/>
        <w:rPr>
          <w:rFonts w:eastAsia="Calibri"/>
          <w:bCs/>
          <w:sz w:val="24"/>
          <w:szCs w:val="24"/>
          <w:highlight w:val="lightGray"/>
        </w:rPr>
      </w:pPr>
      <w:r>
        <w:rPr>
          <w:rFonts w:eastAsia="Calibri"/>
          <w:bCs/>
          <w:sz w:val="24"/>
          <w:szCs w:val="24"/>
          <w:highlight w:val="lightGray"/>
        </w:rPr>
        <w:t>В случае нарушения Поставщиком сроков исполнения обязательств, установленных пунктом 3.1.1 Регламента взаимодействия в ходе исполнения процессов управления проектом (Приложение № 6 к Договору), Покупатель вправе потребовать уплаты Поставщиком неустойки в размере 0,02 (ноль целых и две сотых) процента от стоимости Партии Товара, в отношении которой (-ого) Поставщиком должен быть разработан детальный календарно-сетевой график, за каждый день просрочки, но не менее 50 000 (пятидесяти тысяч) рублей.</w:t>
      </w:r>
    </w:p>
    <w:p>
      <w:pPr>
        <w:pStyle w:val="Normal"/>
        <w:ind w:firstLine="709"/>
        <w:jc w:val="both"/>
        <w:rPr>
          <w:rFonts w:eastAsia="Calibri"/>
          <w:bCs/>
          <w:sz w:val="24"/>
          <w:szCs w:val="24"/>
          <w:highlight w:val="lightGray"/>
        </w:rPr>
      </w:pPr>
      <w:r>
        <w:rPr>
          <w:rFonts w:eastAsia="Calibri"/>
          <w:bCs/>
          <w:sz w:val="24"/>
          <w:szCs w:val="24"/>
          <w:highlight w:val="lightGray"/>
        </w:rPr>
        <w:t>В случае нарушения Поставщиком сроков исполнения обязательств, установленных пунктом 3.2.4 Регламента взаимодействия в ходе исполнения процессов управления проектом (Приложение № 7 к Договору), Покупатель вправе потребовать уплаты Поставщиком штрафа в размере 15 000 (Пятнадцать тысяч) рублей за каждый случай нарушения</w:t>
      </w:r>
      <w:r>
        <w:rPr>
          <w:rStyle w:val="FootnoteReference"/>
          <w:rFonts w:eastAsia="Calibri"/>
          <w:bCs/>
          <w:sz w:val="24"/>
          <w:szCs w:val="24"/>
          <w:highlight w:val="lightGray"/>
        </w:rPr>
        <w:footnoteReference w:id="13"/>
      </w:r>
      <w:r>
        <w:rPr>
          <w:rFonts w:eastAsia="Calibri"/>
          <w:bCs/>
          <w:sz w:val="24"/>
          <w:szCs w:val="24"/>
          <w:highlight w:val="lightGray"/>
        </w:rPr>
        <w:t>.</w:t>
      </w:r>
    </w:p>
    <w:p>
      <w:pPr>
        <w:pStyle w:val="ListParagraph"/>
        <w:widowControl/>
        <w:numPr>
          <w:ilvl w:val="1"/>
          <w:numId w:val="2"/>
        </w:numPr>
        <w:shd w:val="clear" w:color="auto" w:fill="FFFFFF"/>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2"/>
        </w:numPr>
        <w:shd w:val="clear" w:color="auto" w:fill="FFFFFF"/>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2"/>
        </w:numPr>
        <w:shd w:val="clear" w:color="auto" w:fill="FFFFFF"/>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2"/>
        </w:numPr>
        <w:shd w:val="clear" w:color="auto" w:fill="FFFFFF"/>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9.6.7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8"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sz w:val="24"/>
          <w:szCs w:val="24"/>
          <w:highlight w:val="lightGray"/>
        </w:rPr>
        <w:t>____________________</w:t>
      </w:r>
      <w:r>
        <w:rPr>
          <w:rStyle w:val="FootnoteReference"/>
          <w:bCs/>
          <w:sz w:val="24"/>
          <w:szCs w:val="24"/>
          <w:highlight w:val="lightGray"/>
        </w:rPr>
        <w:footnoteReference w:id="14"/>
      </w:r>
      <w:r>
        <w:rPr>
          <w:bCs/>
          <w:sz w:val="24"/>
          <w:szCs w:val="24"/>
        </w:rPr>
        <w:t xml:space="preserve">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14.8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br/>
        <w:t>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tabs>
          <w:tab w:val="clear" w:pos="709"/>
          <w:tab w:val="left" w:pos="142" w:leader="none"/>
        </w:tabs>
        <w:snapToGrid w:val="false"/>
        <w:ind w:left="0" w:firstLine="709"/>
        <w:jc w:val="both"/>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lang w:eastAsia="en-US"/>
        </w:rPr>
        <w:footnoteReference w:id="15"/>
      </w:r>
      <w:r>
        <w:rPr>
          <w:sz w:val="24"/>
          <w:szCs w:val="24"/>
          <w:highlight w:val="lightGray"/>
          <w:lang w:eastAsia="en-US"/>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14.7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14.8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0"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highlight w:val="lightGray"/>
        </w:rPr>
        <w:t>14.8</w:t>
      </w:r>
      <w:r>
        <w:rPr>
          <w:sz w:val="24"/>
          <w:szCs w:val="24"/>
        </w:rPr>
        <w:t xml:space="preserve"> Договора.</w:t>
      </w:r>
      <w:bookmarkEnd w:id="10"/>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14.8.1 – 14.8.2</w:t>
      </w:r>
      <w:r>
        <w:rPr>
          <w:bCs/>
          <w:sz w:val="24"/>
          <w:szCs w:val="24"/>
        </w:rPr>
        <w:t xml:space="preserve"> Договора.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16"/>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7"/>
      </w:r>
      <w:r>
        <w:rPr>
          <w:sz w:val="24"/>
          <w:szCs w:val="24"/>
          <w:highlight w:val="lightGray"/>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ind w:firstLine="709"/>
        <w:jc w:val="both"/>
        <w:rPr>
          <w:sz w:val="24"/>
          <w:szCs w:val="24"/>
          <w:lang w:eastAsia="x-none"/>
        </w:rPr>
      </w:pPr>
      <w:r>
        <w:rPr>
          <w:sz w:val="24"/>
          <w:szCs w:val="24"/>
          <w:lang w:eastAsia="x-none"/>
        </w:rPr>
        <w:t>Приложение № 3 –</w:t>
      </w:r>
      <w:r>
        <w:rPr>
          <w:rFonts w:eastAsia="Calibri"/>
          <w:sz w:val="24"/>
          <w:szCs w:val="24"/>
          <w:lang w:eastAsia="en-US"/>
        </w:rPr>
        <w:t xml:space="preserve"> Календарный график поставки Товара.</w:t>
      </w:r>
    </w:p>
    <w:p>
      <w:pPr>
        <w:pStyle w:val="Normal"/>
        <w:widowControl/>
        <w:shd w:val="clear" w:color="auto" w:fill="FFFFFF"/>
        <w:tabs>
          <w:tab w:val="clear" w:pos="709"/>
          <w:tab w:val="left" w:pos="0" w:leader="none"/>
          <w:tab w:val="left" w:pos="2694" w:leader="none"/>
        </w:tabs>
        <w:ind w:firstLine="709"/>
        <w:jc w:val="both"/>
        <w:rPr>
          <w:sz w:val="24"/>
          <w:szCs w:val="24"/>
        </w:rPr>
      </w:pPr>
      <w:bookmarkStart w:id="11" w:name="sub_1"/>
      <w:r>
        <w:rPr>
          <w:rFonts w:eastAsia="Calibri"/>
          <w:sz w:val="24"/>
          <w:szCs w:val="24"/>
          <w:lang w:eastAsia="en-US"/>
        </w:rPr>
        <w:t>Приложение № 4 – Критерии отбора Банков-Гарантов.</w:t>
      </w:r>
      <w:bookmarkEnd w:id="11"/>
    </w:p>
    <w:p>
      <w:pPr>
        <w:pStyle w:val="Normal"/>
        <w:ind w:firstLine="709"/>
        <w:jc w:val="both"/>
        <w:rPr>
          <w:bCs/>
          <w:sz w:val="24"/>
          <w:szCs w:val="24"/>
        </w:rPr>
      </w:pPr>
      <w:r>
        <w:rPr>
          <w:bCs/>
          <w:sz w:val="24"/>
          <w:szCs w:val="24"/>
        </w:rPr>
        <w:t xml:space="preserve">Приложение № 5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highlight w:val="lightGray"/>
        </w:rPr>
        <w:t xml:space="preserve">Приложение № 6 </w:t>
      </w:r>
      <w:r>
        <w:rPr>
          <w:rFonts w:eastAsia="Calibri"/>
          <w:sz w:val="24"/>
          <w:szCs w:val="24"/>
          <w:highlight w:val="lightGray"/>
          <w:lang w:eastAsia="en-US"/>
        </w:rPr>
        <w:t>–</w:t>
      </w:r>
      <w:r>
        <w:rPr>
          <w:bCs/>
          <w:sz w:val="24"/>
          <w:szCs w:val="24"/>
          <w:highlight w:val="lightGray"/>
        </w:rPr>
        <w:t xml:space="preserve"> Регламент взаимодействия в ходе исполнения процессов управления проектом</w:t>
      </w:r>
      <w:r>
        <w:rPr>
          <w:bCs/>
          <w:sz w:val="24"/>
          <w:szCs w:val="24"/>
        </w:rPr>
        <w:t>.</w:t>
      </w:r>
    </w:p>
    <w:p>
      <w:pPr>
        <w:pStyle w:val="Normal"/>
        <w:ind w:firstLine="709"/>
        <w:jc w:val="both"/>
        <w:rPr>
          <w:bCs/>
          <w:sz w:val="24"/>
          <w:szCs w:val="24"/>
          <w:highlight w:val="lightGray"/>
        </w:rPr>
      </w:pPr>
      <w:r>
        <w:rPr>
          <w:bCs/>
          <w:sz w:val="24"/>
          <w:szCs w:val="24"/>
          <w:highlight w:val="lightGray"/>
        </w:rPr>
        <w:t>Приложение № 7 – Методика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оптового рынка Дальнего Востока.</w:t>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79"/>
        <w:gridCol w:w="200"/>
        <w:gridCol w:w="4586"/>
        <w:gridCol w:w="325"/>
      </w:tblGrid>
      <w:tr>
        <w:trPr/>
        <w:tc>
          <w:tcPr>
            <w:tcW w:w="4979" w:type="dxa"/>
            <w:gridSpan w:val="2"/>
            <w:tcBorders/>
          </w:tcPr>
          <w:p>
            <w:pPr>
              <w:pStyle w:val="Normal"/>
              <w:widowControl w:val="false"/>
              <w:rPr>
                <w:sz w:val="24"/>
                <w:szCs w:val="24"/>
              </w:rPr>
            </w:pPr>
            <w:r>
              <w:rPr>
                <w:sz w:val="24"/>
                <w:szCs w:val="24"/>
              </w:rPr>
              <w:t>ПОКУПАТЕЛЬ:</w:t>
            </w:r>
          </w:p>
        </w:tc>
        <w:tc>
          <w:tcPr>
            <w:tcW w:w="4911" w:type="dxa"/>
            <w:gridSpan w:val="2"/>
            <w:tcBorders/>
          </w:tcPr>
          <w:p>
            <w:pPr>
              <w:pStyle w:val="Normal"/>
              <w:widowControl w:val="false"/>
              <w:rPr>
                <w:sz w:val="24"/>
                <w:szCs w:val="24"/>
              </w:rPr>
            </w:pPr>
            <w:r>
              <w:rPr>
                <w:sz w:val="24"/>
                <w:szCs w:val="24"/>
              </w:rPr>
              <w:t>ПОСТАВЩИК:</w:t>
            </w:r>
          </w:p>
        </w:tc>
      </w:tr>
      <w:tr>
        <w:trPr/>
        <w:tc>
          <w:tcPr>
            <w:tcW w:w="4979" w:type="dxa"/>
            <w:gridSpan w:val="2"/>
            <w:tcBorders/>
            <w:shd w:color="auto" w:fill="BFBFBF" w:val="clear"/>
          </w:tcPr>
          <w:tbl>
            <w:tblPr>
              <w:tblW w:w="9702" w:type="dxa"/>
              <w:jc w:val="left"/>
              <w:tblInd w:w="154" w:type="dxa"/>
              <w:tblLayout w:type="fixed"/>
              <w:tblCellMar>
                <w:top w:w="0" w:type="dxa"/>
                <w:left w:w="108" w:type="dxa"/>
                <w:bottom w:w="0" w:type="dxa"/>
                <w:right w:w="108" w:type="dxa"/>
              </w:tblCellMar>
              <w:tblLook w:noVBand="1" w:val="04a0" w:noHBand="0" w:lastColumn="0" w:firstColumn="1" w:lastRow="0" w:firstRow="1"/>
            </w:tblPr>
            <w:tblGrid>
              <w:gridCol w:w="9702"/>
            </w:tblGrid>
            <w:tr>
              <w:trPr/>
              <w:tc>
                <w:tcPr>
                  <w:tcW w:w="9702" w:type="dxa"/>
                  <w:tcBorders/>
                </w:tcPr>
                <w:p>
                  <w:pPr>
                    <w:pStyle w:val="Normal"/>
                    <w:widowControl w:val="false"/>
                    <w:rPr>
                      <w:sz w:val="24"/>
                      <w:szCs w:val="24"/>
                    </w:rPr>
                  </w:pPr>
                  <w:r>
                    <w:rPr>
                      <w:sz w:val="24"/>
                      <w:szCs w:val="24"/>
                    </w:rPr>
                  </w:r>
                </w:p>
              </w:tc>
            </w:tr>
            <w:tr>
              <w:trPr/>
              <w:tc>
                <w:tcPr>
                  <w:tcW w:w="9702" w:type="dxa"/>
                  <w:tcBorders/>
                  <w:shd w:color="auto" w:fill="FFFFFF" w:val="clear"/>
                </w:tcPr>
                <w:p>
                  <w:pPr>
                    <w:pStyle w:val="Normal"/>
                    <w:widowControl w:val="false"/>
                    <w:rPr>
                      <w:b/>
                      <w:sz w:val="24"/>
                      <w:szCs w:val="24"/>
                    </w:rPr>
                  </w:pPr>
                  <w:r>
                    <w:rPr>
                      <w:b/>
                      <w:sz w:val="24"/>
                      <w:szCs w:val="24"/>
                    </w:rPr>
                    <w:t>ООО «МГЭС Ставрополья и КЧР»</w:t>
                  </w:r>
                </w:p>
                <w:p>
                  <w:pPr>
                    <w:pStyle w:val="Normal"/>
                    <w:widowControl w:val="false"/>
                    <w:rPr>
                      <w:sz w:val="24"/>
                      <w:szCs w:val="24"/>
                    </w:rPr>
                  </w:pPr>
                  <w:r>
                    <w:rPr>
                      <w:sz w:val="24"/>
                      <w:szCs w:val="24"/>
                    </w:rPr>
                    <w:t>Адрес юридического лица:</w:t>
                  </w:r>
                </w:p>
                <w:p>
                  <w:pPr>
                    <w:pStyle w:val="Normal"/>
                    <w:widowControl w:val="false"/>
                    <w:rPr>
                      <w:sz w:val="24"/>
                      <w:szCs w:val="24"/>
                    </w:rPr>
                  </w:pPr>
                  <w:r>
                    <w:rPr>
                      <w:sz w:val="24"/>
                      <w:szCs w:val="24"/>
                    </w:rPr>
                    <w:t>357431, Ставропольский край,</w:t>
                  </w:r>
                </w:p>
                <w:p>
                  <w:pPr>
                    <w:pStyle w:val="Normal"/>
                    <w:widowControl w:val="false"/>
                    <w:rPr>
                      <w:sz w:val="24"/>
                      <w:szCs w:val="24"/>
                    </w:rPr>
                  </w:pPr>
                  <w:r>
                    <w:rPr>
                      <w:sz w:val="24"/>
                      <w:szCs w:val="24"/>
                    </w:rPr>
                    <w:t xml:space="preserve"> </w:t>
                  </w:r>
                  <w:r>
                    <w:rPr>
                      <w:sz w:val="24"/>
                      <w:szCs w:val="24"/>
                    </w:rPr>
                    <w:t>г.о. город курорт Железноводск,</w:t>
                  </w:r>
                </w:p>
                <w:p>
                  <w:pPr>
                    <w:pStyle w:val="Normal"/>
                    <w:widowControl w:val="false"/>
                    <w:rPr>
                      <w:sz w:val="24"/>
                      <w:szCs w:val="24"/>
                    </w:rPr>
                  </w:pPr>
                  <w:r>
                    <w:rPr>
                      <w:sz w:val="24"/>
                      <w:szCs w:val="24"/>
                    </w:rPr>
                    <w:t xml:space="preserve">п. Иноземцево, ул. Гагарина, д. 2Н, </w:t>
                  </w:r>
                </w:p>
                <w:p>
                  <w:pPr>
                    <w:pStyle w:val="Normal"/>
                    <w:widowControl w:val="false"/>
                    <w:rPr>
                      <w:sz w:val="24"/>
                      <w:szCs w:val="24"/>
                    </w:rPr>
                  </w:pPr>
                  <w:r>
                    <w:rPr>
                      <w:sz w:val="24"/>
                      <w:szCs w:val="24"/>
                    </w:rPr>
                    <w:t>помещ.35</w:t>
                  </w:r>
                </w:p>
                <w:p>
                  <w:pPr>
                    <w:pStyle w:val="Normal"/>
                    <w:widowControl w:val="false"/>
                    <w:rPr>
                      <w:sz w:val="24"/>
                      <w:szCs w:val="24"/>
                    </w:rPr>
                  </w:pPr>
                  <w:r>
                    <w:rPr>
                      <w:sz w:val="24"/>
                      <w:szCs w:val="24"/>
                    </w:rPr>
                    <w:t>ИНН 0917014406 КПП 262701001</w:t>
                  </w:r>
                </w:p>
                <w:p>
                  <w:pPr>
                    <w:pStyle w:val="Normal"/>
                    <w:widowControl w:val="false"/>
                    <w:rPr>
                      <w:sz w:val="24"/>
                      <w:szCs w:val="24"/>
                    </w:rPr>
                  </w:pPr>
                  <w:r>
                    <w:rPr>
                      <w:sz w:val="24"/>
                      <w:szCs w:val="24"/>
                    </w:rPr>
                    <w:t>ОГРН 1090917001867</w:t>
                  </w:r>
                </w:p>
                <w:p>
                  <w:pPr>
                    <w:pStyle w:val="Normal"/>
                    <w:widowControl w:val="false"/>
                    <w:rPr/>
                  </w:pPr>
                  <w:r>
                    <w:rPr>
                      <w:sz w:val="24"/>
                      <w:szCs w:val="24"/>
                    </w:rPr>
                    <w:t>р/с 40702810100000038229</w:t>
                  </w:r>
                </w:p>
                <w:p>
                  <w:pPr>
                    <w:pStyle w:val="Normal"/>
                    <w:widowControl w:val="false"/>
                    <w:rPr>
                      <w:sz w:val="24"/>
                      <w:szCs w:val="24"/>
                    </w:rPr>
                  </w:pPr>
                  <w:r>
                    <w:rPr>
                      <w:sz w:val="24"/>
                      <w:szCs w:val="24"/>
                    </w:rPr>
                    <w:t>Банк ГПБ (АО) г. Москва</w:t>
                  </w:r>
                </w:p>
                <w:p>
                  <w:pPr>
                    <w:pStyle w:val="Normal"/>
                    <w:widowControl w:val="false"/>
                    <w:rPr>
                      <w:sz w:val="24"/>
                      <w:szCs w:val="24"/>
                    </w:rPr>
                  </w:pPr>
                  <w:r>
                    <w:rPr>
                      <w:sz w:val="24"/>
                      <w:szCs w:val="24"/>
                    </w:rPr>
                    <w:t>к/с 30101810200000000823</w:t>
                  </w:r>
                </w:p>
                <w:p>
                  <w:pPr>
                    <w:pStyle w:val="Normal"/>
                    <w:widowControl w:val="false"/>
                    <w:rPr>
                      <w:sz w:val="24"/>
                      <w:szCs w:val="24"/>
                    </w:rPr>
                  </w:pPr>
                  <w:r>
                    <w:rPr>
                      <w:sz w:val="24"/>
                      <w:szCs w:val="24"/>
                    </w:rPr>
                    <w:t>БИК 044525823</w:t>
                  </w:r>
                </w:p>
                <w:p>
                  <w:pPr>
                    <w:pStyle w:val="Normal"/>
                    <w:widowControl w:val="false"/>
                    <w:rPr>
                      <w:sz w:val="24"/>
                      <w:szCs w:val="24"/>
                    </w:rPr>
                  </w:pPr>
                  <w:r>
                    <w:rPr>
                      <w:sz w:val="24"/>
                      <w:szCs w:val="24"/>
                    </w:rPr>
                    <w:t>тел.+7 (800) 333 80 00*6174</w:t>
                  </w:r>
                </w:p>
                <w:p>
                  <w:pPr>
                    <w:pStyle w:val="Normal"/>
                    <w:widowControl w:val="false"/>
                    <w:rPr>
                      <w:sz w:val="24"/>
                      <w:szCs w:val="24"/>
                    </w:rPr>
                  </w:pPr>
                  <w:r>
                    <w:rPr>
                      <w:sz w:val="24"/>
                      <w:szCs w:val="24"/>
                    </w:rPr>
                    <w:t>Э/почта: UK_GidroOGK-YuG@rushydro.ru</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rFonts w:eastAsia="Calibri"/>
                      <w:b/>
                      <w:sz w:val="24"/>
                      <w:szCs w:val="24"/>
                    </w:rPr>
                  </w:pPr>
                  <w:r>
                    <w:rPr>
                      <w:rFonts w:eastAsia="Calibri"/>
                      <w:b/>
                      <w:sz w:val="24"/>
                      <w:szCs w:val="24"/>
                    </w:rPr>
                  </w:r>
                </w:p>
                <w:p>
                  <w:pPr>
                    <w:pStyle w:val="Normal"/>
                    <w:widowControl w:val="false"/>
                    <w:rPr>
                      <w:rFonts w:eastAsia="Calibri"/>
                      <w:b/>
                      <w:sz w:val="24"/>
                      <w:szCs w:val="24"/>
                    </w:rPr>
                  </w:pPr>
                  <w:r>
                    <w:rPr>
                      <w:rFonts w:eastAsia="Calibri"/>
                      <w:b/>
                      <w:sz w:val="24"/>
                      <w:szCs w:val="24"/>
                    </w:rPr>
                  </w:r>
                </w:p>
                <w:p>
                  <w:pPr>
                    <w:pStyle w:val="Normal"/>
                    <w:widowControl w:val="false"/>
                    <w:rPr>
                      <w:rFonts w:eastAsia="Calibri"/>
                      <w:b/>
                      <w:sz w:val="24"/>
                      <w:szCs w:val="24"/>
                    </w:rPr>
                  </w:pPr>
                  <w:r>
                    <w:rPr>
                      <w:rFonts w:eastAsia="Calibri"/>
                      <w:b/>
                      <w:sz w:val="24"/>
                      <w:szCs w:val="24"/>
                    </w:rPr>
                  </w:r>
                </w:p>
                <w:p>
                  <w:pPr>
                    <w:pStyle w:val="Normal"/>
                    <w:widowControl w:val="false"/>
                    <w:rPr>
                      <w:rFonts w:eastAsia="Calibri"/>
                      <w:b/>
                      <w:sz w:val="24"/>
                      <w:szCs w:val="24"/>
                    </w:rPr>
                  </w:pPr>
                  <w:r>
                    <w:rPr>
                      <w:rFonts w:eastAsia="Calibri"/>
                      <w:b/>
                      <w:sz w:val="24"/>
                      <w:szCs w:val="24"/>
                    </w:rPr>
                  </w:r>
                </w:p>
                <w:p>
                  <w:pPr>
                    <w:pStyle w:val="Normal"/>
                    <w:widowControl w:val="false"/>
                    <w:rPr>
                      <w:rFonts w:eastAsia="Calibri"/>
                      <w:b/>
                      <w:sz w:val="24"/>
                      <w:szCs w:val="24"/>
                    </w:rPr>
                  </w:pPr>
                  <w:r>
                    <w:rPr>
                      <w:rFonts w:eastAsia="Calibri"/>
                      <w:b/>
                      <w:sz w:val="24"/>
                      <w:szCs w:val="24"/>
                    </w:rPr>
                  </w:r>
                </w:p>
                <w:p>
                  <w:pPr>
                    <w:pStyle w:val="Normal"/>
                    <w:widowControl w:val="false"/>
                    <w:rPr>
                      <w:rFonts w:eastAsia="Calibri"/>
                      <w:b/>
                      <w:sz w:val="24"/>
                      <w:szCs w:val="24"/>
                    </w:rPr>
                  </w:pPr>
                  <w:r>
                    <w:rPr>
                      <w:rFonts w:eastAsia="Calibri"/>
                      <w:b/>
                      <w:sz w:val="24"/>
                      <w:szCs w:val="24"/>
                    </w:rPr>
                  </w:r>
                </w:p>
                <w:p>
                  <w:pPr>
                    <w:pStyle w:val="Normal"/>
                    <w:widowControl w:val="false"/>
                    <w:rPr>
                      <w:rFonts w:eastAsia="Calibri"/>
                      <w:b/>
                      <w:sz w:val="24"/>
                      <w:szCs w:val="24"/>
                    </w:rPr>
                  </w:pPr>
                  <w:r>
                    <w:rPr>
                      <w:rFonts w:eastAsia="Calibri"/>
                      <w:b/>
                      <w:sz w:val="24"/>
                      <w:szCs w:val="24"/>
                    </w:rPr>
                  </w:r>
                </w:p>
                <w:p>
                  <w:pPr>
                    <w:pStyle w:val="Normal"/>
                    <w:widowControl w:val="false"/>
                    <w:rPr>
                      <w:rFonts w:eastAsia="Calibri"/>
                      <w:b/>
                      <w:sz w:val="24"/>
                      <w:szCs w:val="24"/>
                    </w:rPr>
                  </w:pPr>
                  <w:r>
                    <w:rPr>
                      <w:rFonts w:eastAsia="Calibri"/>
                      <w:b/>
                      <w:sz w:val="24"/>
                      <w:szCs w:val="24"/>
                    </w:rPr>
                  </w:r>
                </w:p>
                <w:p>
                  <w:pPr>
                    <w:pStyle w:val="Normal"/>
                    <w:widowControl w:val="false"/>
                    <w:rPr>
                      <w:rFonts w:eastAsia="Calibri"/>
                      <w:b/>
                      <w:sz w:val="24"/>
                      <w:szCs w:val="24"/>
                    </w:rPr>
                  </w:pPr>
                  <w:r>
                    <w:rPr>
                      <w:rFonts w:eastAsia="Calibri"/>
                      <w:b/>
                      <w:sz w:val="24"/>
                      <w:szCs w:val="24"/>
                    </w:rPr>
                  </w:r>
                </w:p>
                <w:p>
                  <w:pPr>
                    <w:pStyle w:val="Normal"/>
                    <w:widowControl w:val="false"/>
                    <w:rPr>
                      <w:rFonts w:eastAsia="Calibri"/>
                      <w:b/>
                      <w:sz w:val="24"/>
                      <w:szCs w:val="24"/>
                    </w:rPr>
                  </w:pPr>
                  <w:r>
                    <w:rPr>
                      <w:rFonts w:eastAsia="Calibri"/>
                      <w:b/>
                      <w:sz w:val="24"/>
                      <w:szCs w:val="24"/>
                    </w:rPr>
                  </w:r>
                </w:p>
                <w:p>
                  <w:pPr>
                    <w:pStyle w:val="Normal"/>
                    <w:widowControl w:val="false"/>
                    <w:rPr>
                      <w:sz w:val="24"/>
                      <w:szCs w:val="24"/>
                    </w:rPr>
                  </w:pPr>
                  <w:r>
                    <w:rPr>
                      <w:sz w:val="24"/>
                      <w:szCs w:val="24"/>
                    </w:rPr>
                  </w:r>
                </w:p>
                <w:p>
                  <w:pPr>
                    <w:pStyle w:val="Normal"/>
                    <w:widowControl w:val="false"/>
                    <w:rPr>
                      <w:rFonts w:eastAsia="Calibri"/>
                      <w:b/>
                      <w:sz w:val="24"/>
                      <w:szCs w:val="24"/>
                    </w:rPr>
                  </w:pPr>
                  <w:r>
                    <w:rPr>
                      <w:rFonts w:eastAsia="Calibri"/>
                      <w:b/>
                      <w:sz w:val="24"/>
                      <w:szCs w:val="24"/>
                    </w:rPr>
                    <w:t>_________________ /____________</w:t>
                  </w:r>
                </w:p>
              </w:tc>
            </w:tr>
          </w:tbl>
          <w:p>
            <w:pPr>
              <w:pStyle w:val="Normal"/>
              <w:widowControl w:val="false"/>
              <w:rPr/>
            </w:pPr>
            <w:r>
              <w:rPr/>
            </w:r>
          </w:p>
        </w:tc>
        <w:tc>
          <w:tcPr>
            <w:tcW w:w="4911" w:type="dxa"/>
            <w:gridSpan w:val="2"/>
            <w:tcBorders/>
            <w:shd w:color="auto" w:fill="BFBFBF" w:val="clear"/>
          </w:tcPr>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rHeight w:val="104" w:hRule="atLeast"/>
        </w:trPr>
        <w:tc>
          <w:tcPr>
            <w:tcW w:w="4779" w:type="dxa"/>
            <w:tcBorders/>
          </w:tcPr>
          <w:p>
            <w:pPr>
              <w:pStyle w:val="Normal"/>
              <w:widowControl w:val="false"/>
              <w:rPr>
                <w:sz w:val="24"/>
                <w:szCs w:val="24"/>
                <w:highlight w:val="lightGray"/>
              </w:rPr>
            </w:pPr>
            <w:r>
              <w:rPr>
                <w:sz w:val="24"/>
                <w:szCs w:val="24"/>
                <w:highlight w:val="lightGray"/>
              </w:rPr>
            </w:r>
          </w:p>
        </w:tc>
        <w:tc>
          <w:tcPr>
            <w:tcW w:w="4786"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325" w:type="dxa"/>
            <w:tcBorders/>
          </w:tcPr>
          <w:p>
            <w:pPr>
              <w:pStyle w:val="Normal"/>
              <w:widowControl w:val="false"/>
              <w:rPr/>
            </w:pPr>
            <w:r>
              <w:rPr/>
            </w:r>
          </w:p>
        </w:tc>
      </w:tr>
    </w:tbl>
    <w:p>
      <w:pPr>
        <w:sectPr>
          <w:footerReference w:type="default" r:id="rId5"/>
          <w:footnotePr>
            <w:numFmt w:val="decimal"/>
          </w:footnotePr>
          <w:type w:val="nextPage"/>
          <w:pgSz w:w="11906" w:h="16838"/>
          <w:pgMar w:left="1418" w:right="851" w:gutter="0" w:header="0" w:top="709" w:footer="709" w:bottom="1134"/>
          <w:pgNumType w:fmt="decimal"/>
          <w:formProt w:val="false"/>
          <w:titlePg/>
          <w:textDirection w:val="lrTb"/>
          <w:docGrid w:type="default" w:linePitch="360" w:charSpace="24576"/>
        </w:sectPr>
      </w:pPr>
    </w:p>
    <w:p>
      <w:pPr>
        <w:pStyle w:val="Normal"/>
        <w:ind w:left="5103" w:right="96" w:hanging="0"/>
        <w:jc w:val="right"/>
        <w:rPr/>
      </w:pPr>
      <w:r>
        <w:rPr>
          <w:sz w:val="22"/>
          <w:szCs w:val="22"/>
        </w:rPr>
        <w:t>Приложение № 1</w:t>
      </w:r>
    </w:p>
    <w:p>
      <w:pPr>
        <w:pStyle w:val="Normal"/>
        <w:ind w:left="5103" w:right="96" w:hanging="0"/>
        <w:jc w:val="right"/>
        <w:rPr/>
      </w:pPr>
      <w:r>
        <w:rPr>
          <w:sz w:val="22"/>
          <w:szCs w:val="22"/>
        </w:rPr>
        <w:t>к Договору поставки</w:t>
      </w:r>
    </w:p>
    <w:p>
      <w:pPr>
        <w:pStyle w:val="Normal"/>
        <w:ind w:left="5103" w:right="96" w:hanging="0"/>
        <w:jc w:val="right"/>
        <w:rPr/>
      </w:pPr>
      <w:r>
        <w:rPr>
          <w:sz w:val="22"/>
          <w:szCs w:val="22"/>
        </w:rPr>
        <w:t>от «____» __________ 20 _ г. № _____</w:t>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10305" w:type="dxa"/>
        <w:jc w:val="left"/>
        <w:tblInd w:w="-714" w:type="dxa"/>
        <w:tblLayout w:type="fixed"/>
        <w:tblCellMar>
          <w:top w:w="0" w:type="dxa"/>
          <w:left w:w="108" w:type="dxa"/>
          <w:bottom w:w="0" w:type="dxa"/>
          <w:right w:w="108" w:type="dxa"/>
        </w:tblCellMar>
        <w:tblLook w:noVBand="1" w:val="04a0" w:noHBand="0" w:lastColumn="0" w:firstColumn="1" w:lastRow="0" w:firstRow="1"/>
      </w:tblPr>
      <w:tblGrid>
        <w:gridCol w:w="454"/>
        <w:gridCol w:w="388"/>
        <w:gridCol w:w="602"/>
        <w:gridCol w:w="611"/>
        <w:gridCol w:w="613"/>
        <w:gridCol w:w="772"/>
        <w:gridCol w:w="728"/>
        <w:gridCol w:w="622"/>
        <w:gridCol w:w="732"/>
        <w:gridCol w:w="689"/>
        <w:gridCol w:w="515"/>
        <w:gridCol w:w="648"/>
        <w:gridCol w:w="551"/>
        <w:gridCol w:w="515"/>
        <w:gridCol w:w="717"/>
        <w:gridCol w:w="1145"/>
      </w:tblGrid>
      <w:tr>
        <w:trPr>
          <w:trHeight w:val="526" w:hRule="atLeast"/>
        </w:trPr>
        <w:tc>
          <w:tcPr>
            <w:tcW w:w="4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партии</w:t>
            </w:r>
          </w:p>
        </w:tc>
        <w:tc>
          <w:tcPr>
            <w:tcW w:w="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7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18"/>
            </w:r>
          </w:p>
        </w:tc>
        <w:tc>
          <w:tcPr>
            <w:tcW w:w="7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19"/>
            </w:r>
          </w:p>
          <w:p>
            <w:pPr>
              <w:pStyle w:val="Normal"/>
              <w:widowControl w:val="false"/>
              <w:jc w:val="center"/>
              <w:rPr>
                <w:bCs/>
              </w:rPr>
            </w:pPr>
            <w:r>
              <w:rPr>
                <w:bCs/>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45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1</w:t>
            </w:r>
          </w:p>
        </w:tc>
        <w:tc>
          <w:tcPr>
            <w:tcW w:w="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0"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№1</w:t>
            </w:r>
            <w:r>
              <w:rPr/>
              <w:t>, руб. с НДС*</w:t>
            </w:r>
          </w:p>
        </w:tc>
        <w:tc>
          <w:tcPr>
            <w:tcW w:w="186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t>2</w:t>
            </w:r>
          </w:p>
        </w:tc>
        <w:tc>
          <w:tcPr>
            <w:tcW w:w="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3</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45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highlight w:val="lightGray"/>
              </w:rPr>
            </w:pPr>
            <w:r>
              <w:rPr>
                <w:bCs/>
                <w:highlight w:val="lightGray"/>
              </w:rPr>
            </w:r>
          </w:p>
        </w:tc>
        <w:tc>
          <w:tcPr>
            <w:tcW w:w="38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4</w:t>
            </w:r>
          </w:p>
        </w:tc>
        <w:tc>
          <w:tcPr>
            <w:tcW w:w="6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11"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1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7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2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8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11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8440"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партии Товара №2</w:t>
            </w:r>
            <w:r>
              <w:rPr/>
              <w:t>, руб. с НДС*</w:t>
            </w:r>
          </w:p>
        </w:tc>
        <w:tc>
          <w:tcPr>
            <w:tcW w:w="186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262" w:hRule="atLeast"/>
        </w:trPr>
        <w:tc>
          <w:tcPr>
            <w:tcW w:w="8440"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highlight w:val="yellow"/>
              </w:rPr>
            </w:pPr>
            <w:r>
              <w:rPr>
                <w:highlight w:val="lightGray"/>
              </w:rPr>
              <w:t>Итого стоимость всего Товара (с учетом доставки), руб. с НДС*:</w:t>
            </w:r>
          </w:p>
        </w:tc>
        <w:tc>
          <w:tcPr>
            <w:tcW w:w="186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bl>
    <w:p>
      <w:pPr>
        <w:pStyle w:val="Normal"/>
        <w:ind w:left="-737" w:right="737" w:hanging="0"/>
        <w:jc w:val="both"/>
        <w:rPr>
          <w:i/>
          <w:i/>
          <w:iCs/>
          <w:sz w:val="22"/>
          <w:szCs w:val="22"/>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ind w:left="-737" w:right="737" w:hanging="0"/>
        <w:jc w:val="both"/>
        <w:rPr/>
      </w:pPr>
      <w:r>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spacing w:lineRule="auto" w:line="259"/>
        <w:rPr>
          <w:rFonts w:eastAsia="Calibri"/>
          <w:b/>
          <w:sz w:val="24"/>
          <w:szCs w:val="24"/>
          <w:lang w:eastAsia="en-US"/>
        </w:rPr>
      </w:pPr>
      <w:r>
        <w:rPr>
          <w:rFonts w:eastAsia="Calibri"/>
          <w:b/>
          <w:sz w:val="24"/>
          <w:szCs w:val="24"/>
          <w:lang w:eastAsia="en-US"/>
        </w:rPr>
      </w:r>
    </w:p>
    <w:p>
      <w:pPr>
        <w:pStyle w:val="Normal"/>
        <w:widowControl/>
        <w:spacing w:lineRule="auto" w:line="259"/>
        <w:rPr>
          <w:rFonts w:eastAsia="Calibri"/>
          <w:b/>
          <w:sz w:val="24"/>
          <w:szCs w:val="24"/>
          <w:lang w:eastAsia="en-US"/>
        </w:rPr>
      </w:pPr>
      <w:r>
        <w:rPr>
          <w:rFonts w:eastAsia="Calibri"/>
          <w:b/>
          <w:sz w:val="24"/>
          <w:szCs w:val="24"/>
          <w:lang w:eastAsia="en-US"/>
        </w:rPr>
      </w:r>
    </w:p>
    <w:p>
      <w:pPr>
        <w:pStyle w:val="Normal"/>
        <w:widowControl/>
        <w:spacing w:lineRule="auto" w:line="259"/>
        <w:jc w:val="center"/>
        <w:rPr>
          <w:rFonts w:eastAsia="Calibri"/>
          <w:b/>
          <w:sz w:val="24"/>
          <w:szCs w:val="24"/>
          <w:lang w:eastAsia="en-US"/>
        </w:rPr>
      </w:pPr>
      <w:r>
        <w:rPr>
          <w:rFonts w:eastAsia="Calibri"/>
          <w:b/>
          <w:sz w:val="24"/>
          <w:szCs w:val="24"/>
          <w:lang w:eastAsia="en-US"/>
        </w:rPr>
      </w:r>
    </w:p>
    <w:p>
      <w:pPr>
        <w:pStyle w:val="Normal"/>
        <w:widowControl/>
        <w:spacing w:lineRule="auto" w:line="259"/>
        <w:jc w:val="center"/>
        <w:rPr>
          <w:rFonts w:eastAsia="Calibri"/>
          <w:b/>
          <w:sz w:val="24"/>
          <w:szCs w:val="24"/>
          <w:lang w:eastAsia="en-US"/>
        </w:rPr>
      </w:pPr>
      <w:r>
        <w:rPr>
          <w:rFonts w:eastAsia="Calibri"/>
          <w:b/>
          <w:sz w:val="24"/>
          <w:szCs w:val="24"/>
          <w:lang w:eastAsia="en-US"/>
        </w:rPr>
      </w:r>
    </w:p>
    <w:p>
      <w:pPr>
        <w:pStyle w:val="Normal"/>
        <w:widowControl/>
        <w:spacing w:lineRule="auto" w:line="259"/>
        <w:jc w:val="center"/>
        <w:rPr>
          <w:rFonts w:eastAsia="Calibri"/>
          <w:b/>
          <w:sz w:val="24"/>
          <w:szCs w:val="24"/>
          <w:lang w:eastAsia="en-US"/>
        </w:rPr>
      </w:pPr>
      <w:r>
        <w:rPr>
          <w:rFonts w:eastAsia="Calibri"/>
          <w:b/>
          <w:sz w:val="24"/>
          <w:szCs w:val="24"/>
          <w:lang w:eastAsia="en-US"/>
        </w:rPr>
      </w:r>
    </w:p>
    <w:p>
      <w:pPr>
        <w:pStyle w:val="Normal"/>
        <w:ind w:right="96" w:firstLine="5103"/>
        <w:jc w:val="right"/>
        <w:rPr/>
      </w:pPr>
      <w:r>
        <w:rPr>
          <w:sz w:val="22"/>
          <w:szCs w:val="22"/>
        </w:rPr>
        <w:t>Приложение № 2</w:t>
      </w:r>
    </w:p>
    <w:p>
      <w:pPr>
        <w:pStyle w:val="Normal"/>
        <w:ind w:right="96" w:firstLine="5103"/>
        <w:jc w:val="right"/>
        <w:rPr/>
      </w:pPr>
      <w:r>
        <w:rPr>
          <w:sz w:val="22"/>
          <w:szCs w:val="22"/>
        </w:rPr>
        <w:t xml:space="preserve">к Договору поставки </w:t>
      </w:r>
    </w:p>
    <w:p>
      <w:pPr>
        <w:pStyle w:val="Normal"/>
        <w:ind w:right="96" w:firstLine="5103"/>
        <w:jc w:val="right"/>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sectPr>
          <w:footerReference w:type="default" r:id="rId6"/>
          <w:footerReference w:type="first" r:id="rId7"/>
          <w:footnotePr>
            <w:numFmt w:val="decimal"/>
          </w:footnotePr>
          <w:type w:val="nextPage"/>
          <w:pgSz w:w="11906" w:h="16838"/>
          <w:pgMar w:left="1418" w:right="851" w:gutter="0" w:header="0" w:top="567" w:footer="709" w:bottom="1134"/>
          <w:pgNumType w:fmt="decimal"/>
          <w:formProt w:val="false"/>
          <w:textDirection w:val="lrTb"/>
          <w:docGrid w:type="default" w:linePitch="360" w:charSpace="24576"/>
        </w:sectPr>
      </w:pPr>
    </w:p>
    <w:p>
      <w:pPr>
        <w:pStyle w:val="Normal"/>
        <w:ind w:left="5103" w:right="96" w:hanging="0"/>
        <w:jc w:val="right"/>
        <w:rPr>
          <w:sz w:val="22"/>
          <w:szCs w:val="22"/>
        </w:rPr>
      </w:pPr>
      <w:r>
        <w:rPr>
          <w:sz w:val="22"/>
          <w:szCs w:val="22"/>
        </w:rPr>
        <w:t>Приложение № 3</w:t>
      </w:r>
    </w:p>
    <w:p>
      <w:pPr>
        <w:pStyle w:val="Normal"/>
        <w:ind w:right="96" w:firstLine="5103"/>
        <w:jc w:val="right"/>
        <w:rPr/>
      </w:pPr>
      <w:r>
        <w:rPr>
          <w:sz w:val="22"/>
          <w:szCs w:val="22"/>
        </w:rPr>
        <w:t>к Договору поставки</w:t>
      </w:r>
    </w:p>
    <w:p>
      <w:pPr>
        <w:pStyle w:val="Normal"/>
        <w:ind w:right="96" w:firstLine="5103"/>
        <w:jc w:val="right"/>
        <w:rPr/>
      </w:pPr>
      <w:r>
        <w:rPr>
          <w:sz w:val="22"/>
          <w:szCs w:val="22"/>
        </w:rPr>
        <w:t>от «____» __________ 20 _ г. № ____</w:t>
      </w:r>
    </w:p>
    <w:p>
      <w:pPr>
        <w:pStyle w:val="Normal"/>
        <w:jc w:val="center"/>
        <w:rPr>
          <w:b/>
          <w:sz w:val="24"/>
          <w:szCs w:val="24"/>
        </w:rPr>
      </w:pPr>
      <w:r>
        <w:rPr>
          <w:b/>
          <w:sz w:val="24"/>
          <w:szCs w:val="24"/>
        </w:rPr>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Календарный график поставки Товара </w:t>
      </w:r>
    </w:p>
    <w:p>
      <w:pPr>
        <w:pStyle w:val="Normal"/>
        <w:rPr>
          <w:sz w:val="24"/>
          <w:szCs w:val="24"/>
        </w:rPr>
      </w:pPr>
      <w:r>
        <w:rPr>
          <w:sz w:val="24"/>
          <w:szCs w:val="24"/>
        </w:rPr>
      </w:r>
    </w:p>
    <w:p>
      <w:pPr>
        <w:pStyle w:val="Normal"/>
        <w:rPr>
          <w:sz w:val="24"/>
          <w:szCs w:val="24"/>
        </w:rPr>
      </w:pPr>
      <w:r>
        <w:rPr>
          <w:sz w:val="24"/>
          <w:szCs w:val="24"/>
        </w:rPr>
        <w:t>Таблица 1. Календарный график поставки Товара</w:t>
      </w:r>
    </w:p>
    <w:p>
      <w:pPr>
        <w:pStyle w:val="Normal"/>
        <w:rPr>
          <w:sz w:val="24"/>
          <w:szCs w:val="24"/>
        </w:rPr>
      </w:pPr>
      <w:r>
        <w:rPr>
          <w:sz w:val="24"/>
          <w:szCs w:val="24"/>
        </w:rPr>
      </w:r>
    </w:p>
    <w:tbl>
      <w:tblPr>
        <w:tblW w:w="9918"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707"/>
        <w:gridCol w:w="1835"/>
        <w:gridCol w:w="1847"/>
        <w:gridCol w:w="1844"/>
        <w:gridCol w:w="1138"/>
        <w:gridCol w:w="1196"/>
        <w:gridCol w:w="1350"/>
      </w:tblGrid>
      <w:tr>
        <w:trPr>
          <w:trHeight w:val="1150" w:hRule="atLeast"/>
        </w:trPr>
        <w:tc>
          <w:tcPr>
            <w:tcW w:w="70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 xml:space="preserve">№ </w:t>
            </w:r>
            <w:r>
              <w:rPr/>
              <w:t xml:space="preserve">партии </w:t>
            </w:r>
          </w:p>
        </w:tc>
        <w:tc>
          <w:tcPr>
            <w:tcW w:w="18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Наименование Товара (партии Товара)</w:t>
            </w:r>
          </w:p>
        </w:tc>
        <w:tc>
          <w:tcPr>
            <w:tcW w:w="184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 xml:space="preserve">Обоснование стоимости, пункт Спецификации </w:t>
            </w:r>
          </w:p>
        </w:tc>
        <w:tc>
          <w:tcPr>
            <w:tcW w:w="184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Дата поставки Товара</w:t>
            </w:r>
          </w:p>
          <w:p>
            <w:pPr>
              <w:pStyle w:val="Normal"/>
              <w:widowControl w:val="false"/>
              <w:jc w:val="center"/>
              <w:rPr/>
            </w:pPr>
            <w:r>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Цена, руб. без НДС</w:t>
            </w:r>
          </w:p>
        </w:tc>
        <w:tc>
          <w:tcPr>
            <w:tcW w:w="119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Сумма НДС (___%), руб.*</w:t>
            </w:r>
          </w:p>
        </w:tc>
        <w:tc>
          <w:tcPr>
            <w:tcW w:w="13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Стоимость партии, руб. с НДС*</w:t>
            </w:r>
          </w:p>
        </w:tc>
      </w:tr>
      <w:tr>
        <w:trPr/>
        <w:tc>
          <w:tcPr>
            <w:tcW w:w="7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1.</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2.</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3.</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7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sz w:val="24"/>
                <w:szCs w:val="24"/>
              </w:rPr>
              <w:t>4.</w:t>
            </w:r>
          </w:p>
        </w:tc>
        <w:tc>
          <w:tcPr>
            <w:tcW w:w="1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84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1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r>
        <w:trPr/>
        <w:tc>
          <w:tcPr>
            <w:tcW w:w="8567"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b/>
                <w:sz w:val="24"/>
                <w:szCs w:val="24"/>
              </w:rPr>
            </w:pPr>
            <w:r>
              <w:rPr>
                <w:b/>
                <w:sz w:val="24"/>
                <w:szCs w:val="24"/>
              </w:rPr>
              <w:t>Всего по Договору:</w:t>
            </w:r>
          </w:p>
        </w:tc>
        <w:tc>
          <w:tcPr>
            <w:tcW w:w="13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 w:val="24"/>
                <w:szCs w:val="24"/>
              </w:rPr>
            </w:pPr>
            <w:r>
              <w:rPr>
                <w:sz w:val="24"/>
                <w:szCs w:val="24"/>
              </w:rPr>
            </w:r>
          </w:p>
        </w:tc>
      </w:tr>
    </w:tbl>
    <w:p>
      <w:pPr>
        <w:pStyle w:val="Normal"/>
        <w:ind w:right="-283" w:hanging="0"/>
        <w:jc w:val="both"/>
        <w:rPr>
          <w:i/>
          <w:i/>
          <w:iCs/>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rPr>
          <w:sz w:val="24"/>
          <w:szCs w:val="24"/>
        </w:rPr>
      </w:pPr>
      <w:r>
        <w:rPr>
          <w:sz w:val="24"/>
          <w:szCs w:val="24"/>
        </w:rPr>
      </w:r>
    </w:p>
    <w:p>
      <w:pPr>
        <w:pStyle w:val="Normal"/>
        <w:rPr>
          <w:sz w:val="24"/>
          <w:szCs w:val="24"/>
        </w:rPr>
      </w:pPr>
      <w:r>
        <w:rPr>
          <w:sz w:val="24"/>
          <w:szCs w:val="24"/>
        </w:rPr>
      </w:r>
    </w:p>
    <w:p>
      <w:pPr>
        <w:pStyle w:val="Normal"/>
        <w:tabs>
          <w:tab w:val="clear" w:pos="709"/>
          <w:tab w:val="left" w:pos="4860" w:leader="none"/>
        </w:tabs>
        <w:rPr>
          <w:b/>
          <w:sz w:val="24"/>
          <w:szCs w:val="24"/>
        </w:rPr>
      </w:pPr>
      <w:r>
        <w:rPr>
          <w:b/>
          <w:sz w:val="24"/>
          <w:szCs w:val="24"/>
        </w:rPr>
      </w:r>
    </w:p>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10099"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4"/>
        <w:gridCol w:w="5104"/>
      </w:tblGrid>
      <w:tr>
        <w:trPr/>
        <w:tc>
          <w:tcPr>
            <w:tcW w:w="4994"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5104"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ind w:right="96" w:firstLine="5103"/>
        <w:jc w:val="right"/>
        <w:rPr/>
      </w:pPr>
      <w:r>
        <w:rPr>
          <w:sz w:val="22"/>
          <w:szCs w:val="22"/>
        </w:rPr>
        <w:t>Приложение № 4</w:t>
      </w:r>
    </w:p>
    <w:p>
      <w:pPr>
        <w:pStyle w:val="Normal"/>
        <w:ind w:right="96" w:firstLine="5103"/>
        <w:jc w:val="right"/>
        <w:rPr/>
      </w:pPr>
      <w:r>
        <w:rPr>
          <w:sz w:val="22"/>
          <w:szCs w:val="22"/>
        </w:rPr>
        <w:t>к Договору поставки</w:t>
      </w:r>
    </w:p>
    <w:p>
      <w:pPr>
        <w:pStyle w:val="Normal"/>
        <w:ind w:firstLine="5103"/>
        <w:jc w:val="right"/>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lang w:val="en-GB"/>
        </w:rPr>
        <w:footnoteReference w:id="20"/>
      </w:r>
      <w:r>
        <w:rPr>
          <w:sz w:val="24"/>
          <w:szCs w:val="24"/>
        </w:rPr>
        <w:t>, а также соответствовать следующим критериям:</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5"/>
        </w:numPr>
        <w:tabs>
          <w:tab w:val="clear" w:pos="709"/>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8">
        <w:r>
          <w:rPr>
            <w:rStyle w:val="Hyperlink"/>
            <w:color w:val="auto"/>
            <w:sz w:val="24"/>
            <w:szCs w:val="24"/>
          </w:rPr>
          <w:t>www.cbr.ru</w:t>
        </w:r>
      </w:hyperlink>
      <w:r>
        <w:rPr>
          <w:sz w:val="24"/>
          <w:szCs w:val="24"/>
        </w:rPr>
        <w:t xml:space="preserve">) на официальных сайтах ЦБ РФ и/ или кредитной организации либо представленной кредитной организации Заказчику. </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lang w:val="en-GB"/>
        </w:rPr>
        <w:footnoteReference w:id="21"/>
      </w:r>
      <w:r>
        <w:rPr>
          <w:sz w:val="24"/>
          <w:szCs w:val="24"/>
        </w:rPr>
        <w:t xml:space="preserve">. </w:t>
      </w:r>
    </w:p>
    <w:p>
      <w:pPr>
        <w:pStyle w:val="Normal"/>
        <w:widowControl/>
        <w:numPr>
          <w:ilvl w:val="1"/>
          <w:numId w:val="15"/>
        </w:numPr>
        <w:tabs>
          <w:tab w:val="clear" w:pos="709"/>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lang w:val="en-GB"/>
        </w:rPr>
        <w:footnoteReference w:id="22"/>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Не иметь просроченную задолженность перед Обществом и компаниями Группы РусГидро.</w:t>
      </w:r>
    </w:p>
    <w:p>
      <w:pPr>
        <w:pStyle w:val="Normal"/>
        <w:widowControl/>
        <w:numPr>
          <w:ilvl w:val="1"/>
          <w:numId w:val="15"/>
        </w:numPr>
        <w:tabs>
          <w:tab w:val="clear" w:pos="709"/>
          <w:tab w:val="left" w:pos="1134" w:leader="none"/>
        </w:tabs>
        <w:ind w:left="0" w:firstLine="710"/>
        <w:jc w:val="both"/>
        <w:rPr>
          <w:sz w:val="24"/>
          <w:szCs w:val="24"/>
        </w:rPr>
      </w:pPr>
      <w:r>
        <w:rPr>
          <w:sz w:val="24"/>
          <w:szCs w:val="24"/>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sz w:val="24"/>
          <w:szCs w:val="24"/>
          <w:lang w:val="en-GB"/>
        </w:rPr>
        <w:footnoteReference w:id="23"/>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6"/>
        </w:numPr>
        <w:tabs>
          <w:tab w:val="clear" w:pos="709"/>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numPr>
          <w:ilvl w:val="1"/>
          <w:numId w:val="16"/>
        </w:numPr>
        <w:tabs>
          <w:tab w:val="clear" w:pos="709"/>
          <w:tab w:val="left" w:pos="1134" w:leader="none"/>
        </w:tabs>
        <w:ind w:left="0" w:firstLine="709"/>
        <w:rPr>
          <w:sz w:val="24"/>
          <w:szCs w:val="24"/>
        </w:rPr>
      </w:pPr>
      <w:r>
        <w:rPr>
          <w:sz w:val="24"/>
          <w:szCs w:val="24"/>
          <w:lang w:val="en-GB"/>
        </w:rPr>
        <w:t>Нерезидентов Российской Федерации.</w:t>
      </w:r>
    </w:p>
    <w:p>
      <w:pPr>
        <w:pStyle w:val="Normal"/>
        <w:widowControl/>
        <w:numPr>
          <w:ilvl w:val="1"/>
          <w:numId w:val="15"/>
        </w:numPr>
        <w:tabs>
          <w:tab w:val="clear" w:pos="709"/>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jc w:val="both"/>
        <w:rPr>
          <w:sz w:val="24"/>
          <w:szCs w:val="24"/>
        </w:rPr>
      </w:pPr>
      <w:r>
        <w:rPr>
          <w:sz w:val="24"/>
          <w:szCs w:val="24"/>
        </w:rPr>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p>
      <w:pPr>
        <w:pStyle w:val="Normal"/>
        <w:widowControl/>
        <w:tabs>
          <w:tab w:val="clear" w:pos="709"/>
          <w:tab w:val="left" w:pos="1134" w:leader="none"/>
        </w:tabs>
        <w:ind w:firstLine="709"/>
        <w:jc w:val="center"/>
        <w:rPr>
          <w:sz w:val="24"/>
          <w:szCs w:val="24"/>
          <w:lang w:val="en-GB"/>
        </w:rPr>
      </w:pPr>
      <w:r>
        <w:rPr>
          <w:sz w:val="24"/>
          <w:szCs w:val="24"/>
          <w:lang w:val="en-GB"/>
        </w:rPr>
      </w:r>
    </w:p>
    <w:tbl>
      <w:tblPr>
        <w:tblW w:w="9606"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817"/>
        <w:gridCol w:w="280"/>
        <w:gridCol w:w="8509"/>
      </w:tblGrid>
      <w:tr>
        <w:trPr>
          <w:trHeight w:val="426" w:hRule="atLeast"/>
        </w:trPr>
        <w:tc>
          <w:tcPr>
            <w:tcW w:w="817" w:type="dxa"/>
            <w:tcBorders/>
            <w:shd w:color="auto" w:fill="auto" w:val="clear"/>
          </w:tcPr>
          <w:p>
            <w:pPr>
              <w:pStyle w:val="Normal"/>
              <w:widowControl w:val="false"/>
              <w:ind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Лимит риска для i-ой кредитной организации</w:t>
            </w:r>
            <w:r>
              <w:rPr>
                <w:rStyle w:val="FootnoteReference"/>
                <w:sz w:val="24"/>
                <w:szCs w:val="24"/>
              </w:rPr>
              <w:footnoteReference w:id="24"/>
            </w:r>
            <w:r>
              <w:rPr>
                <w:sz w:val="24"/>
                <w:szCs w:val="24"/>
              </w:rPr>
              <w:t>.</w:t>
            </w:r>
          </w:p>
        </w:tc>
      </w:tr>
      <w:tr>
        <w:trPr>
          <w:trHeight w:val="280" w:hRule="atLeast"/>
        </w:trPr>
        <w:tc>
          <w:tcPr>
            <w:tcW w:w="817" w:type="dxa"/>
            <w:tcBorders/>
            <w:shd w:color="auto" w:fill="auto" w:val="clear"/>
          </w:tcPr>
          <w:p>
            <w:pPr>
              <w:pStyle w:val="Normal"/>
              <w:widowControl w:val="false"/>
              <w:ind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ind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9">
              <w:r>
                <w:rPr>
                  <w:rStyle w:val="Hyperlink"/>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r>
      <w:tr>
        <w:trPr>
          <w:trHeight w:val="993" w:hRule="atLeast"/>
        </w:trPr>
        <w:tc>
          <w:tcPr>
            <w:tcW w:w="817" w:type="dxa"/>
            <w:tcBorders/>
          </w:tcPr>
          <w:p>
            <w:pPr>
              <w:pStyle w:val="Normal"/>
              <w:widowControl w:val="false"/>
              <w:ind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ind w:right="-108" w:hanging="0"/>
              <w:rPr>
                <w:sz w:val="24"/>
                <w:szCs w:val="24"/>
              </w:rPr>
            </w:pPr>
            <w:r>
              <w:rPr>
                <w:sz w:val="24"/>
                <w:szCs w:val="24"/>
              </w:rPr>
              <w:t>-</w:t>
            </w:r>
          </w:p>
        </w:tc>
        <w:tc>
          <w:tcPr>
            <w:tcW w:w="8509" w:type="dxa"/>
            <w:tcBorders/>
          </w:tcPr>
          <w:p>
            <w:pPr>
              <w:pStyle w:val="Normal"/>
              <w:widowControl w:val="false"/>
              <w:tabs>
                <w:tab w:val="left" w:pos="709" w:leader="none"/>
                <w:tab w:val="left" w:pos="851" w:leader="none"/>
              </w:tabs>
              <w:ind w:left="680" w:hanging="0"/>
              <w:jc w:val="both"/>
              <w:rPr/>
            </w:pPr>
            <w:r>
              <w:rPr>
                <w:sz w:val="24"/>
                <w:szCs w:val="24"/>
              </w:rPr>
              <w:t>рейтинговый коэффициент</w:t>
            </w:r>
            <w:r>
              <w:rPr>
                <w:rStyle w:val="FootnoteReference"/>
                <w:sz w:val="24"/>
                <w:szCs w:val="24"/>
              </w:rPr>
              <w:footnoteReference w:id="25"/>
            </w:r>
            <w:r>
              <w:rPr>
                <w:sz w:val="24"/>
                <w:szCs w:val="24"/>
              </w:rPr>
              <w:t xml:space="preserve"> для i-ой кредитной организации, равный:</w:t>
            </w:r>
          </w:p>
          <w:p>
            <w:pPr>
              <w:pStyle w:val="Normal"/>
              <w:widowControl w:val="false"/>
              <w:tabs>
                <w:tab w:val="left" w:pos="709" w:leader="none"/>
                <w:tab w:val="left" w:pos="851" w:leader="none"/>
              </w:tabs>
              <w:ind w:right="-108" w:firstLine="709"/>
              <w:jc w:val="both"/>
              <w:rPr>
                <w:sz w:val="24"/>
                <w:szCs w:val="24"/>
              </w:rPr>
            </w:pPr>
            <w:r>
              <w:rPr>
                <w:b/>
                <w:sz w:val="24"/>
                <w:szCs w:val="24"/>
              </w:rPr>
              <w:t>0,075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tabs>
                <w:tab w:val="left" w:pos="709" w:leader="none"/>
                <w:tab w:val="left" w:pos="851" w:leader="none"/>
              </w:tabs>
              <w:ind w:right="-108" w:firstLine="709"/>
              <w:jc w:val="both"/>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tabs>
                <w:tab w:val="clear" w:pos="709"/>
                <w:tab w:val="left" w:pos="7130" w:leader="none"/>
              </w:tabs>
              <w:ind w:right="-108" w:firstLine="567"/>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134" w:leader="none"/>
        </w:tabs>
        <w:ind w:firstLine="709"/>
        <w:jc w:val="center"/>
        <w:rPr>
          <w:sz w:val="24"/>
          <w:szCs w:val="24"/>
        </w:rPr>
      </w:pPr>
      <w:r>
        <w:rPr>
          <w:sz w:val="24"/>
          <w:szCs w:val="24"/>
        </w:rPr>
      </w:r>
    </w:p>
    <w:p>
      <w:pPr>
        <w:pStyle w:val="Normal"/>
        <w:widowControl/>
        <w:tabs>
          <w:tab w:val="clear" w:pos="709"/>
          <w:tab w:val="left" w:pos="1134" w:leader="none"/>
        </w:tabs>
        <w:ind w:firstLine="709"/>
        <w:jc w:val="center"/>
        <w:rPr>
          <w:sz w:val="24"/>
          <w:szCs w:val="24"/>
        </w:rPr>
      </w:pPr>
      <w:r>
        <w:rPr>
          <w:sz w:val="24"/>
          <w:szCs w:val="24"/>
        </w:rPr>
      </w:r>
    </w:p>
    <w:p>
      <w:pPr>
        <w:pStyle w:val="Normal"/>
        <w:widowControl/>
        <w:tabs>
          <w:tab w:val="clear" w:pos="709"/>
          <w:tab w:val="left" w:pos="1425" w:leader="none"/>
        </w:tabs>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961"/>
        <w:gridCol w:w="8789"/>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89"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878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ind w:right="96" w:firstLine="5103"/>
        <w:rPr>
          <w:sz w:val="22"/>
          <w:szCs w:val="22"/>
        </w:rPr>
      </w:pPr>
      <w:r>
        <w:rPr>
          <w:sz w:val="22"/>
          <w:szCs w:val="22"/>
        </w:rPr>
        <w:t>Приложение № 5</w:t>
      </w:r>
    </w:p>
    <w:p>
      <w:pPr>
        <w:pStyle w:val="Normal"/>
        <w:ind w:right="96" w:firstLine="5103"/>
        <w:rPr>
          <w:sz w:val="22"/>
          <w:szCs w:val="22"/>
        </w:rPr>
      </w:pPr>
      <w:r>
        <w:rPr>
          <w:sz w:val="22"/>
          <w:szCs w:val="22"/>
        </w:rPr>
        <w:t>к Договору поставки</w:t>
      </w:r>
    </w:p>
    <w:p>
      <w:pPr>
        <w:pStyle w:val="Normal"/>
        <w:ind w:firstLine="5103"/>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noVBand="0" w:val="01e0" w:noHBand="0" w:lastColumn="1" w:firstColumn="1" w:lastRow="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ind w:left="5103" w:hanging="0"/>
        <w:rPr>
          <w:b/>
          <w:bCs/>
          <w:sz w:val="24"/>
          <w:szCs w:val="24"/>
        </w:rPr>
      </w:pPr>
      <w:r>
        <w:rPr>
          <w:b/>
          <w:bCs/>
          <w:sz w:val="24"/>
          <w:szCs w:val="24"/>
        </w:rPr>
      </w:r>
    </w:p>
    <w:p>
      <w:pPr>
        <w:pStyle w:val="Normal"/>
        <w:snapToGrid w:val="false"/>
        <w:ind w:firstLine="5103"/>
        <w:rPr>
          <w:sz w:val="22"/>
          <w:szCs w:val="22"/>
          <w:highlight w:val="lightGray"/>
        </w:rPr>
      </w:pPr>
      <w:r>
        <w:rPr>
          <w:sz w:val="22"/>
          <w:szCs w:val="22"/>
          <w:highlight w:val="lightGray"/>
        </w:rPr>
        <w:t>Приложение № 6</w:t>
      </w:r>
    </w:p>
    <w:p>
      <w:pPr>
        <w:pStyle w:val="Normal"/>
        <w:snapToGrid w:val="false"/>
        <w:ind w:firstLine="5103"/>
        <w:rPr>
          <w:sz w:val="22"/>
          <w:szCs w:val="22"/>
          <w:highlight w:val="lightGray"/>
        </w:rPr>
      </w:pPr>
      <w:r>
        <w:rPr>
          <w:sz w:val="22"/>
          <w:szCs w:val="22"/>
          <w:highlight w:val="lightGray"/>
        </w:rPr>
        <w:t>к Договору поставки</w:t>
      </w:r>
    </w:p>
    <w:p>
      <w:pPr>
        <w:pStyle w:val="Normal"/>
        <w:snapToGrid w:val="false"/>
        <w:ind w:firstLine="5103"/>
        <w:rPr>
          <w:sz w:val="22"/>
          <w:szCs w:val="22"/>
        </w:rPr>
      </w:pPr>
      <w:r>
        <w:rPr>
          <w:sz w:val="22"/>
          <w:szCs w:val="22"/>
          <w:highlight w:val="lightGray"/>
        </w:rPr>
        <w:t>от «____» __________ 20 _ г. № ____</w:t>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center"/>
        <w:rPr>
          <w:bCs/>
          <w:sz w:val="28"/>
          <w:szCs w:val="28"/>
        </w:rPr>
      </w:pPr>
      <w:r>
        <w:rPr>
          <w:bCs/>
          <w:sz w:val="28"/>
          <w:szCs w:val="28"/>
        </w:rPr>
        <w:t>Регламент взаимодействия в ходе исполнения процессов управления проектом</w:t>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center"/>
        <w:rPr>
          <w:bCs/>
        </w:rPr>
      </w:pPr>
      <w:r>
        <w:rPr>
          <w:bCs/>
        </w:rPr>
      </w:r>
    </w:p>
    <w:p>
      <w:pPr>
        <w:pStyle w:val="ListParagraph"/>
        <w:shd w:val="clear" w:color="auto" w:fill="FFFFFF"/>
        <w:ind w:left="0" w:hanging="0"/>
        <w:jc w:val="both"/>
        <w:rPr>
          <w:bCs/>
        </w:rPr>
      </w:pPr>
      <w:r>
        <w:rPr>
          <w:bCs/>
        </w:rPr>
      </w:r>
    </w:p>
    <w:p>
      <w:pPr>
        <w:pStyle w:val="Normal"/>
        <w:ind w:left="5103" w:hanging="0"/>
        <w:jc w:val="center"/>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widowControl/>
        <w:ind w:firstLine="709"/>
        <w:jc w:val="right"/>
        <w:rPr>
          <w:sz w:val="22"/>
          <w:szCs w:val="22"/>
        </w:rPr>
      </w:pPr>
      <w:r>
        <w:rPr>
          <w:sz w:val="22"/>
          <w:szCs w:val="22"/>
        </w:rPr>
        <w:t>Приложение № 7</w:t>
      </w:r>
    </w:p>
    <w:p>
      <w:pPr>
        <w:pStyle w:val="Normal"/>
        <w:widowControl/>
        <w:jc w:val="right"/>
        <w:rPr>
          <w:sz w:val="22"/>
          <w:szCs w:val="22"/>
        </w:rPr>
      </w:pPr>
      <w:r>
        <w:rPr>
          <w:sz w:val="22"/>
          <w:szCs w:val="22"/>
        </w:rPr>
        <w:t xml:space="preserve">            </w:t>
      </w:r>
      <w:r>
        <w:rPr>
          <w:sz w:val="22"/>
          <w:szCs w:val="22"/>
        </w:rPr>
        <w:t>к Договору поставки</w:t>
      </w:r>
    </w:p>
    <w:p>
      <w:pPr>
        <w:pStyle w:val="Normal"/>
        <w:widowControl/>
        <w:jc w:val="right"/>
        <w:rPr>
          <w:sz w:val="24"/>
          <w:szCs w:val="24"/>
        </w:rPr>
      </w:pPr>
      <w:r>
        <w:rPr>
          <w:sz w:val="22"/>
          <w:szCs w:val="22"/>
        </w:rPr>
        <w:t xml:space="preserve">              </w:t>
      </w:r>
      <w:r>
        <w:rPr>
          <w:sz w:val="22"/>
          <w:szCs w:val="22"/>
        </w:rPr>
        <w:t>от «____» ________ 20 _ г. №_______</w:t>
      </w:r>
    </w:p>
    <w:p>
      <w:pPr>
        <w:pStyle w:val="Normal"/>
        <w:widowControl/>
        <w:ind w:firstLine="709"/>
        <w:jc w:val="center"/>
        <w:rPr>
          <w:szCs w:val="24"/>
        </w:rPr>
      </w:pPr>
      <w:r>
        <w:rPr>
          <w:szCs w:val="24"/>
        </w:rPr>
      </w:r>
    </w:p>
    <w:p>
      <w:pPr>
        <w:pStyle w:val="Normal"/>
        <w:spacing w:before="20" w:after="20"/>
        <w:ind w:firstLine="709"/>
        <w:jc w:val="center"/>
        <w:rPr>
          <w:b/>
          <w:sz w:val="24"/>
          <w:szCs w:val="24"/>
        </w:rPr>
      </w:pPr>
      <w:bookmarkStart w:id="12" w:name="_Toc122678954_Копия_5"/>
      <w:r>
        <w:rPr>
          <w:b/>
          <w:sz w:val="24"/>
          <w:szCs w:val="24"/>
        </w:rPr>
        <w:t>Методика расчета упущенной выгоды (выручки)</w:t>
      </w:r>
      <w:bookmarkEnd w:id="12"/>
      <w:r>
        <w:rPr>
          <w:b/>
          <w:sz w:val="24"/>
          <w:szCs w:val="24"/>
        </w:rPr>
        <w:t xml:space="preserve"> </w:t>
      </w:r>
    </w:p>
    <w:p>
      <w:pPr>
        <w:pStyle w:val="Normal"/>
        <w:spacing w:before="20" w:after="20"/>
        <w:ind w:firstLine="709"/>
        <w:jc w:val="center"/>
        <w:rPr>
          <w:b/>
          <w:sz w:val="24"/>
          <w:szCs w:val="24"/>
        </w:rPr>
      </w:pPr>
      <w:r>
        <w:rPr>
          <w:b/>
          <w:sz w:val="24"/>
          <w:szCs w:val="24"/>
        </w:rPr>
        <w:t>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отпового рынка Дальнего Востока</w:t>
      </w:r>
    </w:p>
    <w:p>
      <w:pPr>
        <w:pStyle w:val="Normal"/>
        <w:widowControl/>
        <w:spacing w:before="20" w:after="20"/>
        <w:ind w:firstLine="709"/>
        <w:jc w:val="center"/>
        <w:rPr>
          <w:sz w:val="24"/>
          <w:szCs w:val="24"/>
        </w:rPr>
      </w:pPr>
      <w:r>
        <w:rPr>
          <w:sz w:val="24"/>
          <w:szCs w:val="24"/>
        </w:rPr>
      </w:r>
    </w:p>
    <w:p>
      <w:pPr>
        <w:pStyle w:val="Normal"/>
        <w:widowControl/>
        <w:ind w:firstLine="709"/>
        <w:jc w:val="both"/>
        <w:rPr>
          <w:sz w:val="24"/>
          <w:szCs w:val="24"/>
        </w:rPr>
      </w:pPr>
      <w:r>
        <w:rPr>
          <w:sz w:val="24"/>
          <w:szCs w:val="24"/>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Normal"/>
        <w:widowControl/>
        <w:ind w:firstLine="709"/>
        <w:jc w:val="both"/>
        <w:rPr>
          <w:sz w:val="24"/>
          <w:szCs w:val="24"/>
        </w:rPr>
      </w:pPr>
      <w:r>
        <w:rPr>
          <w:sz w:val="24"/>
          <w:szCs w:val="24"/>
        </w:rPr>
        <w:t>1. 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в соответствии с п. 4 «Положения о порядке оформления, подачи, рассмотрения 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widowControl/>
        <w:spacing w:before="20" w:after="20"/>
        <w:ind w:firstLine="709"/>
        <w:jc w:val="both"/>
        <w:rPr>
          <w:sz w:val="24"/>
          <w:szCs w:val="24"/>
        </w:rPr>
      </w:pPr>
      <w:r>
        <w:rPr>
          <w:sz w:val="24"/>
          <w:szCs w:val="24"/>
        </w:rPr>
        <w:t xml:space="preserve"> </w:t>
      </w:r>
      <w:r>
        <w:rPr>
          <w:sz w:val="24"/>
          <w:szCs w:val="24"/>
        </w:rPr>
        <w:t xml:space="preserve">В заявках должны быть указаны: </w:t>
      </w:r>
    </w:p>
    <w:p>
      <w:pPr>
        <w:pStyle w:val="Normal"/>
        <w:widowControl/>
        <w:numPr>
          <w:ilvl w:val="0"/>
          <w:numId w:val="17"/>
        </w:numPr>
        <w:ind w:left="0" w:firstLine="709"/>
        <w:jc w:val="both"/>
        <w:rPr>
          <w:bCs/>
          <w:sz w:val="24"/>
          <w:szCs w:val="24"/>
          <w:lang w:val="en-GB"/>
        </w:rPr>
      </w:pPr>
      <w:r>
        <w:rPr>
          <w:bCs/>
          <w:sz w:val="24"/>
          <w:szCs w:val="24"/>
          <w:lang w:val="en-GB"/>
        </w:rPr>
        <w:t>номер заявки;</w:t>
      </w:r>
    </w:p>
    <w:p>
      <w:pPr>
        <w:pStyle w:val="Normal"/>
        <w:widowControl/>
        <w:numPr>
          <w:ilvl w:val="0"/>
          <w:numId w:val="17"/>
        </w:numPr>
        <w:ind w:left="0" w:firstLine="709"/>
        <w:jc w:val="both"/>
        <w:rPr>
          <w:bCs/>
          <w:sz w:val="24"/>
          <w:szCs w:val="24"/>
          <w:lang w:val="en-GB"/>
        </w:rPr>
      </w:pPr>
      <w:r>
        <w:rPr>
          <w:bCs/>
          <w:sz w:val="24"/>
          <w:szCs w:val="24"/>
          <w:lang w:val="en-GB"/>
        </w:rPr>
        <w:t>подающее предприятие;</w:t>
      </w:r>
    </w:p>
    <w:p>
      <w:pPr>
        <w:pStyle w:val="Normal"/>
        <w:widowControl/>
        <w:numPr>
          <w:ilvl w:val="0"/>
          <w:numId w:val="17"/>
        </w:numPr>
        <w:ind w:left="0" w:firstLine="709"/>
        <w:jc w:val="both"/>
        <w:rPr>
          <w:bCs/>
          <w:sz w:val="24"/>
          <w:szCs w:val="24"/>
        </w:rPr>
      </w:pPr>
      <w:r>
        <w:rPr>
          <w:bCs/>
          <w:sz w:val="24"/>
          <w:szCs w:val="24"/>
        </w:rPr>
        <w:t>оборудование, по которому фиксируется изменение эксплуатационного состояния или технологического режима работы;</w:t>
      </w:r>
    </w:p>
    <w:p>
      <w:pPr>
        <w:pStyle w:val="Normal"/>
        <w:widowControl/>
        <w:numPr>
          <w:ilvl w:val="0"/>
          <w:numId w:val="17"/>
        </w:numPr>
        <w:ind w:left="0" w:firstLine="709"/>
        <w:jc w:val="both"/>
        <w:rPr>
          <w:bCs/>
          <w:sz w:val="24"/>
          <w:szCs w:val="24"/>
          <w:lang w:val="en-GB"/>
        </w:rPr>
      </w:pPr>
      <w:r>
        <w:rPr>
          <w:bCs/>
          <w:sz w:val="24"/>
          <w:szCs w:val="24"/>
          <w:lang w:val="en-GB"/>
        </w:rPr>
        <w:t>величина снижения максимальной мощности;</w:t>
      </w:r>
    </w:p>
    <w:p>
      <w:pPr>
        <w:pStyle w:val="Normal"/>
        <w:widowControl/>
        <w:numPr>
          <w:ilvl w:val="0"/>
          <w:numId w:val="17"/>
        </w:numPr>
        <w:ind w:left="0" w:firstLine="709"/>
        <w:jc w:val="both"/>
        <w:rPr>
          <w:bCs/>
          <w:sz w:val="24"/>
          <w:szCs w:val="24"/>
          <w:lang w:val="en-GB"/>
        </w:rPr>
      </w:pPr>
      <w:r>
        <w:rPr>
          <w:bCs/>
          <w:sz w:val="24"/>
          <w:szCs w:val="24"/>
          <w:lang w:val="en-GB"/>
        </w:rPr>
        <w:t>содержание работ;</w:t>
      </w:r>
    </w:p>
    <w:p>
      <w:pPr>
        <w:pStyle w:val="Normal"/>
        <w:widowControl/>
        <w:numPr>
          <w:ilvl w:val="0"/>
          <w:numId w:val="17"/>
        </w:numPr>
        <w:ind w:left="0" w:firstLine="709"/>
        <w:jc w:val="both"/>
        <w:rPr>
          <w:bCs/>
          <w:sz w:val="24"/>
          <w:szCs w:val="24"/>
          <w:lang w:val="en-GB"/>
        </w:rPr>
      </w:pPr>
      <w:r>
        <w:rPr>
          <w:bCs/>
          <w:sz w:val="24"/>
          <w:szCs w:val="24"/>
          <w:lang w:val="en-GB"/>
        </w:rPr>
        <w:t>время подачи заявки;</w:t>
      </w:r>
    </w:p>
    <w:p>
      <w:pPr>
        <w:pStyle w:val="Normal"/>
        <w:widowControl/>
        <w:numPr>
          <w:ilvl w:val="0"/>
          <w:numId w:val="17"/>
        </w:numPr>
        <w:ind w:left="0" w:firstLine="709"/>
        <w:jc w:val="both"/>
        <w:rPr>
          <w:bCs/>
          <w:sz w:val="24"/>
          <w:szCs w:val="24"/>
        </w:rPr>
      </w:pPr>
      <w:r>
        <w:rPr>
          <w:bCs/>
          <w:sz w:val="24"/>
          <w:szCs w:val="24"/>
        </w:rPr>
        <w:t>время начала и конца действия заявки и др.</w:t>
      </w:r>
    </w:p>
    <w:p>
      <w:pPr>
        <w:pStyle w:val="Normal"/>
        <w:widowControl/>
        <w:spacing w:before="120" w:after="20"/>
        <w:ind w:firstLine="709"/>
        <w:jc w:val="both"/>
        <w:rPr>
          <w:sz w:val="24"/>
          <w:szCs w:val="24"/>
        </w:rPr>
      </w:pPr>
      <w:r>
        <w:rPr>
          <w:sz w:val="24"/>
          <w:szCs w:val="24"/>
        </w:rPr>
        <w:t>2.</w:t>
        <w:tab/>
        <w: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«Порядка установления соответствия генерирующего оборудования участников оптового рынка техническим требованиям»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 </w:t>
      </w:r>
    </w:p>
    <w:p>
      <w:pPr>
        <w:pStyle w:val="Normal"/>
        <w:spacing w:before="20" w:after="20"/>
        <w:ind w:firstLine="709"/>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m:t>
                </m:r>
              </m:sub>
              <m:sup>
                <m:r>
                  <w:rPr>
                    <w:rFonts w:ascii="Cambria Math" w:hAnsi="Cambria Math"/>
                  </w:rPr>
                  <m:t xml:space="preserve">1</m:t>
                </m:r>
              </m:sup>
            </m:sSubSup>
          </m:sup>
        </m:sSup>
      </m:oMath>
      <w:r>
        <w:rPr>
          <w:sz w:val="24"/>
          <w:szCs w:val="24"/>
        </w:rPr>
        <w:t xml:space="preserve"> – </w:t>
      </w:r>
      <w:r>
        <w:rPr>
          <w:sz w:val="24"/>
          <w:szCs w:val="24"/>
        </w:rPr>
        <w:t xml:space="preserve">величина согласованных ограничений установленной мощности в пределах, заявленных по процедуре конкурентного отбора мощности (КОМ); </w:t>
      </w:r>
    </w:p>
    <w:p>
      <w:pPr>
        <w:pStyle w:val="Normal"/>
        <w:spacing w:lineRule="auto" w:line="276" w:before="120" w:after="20"/>
        <w:ind w:firstLine="709"/>
        <w:jc w:val="both"/>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m:t>
                </m:r>
              </m:sub>
              <m:sup>
                <m:r>
                  <w:rPr>
                    <w:rFonts w:ascii="Cambria Math" w:hAnsi="Cambria Math"/>
                  </w:rPr>
                  <m:t xml:space="preserve">2</m:t>
                </m:r>
              </m:sup>
            </m:sSubSup>
          </m:sup>
        </m:sSup>
      </m:oMath>
      <w:r>
        <w:rPr>
          <w:sz w:val="24"/>
          <w:szCs w:val="24"/>
        </w:rPr>
        <w:t xml:space="preserve"> – </w:t>
      </w:r>
      <w:r>
        <w:rPr>
          <w:sz w:val="24"/>
          <w:szCs w:val="24"/>
        </w:rPr>
        <w:t>величина согласованных ограничений установленной мощности сверх, заявленных в КОМ;</w:t>
      </w:r>
    </w:p>
    <w:p>
      <w:pPr>
        <w:pStyle w:val="Normal"/>
        <w:spacing w:lineRule="auto" w:line="276" w:before="20" w:after="20"/>
        <w:ind w:firstLine="709"/>
        <w:jc w:val="both"/>
        <w:rPr>
          <w:sz w:val="24"/>
          <w:szCs w:val="24"/>
        </w:rPr>
      </w:pPr>
      <w:r>
        <w:rPr/>
        <w:drawing>
          <wp:inline distT="0" distB="0" distL="0" distR="0">
            <wp:extent cx="323850" cy="21907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0"/>
                    <a:srcRect l="-222" t="-329" r="-222" b="-329"/>
                    <a:stretch>
                      <a:fillRect/>
                    </a:stretch>
                  </pic:blipFill>
                  <pic:spPr bwMode="auto">
                    <a:xfrm>
                      <a:off x="0" y="0"/>
                      <a:ext cx="323850" cy="219075"/>
                    </a:xfrm>
                    <a:prstGeom prst="rect">
                      <a:avLst/>
                    </a:prstGeom>
                  </pic:spPr>
                </pic:pic>
              </a:graphicData>
            </a:graphic>
          </wp:inline>
        </w:drawing>
      </w:r>
      <w:r>
        <w:rPr>
          <w:sz w:val="24"/>
          <w:szCs w:val="24"/>
        </w:rPr>
        <w:t xml:space="preserve"> – </w:t>
      </w:r>
      <w:r>
        <w:rPr>
          <w:sz w:val="24"/>
          <w:szCs w:val="24"/>
        </w:rPr>
        <w:t>величина согласованного планового ремонтного снижения мощности;</w:t>
      </w:r>
    </w:p>
    <w:p>
      <w:pPr>
        <w:pStyle w:val="Normal"/>
        <w:spacing w:lineRule="auto" w:line="276" w:before="20" w:after="20"/>
        <w:ind w:firstLine="709"/>
        <w:jc w:val="both"/>
        <w:rPr>
          <w:sz w:val="24"/>
          <w:szCs w:val="24"/>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,h</m:t>
            </m:r>
          </m:sub>
          <m:sup>
            <m:r>
              <w:rPr>
                <w:rFonts w:ascii="Cambria Math" w:hAnsi="Cambria Math"/>
              </w:rPr>
              <m:t xml:space="preserve">j</m:t>
            </m:r>
          </m:sup>
        </m:sSubSup>
      </m:oMath>
      <w:r>
        <w:rPr>
          <w:sz w:val="24"/>
          <w:szCs w:val="24"/>
        </w:rPr>
        <w:t xml:space="preserve"> – </w:t>
      </w:r>
      <w:r>
        <w:rPr>
          <w:sz w:val="24"/>
          <w:szCs w:val="24"/>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spacing w:lineRule="auto" w:line="276" w:before="20" w:after="20"/>
        <w:ind w:firstLine="709"/>
        <w:jc w:val="both"/>
        <w:rPr>
          <w:sz w:val="24"/>
          <w:szCs w:val="24"/>
        </w:rPr>
      </w:pPr>
      <w:r>
        <w:rPr>
          <w:sz w:val="24"/>
          <w:szCs w:val="24"/>
        </w:rPr>
        <w:t xml:space="preserve"> – </w:t>
      </w:r>
      <w:r>
        <w:rPr>
          <w:sz w:val="24"/>
          <w:szCs w:val="24"/>
        </w:rPr>
        <w:t>итоговое значение согласованного планового ремонтного снижения располагаемой мощности;</w:t>
      </w:r>
    </w:p>
    <w:p>
      <w:pPr>
        <w:pStyle w:val="Normal"/>
        <w:spacing w:lineRule="auto" w:line="276" w:before="20" w:after="20"/>
        <w:ind w:firstLine="709"/>
        <w:jc w:val="both"/>
        <w:rPr>
          <w:sz w:val="24"/>
          <w:szCs w:val="24"/>
        </w:rPr>
      </w:pPr>
      <w:r>
        <w:rPr>
          <w:sz w:val="24"/>
          <w:szCs w:val="24"/>
        </w:rPr>
        <w:t xml:space="preserve"> </w:t>
      </w:r>
      <w:r>
        <w:rPr/>
      </w:r>
      <m:oMath xmlns:m="http://schemas.openxmlformats.org/officeDocument/2006/math">
        <m:sSubSup>
          <m:e>
            <m:r>
              <w:rPr>
                <w:rFonts w:ascii="Cambria Math" w:hAnsi="Cambria Math"/>
              </w:rPr>
              <m:t xml:space="preserve">∆</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r>
              <m:rPr>
                <m:lit/>
                <m:nor/>
              </m:rPr>
              <w:rPr>
                <w:rFonts w:ascii="Cambria Math" w:hAnsi="Cambria Math"/>
              </w:rPr>
              <m:t xml:space="preserve">,h</m:t>
            </m:r>
          </m:sub>
          <m:sup>
            <m:r>
              <w:rPr>
                <w:rFonts w:ascii="Cambria Math" w:hAnsi="Cambria Math"/>
              </w:rPr>
              <m:t xml:space="preserve">j</m:t>
            </m:r>
          </m:sup>
        </m:sSubSup>
      </m:oMath>
      <w:r>
        <w:rPr>
          <w:sz w:val="24"/>
          <w:szCs w:val="24"/>
        </w:rPr>
        <w:t xml:space="preserve"> – </w:t>
      </w:r>
      <w:r>
        <w:rPr>
          <w:sz w:val="24"/>
          <w:szCs w:val="24"/>
        </w:rPr>
        <w:t>плановое ремонтное снижение мощности по модернизируемым генерирующим объектом вне установленных сроков;</w:t>
      </w:r>
    </w:p>
    <w:p>
      <w:pPr>
        <w:pStyle w:val="Normal"/>
        <w:spacing w:lineRule="auto" w:line="276" w:before="20" w:after="20"/>
        <w:ind w:firstLine="709"/>
        <w:jc w:val="both"/>
        <w:rPr>
          <w:sz w:val="24"/>
          <w:szCs w:val="24"/>
        </w:rPr>
      </w:pPr>
      <w:r>
        <w:rPr/>
        <w:drawing>
          <wp:inline distT="0" distB="0" distL="0" distR="0">
            <wp:extent cx="545465" cy="273050"/>
            <wp:effectExtent l="0" t="0" r="0" b="0"/>
            <wp:docPr id="2"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descr=""/>
                    <pic:cNvPicPr>
                      <a:picLocks noChangeAspect="1" noChangeArrowheads="1"/>
                    </pic:cNvPicPr>
                  </pic:nvPicPr>
                  <pic:blipFill>
                    <a:blip r:embed="rId11"/>
                    <a:stretch>
                      <a:fillRect/>
                    </a:stretch>
                  </pic:blipFill>
                  <pic:spPr bwMode="auto">
                    <a:xfrm>
                      <a:off x="0" y="0"/>
                      <a:ext cx="545465" cy="273050"/>
                    </a:xfrm>
                    <a:prstGeom prst="rect">
                      <a:avLst/>
                    </a:prstGeom>
                  </pic:spPr>
                </pic:pic>
              </a:graphicData>
            </a:graphic>
          </wp:inline>
        </w:drawing>
      </w:r>
      <w:r>
        <w:rPr>
          <w:sz w:val="24"/>
          <w:szCs w:val="24"/>
        </w:rPr>
        <w:t xml:space="preserve"> – </w:t>
      </w:r>
      <w:r>
        <w:rPr>
          <w:sz w:val="24"/>
          <w:szCs w:val="24"/>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t>
      </w:r>
    </w:p>
    <w:p>
      <w:pPr>
        <w:pStyle w:val="Normal"/>
        <w:spacing w:lineRule="auto" w:line="276" w:before="20" w:after="20"/>
        <w:ind w:firstLine="709"/>
        <w:jc w:val="both"/>
        <w:rPr>
          <w:sz w:val="24"/>
          <w:szCs w:val="24"/>
        </w:rPr>
      </w:pPr>
      <w:r>
        <w:rPr/>
        <w:drawing>
          <wp:inline distT="0" distB="0" distL="0" distR="0">
            <wp:extent cx="524510" cy="266065"/>
            <wp:effectExtent l="0" t="0" r="0" b="0"/>
            <wp:docPr id="3"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descr=""/>
                    <pic:cNvPicPr>
                      <a:picLocks noChangeAspect="1" noChangeArrowheads="1"/>
                    </pic:cNvPicPr>
                  </pic:nvPicPr>
                  <pic:blipFill>
                    <a:blip r:embed="rId12"/>
                    <a:stretch>
                      <a:fillRect/>
                    </a:stretch>
                  </pic:blipFill>
                  <pic:spPr bwMode="auto">
                    <a:xfrm>
                      <a:off x="0" y="0"/>
                      <a:ext cx="524510" cy="266065"/>
                    </a:xfrm>
                    <a:prstGeom prst="rect">
                      <a:avLst/>
                    </a:prstGeom>
                  </pic:spPr>
                </pic:pic>
              </a:graphicData>
            </a:graphic>
          </wp:inline>
        </w:drawing>
      </w:r>
      <w:r>
        <w:rPr>
          <w:sz w:val="24"/>
          <w:szCs w:val="24"/>
        </w:rPr>
        <w:t xml:space="preserve"> – </w:t>
      </w:r>
      <w:r>
        <w:rPr>
          <w:sz w:val="24"/>
          <w:szCs w:val="24"/>
        </w:rPr>
        <w:t>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spacing w:lineRule="auto" w:line="276" w:before="20" w:after="20"/>
        <w:ind w:firstLine="709"/>
        <w:jc w:val="both"/>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m:rPr>
                    <m:lit/>
                    <m:nor/>
                  </m:rPr>
                  <w:rPr>
                    <w:rFonts w:ascii="Cambria Math" w:hAnsi="Cambria Math"/>
                  </w:rPr>
                  <m:t xml:space="preserve">2_max,</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oMath>
      <w:r>
        <w:rPr>
          <w:sz w:val="24"/>
          <w:szCs w:val="24"/>
        </w:rPr>
        <w:t xml:space="preserve"> – </w:t>
      </w:r>
      <w:r>
        <w:rPr>
          <w:sz w:val="24"/>
          <w:szCs w:val="24"/>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t>
      </w:r>
    </w:p>
    <w:p>
      <w:pPr>
        <w:pStyle w:val="Normal"/>
        <w:spacing w:lineRule="auto" w:line="276" w:before="20" w:after="20"/>
        <w:ind w:firstLine="709"/>
        <w:jc w:val="both"/>
        <w:rPr>
          <w:sz w:val="24"/>
          <w:szCs w:val="24"/>
        </w:rPr>
      </w:pPr>
      <w:r>
        <w:rPr/>
        <w:drawing>
          <wp:inline distT="0" distB="0" distL="0" distR="0">
            <wp:extent cx="532130" cy="272415"/>
            <wp:effectExtent l="0" t="0" r="0" b="0"/>
            <wp:docPr id="4"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descr=""/>
                    <pic:cNvPicPr>
                      <a:picLocks noChangeAspect="1" noChangeArrowheads="1"/>
                    </pic:cNvPicPr>
                  </pic:nvPicPr>
                  <pic:blipFill>
                    <a:blip r:embed="rId13"/>
                    <a:stretch>
                      <a:fillRect/>
                    </a:stretch>
                  </pic:blipFill>
                  <pic:spPr bwMode="auto">
                    <a:xfrm>
                      <a:off x="0" y="0"/>
                      <a:ext cx="532130" cy="272415"/>
                    </a:xfrm>
                    <a:prstGeom prst="rect">
                      <a:avLst/>
                    </a:prstGeom>
                  </pic:spPr>
                </pic:pic>
              </a:graphicData>
            </a:graphic>
          </wp:inline>
        </w:drawing>
      </w:r>
      <w:r>
        <w:rPr>
          <w:sz w:val="24"/>
          <w:szCs w:val="24"/>
        </w:rPr>
        <w:t xml:space="preserve"> – </w:t>
      </w:r>
      <w:r>
        <w:rPr>
          <w:sz w:val="24"/>
          <w:szCs w:val="24"/>
        </w:rPr>
        <w:t xml:space="preserve">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t>
      </w:r>
    </w:p>
    <w:p>
      <w:pPr>
        <w:pStyle w:val="Normal"/>
        <w:spacing w:lineRule="auto" w:line="276" w:before="20" w:after="20"/>
        <w:ind w:firstLine="709"/>
        <w:jc w:val="both"/>
        <w:rPr>
          <w:sz w:val="24"/>
          <w:szCs w:val="24"/>
        </w:rPr>
      </w:pPr>
      <w:r>
        <w:rPr/>
        <w:drawing>
          <wp:inline distT="0" distB="0" distL="0" distR="0">
            <wp:extent cx="526415" cy="262890"/>
            <wp:effectExtent l="0" t="0" r="0" b="0"/>
            <wp:docPr id="5"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descr=""/>
                    <pic:cNvPicPr>
                      <a:picLocks noChangeAspect="1" noChangeArrowheads="1"/>
                    </pic:cNvPicPr>
                  </pic:nvPicPr>
                  <pic:blipFill>
                    <a:blip r:embed="rId14"/>
                    <a:stretch>
                      <a:fillRect/>
                    </a:stretch>
                  </pic:blipFill>
                  <pic:spPr bwMode="auto">
                    <a:xfrm>
                      <a:off x="0" y="0"/>
                      <a:ext cx="526415" cy="262890"/>
                    </a:xfrm>
                    <a:prstGeom prst="rect">
                      <a:avLst/>
                    </a:prstGeom>
                  </pic:spPr>
                </pic:pic>
              </a:graphicData>
            </a:graphic>
          </wp:inline>
        </w:drawing>
      </w:r>
      <w:r>
        <w:rPr>
          <w:sz w:val="24"/>
          <w:szCs w:val="24"/>
        </w:rPr>
        <w:t xml:space="preserve"> – </w:t>
      </w:r>
      <w:r>
        <w:rPr>
          <w:sz w:val="24"/>
          <w:szCs w:val="24"/>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spacing w:lineRule="auto" w:line="276" w:before="20" w:after="20"/>
        <w:ind w:firstLine="709"/>
        <w:jc w:val="both"/>
        <w:rPr>
          <w:sz w:val="24"/>
          <w:szCs w:val="24"/>
        </w:rPr>
      </w:pPr>
      <w:r>
        <w:rPr/>
        <w:drawing>
          <wp:inline distT="0" distB="0" distL="0" distR="0">
            <wp:extent cx="620395" cy="320040"/>
            <wp:effectExtent l="0" t="0" r="0" b="0"/>
            <wp:docPr id="6"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descr=""/>
                    <pic:cNvPicPr>
                      <a:picLocks noChangeAspect="1" noChangeArrowheads="1"/>
                    </pic:cNvPicPr>
                  </pic:nvPicPr>
                  <pic:blipFill>
                    <a:blip r:embed="rId15"/>
                    <a:stretch>
                      <a:fillRect/>
                    </a:stretch>
                  </pic:blipFill>
                  <pic:spPr bwMode="auto">
                    <a:xfrm>
                      <a:off x="0" y="0"/>
                      <a:ext cx="620395" cy="320040"/>
                    </a:xfrm>
                    <a:prstGeom prst="rect">
                      <a:avLst/>
                    </a:prstGeom>
                  </pic:spPr>
                </pic:pic>
              </a:graphicData>
            </a:graphic>
          </wp:inline>
        </w:drawing>
      </w:r>
      <w:r>
        <w:rPr>
          <w:sz w:val="24"/>
          <w:szCs w:val="24"/>
        </w:rPr>
        <w:t xml:space="preserve"> – </w:t>
      </w:r>
      <w:r>
        <w:rPr>
          <w:sz w:val="24"/>
          <w:szCs w:val="24"/>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spacing w:lineRule="auto" w:line="276" w:before="20" w:after="20"/>
        <w:ind w:firstLine="709"/>
        <w:jc w:val="both"/>
        <w:rPr>
          <w:sz w:val="24"/>
          <w:szCs w:val="24"/>
        </w:rPr>
      </w:pPr>
      <w:r>
        <w:rPr/>
        <w:drawing>
          <wp:inline distT="0" distB="0" distL="0" distR="0">
            <wp:extent cx="526415" cy="262890"/>
            <wp:effectExtent l="0" t="0" r="0" b="0"/>
            <wp:docPr id="7"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descr=""/>
                    <pic:cNvPicPr>
                      <a:picLocks noChangeAspect="1" noChangeArrowheads="1"/>
                    </pic:cNvPicPr>
                  </pic:nvPicPr>
                  <pic:blipFill>
                    <a:blip r:embed="rId16"/>
                    <a:stretch>
                      <a:fillRect/>
                    </a:stretch>
                  </pic:blipFill>
                  <pic:spPr bwMode="auto">
                    <a:xfrm>
                      <a:off x="0" y="0"/>
                      <a:ext cx="526415" cy="262890"/>
                    </a:xfrm>
                    <a:prstGeom prst="rect">
                      <a:avLst/>
                    </a:prstGeom>
                  </pic:spPr>
                </pic:pic>
              </a:graphicData>
            </a:graphic>
          </wp:inline>
        </w:drawing>
      </w:r>
      <w:r>
        <w:rPr>
          <w:sz w:val="24"/>
          <w:szCs w:val="24"/>
        </w:rPr>
        <w:t xml:space="preserve"> – </w:t>
      </w:r>
      <w:r>
        <w:rPr>
          <w:sz w:val="24"/>
          <w:szCs w:val="24"/>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spacing w:lineRule="auto" w:line="276" w:before="20" w:after="20"/>
        <w:ind w:firstLine="709"/>
        <w:jc w:val="both"/>
        <w:rPr>
          <w:sz w:val="24"/>
          <w:szCs w:val="24"/>
        </w:rPr>
      </w:pPr>
      <w:r>
        <w:rPr/>
        <w:drawing>
          <wp:inline distT="0" distB="0" distL="0" distR="0">
            <wp:extent cx="511810" cy="241300"/>
            <wp:effectExtent l="0" t="0" r="0" b="0"/>
            <wp:docPr id="8"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descr=""/>
                    <pic:cNvPicPr>
                      <a:picLocks noChangeAspect="1" noChangeArrowheads="1"/>
                    </pic:cNvPicPr>
                  </pic:nvPicPr>
                  <pic:blipFill>
                    <a:blip r:embed="rId17"/>
                    <a:stretch>
                      <a:fillRect/>
                    </a:stretch>
                  </pic:blipFill>
                  <pic:spPr bwMode="auto">
                    <a:xfrm>
                      <a:off x="0" y="0"/>
                      <a:ext cx="511810" cy="241300"/>
                    </a:xfrm>
                    <a:prstGeom prst="rect">
                      <a:avLst/>
                    </a:prstGeom>
                  </pic:spPr>
                </pic:pic>
              </a:graphicData>
            </a:graphic>
          </wp:inline>
        </w:drawing>
      </w:r>
      <w:r>
        <w:rPr>
          <w:sz w:val="24"/>
          <w:szCs w:val="24"/>
        </w:rPr>
        <w:t xml:space="preserve"> – </w:t>
      </w:r>
      <w:r>
        <w:rPr>
          <w:sz w:val="24"/>
          <w:szCs w:val="24"/>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spacing w:lineRule="auto" w:line="276" w:before="20" w:after="20"/>
        <w:ind w:firstLine="709"/>
        <w:jc w:val="both"/>
        <w:rPr>
          <w:sz w:val="24"/>
          <w:szCs w:val="24"/>
        </w:rPr>
      </w:pPr>
      <w:r>
        <w:rPr/>
        <w:drawing>
          <wp:inline distT="0" distB="0" distL="0" distR="0">
            <wp:extent cx="497205" cy="240665"/>
            <wp:effectExtent l="0" t="0" r="0" b="0"/>
            <wp:docPr id="9"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descr=""/>
                    <pic:cNvPicPr>
                      <a:picLocks noChangeAspect="1" noChangeArrowheads="1"/>
                    </pic:cNvPicPr>
                  </pic:nvPicPr>
                  <pic:blipFill>
                    <a:blip r:embed="rId18"/>
                    <a:stretch>
                      <a:fillRect/>
                    </a:stretch>
                  </pic:blipFill>
                  <pic:spPr bwMode="auto">
                    <a:xfrm>
                      <a:off x="0" y="0"/>
                      <a:ext cx="497205" cy="240665"/>
                    </a:xfrm>
                    <a:prstGeom prst="rect">
                      <a:avLst/>
                    </a:prstGeom>
                  </pic:spPr>
                </pic:pic>
              </a:graphicData>
            </a:graphic>
          </wp:inline>
        </w:drawing>
      </w:r>
      <w:r>
        <w:rPr>
          <w:sz w:val="24"/>
          <w:szCs w:val="24"/>
        </w:rPr>
        <w:t xml:space="preserve"> – </w:t>
      </w:r>
      <w:r>
        <w:rPr>
          <w:sz w:val="24"/>
          <w:szCs w:val="24"/>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spacing w:lineRule="auto" w:line="276" w:before="20" w:after="20"/>
        <w:ind w:firstLine="709"/>
        <w:jc w:val="both"/>
        <w:rPr>
          <w:sz w:val="24"/>
          <w:szCs w:val="24"/>
        </w:rPr>
      </w:pPr>
      <w:r>
        <w:rPr/>
        <w:drawing>
          <wp:inline distT="0" distB="0" distL="0" distR="0">
            <wp:extent cx="914400" cy="285115"/>
            <wp:effectExtent l="0" t="0" r="0" b="0"/>
            <wp:docPr id="10"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descr=""/>
                    <pic:cNvPicPr>
                      <a:picLocks noChangeAspect="1" noChangeArrowheads="1"/>
                    </pic:cNvPicPr>
                  </pic:nvPicPr>
                  <pic:blipFill>
                    <a:blip r:embed="rId19"/>
                    <a:stretch>
                      <a:fillRect/>
                    </a:stretch>
                  </pic:blipFill>
                  <pic:spPr bwMode="auto">
                    <a:xfrm>
                      <a:off x="0" y="0"/>
                      <a:ext cx="914400" cy="285115"/>
                    </a:xfrm>
                    <a:prstGeom prst="rect">
                      <a:avLst/>
                    </a:prstGeom>
                  </pic:spPr>
                </pic:pic>
              </a:graphicData>
            </a:graphic>
          </wp:inline>
        </w:drawing>
      </w:r>
      <w:r>
        <w:rPr>
          <w:sz w:val="24"/>
          <w:szCs w:val="24"/>
        </w:rPr>
        <w:t xml:space="preserve"> – </w:t>
      </w:r>
      <w:r>
        <w:rPr>
          <w:sz w:val="24"/>
          <w:szCs w:val="24"/>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spacing w:lineRule="auto" w:line="276" w:before="20" w:after="20"/>
        <w:ind w:firstLine="709"/>
        <w:jc w:val="both"/>
        <w:rPr>
          <w:sz w:val="24"/>
          <w:szCs w:val="24"/>
        </w:rPr>
      </w:pPr>
      <w:r>
        <w:rPr/>
        <w:drawing>
          <wp:inline distT="0" distB="0" distL="0" distR="0">
            <wp:extent cx="1052830" cy="357505"/>
            <wp:effectExtent l="0" t="0" r="0" b="0"/>
            <wp:docPr id="11"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descr=""/>
                    <pic:cNvPicPr>
                      <a:picLocks noChangeAspect="1" noChangeArrowheads="1"/>
                    </pic:cNvPicPr>
                  </pic:nvPicPr>
                  <pic:blipFill>
                    <a:blip r:embed="rId20"/>
                    <a:stretch>
                      <a:fillRect/>
                    </a:stretch>
                  </pic:blipFill>
                  <pic:spPr bwMode="auto">
                    <a:xfrm>
                      <a:off x="0" y="0"/>
                      <a:ext cx="1052830" cy="357505"/>
                    </a:xfrm>
                    <a:prstGeom prst="rect">
                      <a:avLst/>
                    </a:prstGeom>
                  </pic:spPr>
                </pic:pic>
              </a:graphicData>
            </a:graphic>
          </wp:inline>
        </w:drawing>
      </w:r>
      <w:r>
        <w:rPr>
          <w:sz w:val="24"/>
          <w:szCs w:val="24"/>
        </w:rPr>
        <w:t xml:space="preserve"> – </w:t>
      </w:r>
      <w:r>
        <w:rPr>
          <w:sz w:val="24"/>
          <w:szCs w:val="24"/>
        </w:rPr>
        <w:t>регистрируется при согласованном увеличении времени включения в сеть;</w:t>
      </w:r>
    </w:p>
    <w:p>
      <w:pPr>
        <w:pStyle w:val="Normal"/>
        <w:spacing w:lineRule="auto" w:line="276" w:before="20" w:after="20"/>
        <w:ind w:firstLine="709"/>
        <w:jc w:val="both"/>
        <w:rPr>
          <w:sz w:val="24"/>
          <w:szCs w:val="24"/>
        </w:rPr>
      </w:pPr>
      <w:r>
        <w:rPr/>
        <w:drawing>
          <wp:inline distT="0" distB="0" distL="0" distR="0">
            <wp:extent cx="958215" cy="313690"/>
            <wp:effectExtent l="0" t="0" r="0" b="0"/>
            <wp:docPr id="12"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descr=""/>
                    <pic:cNvPicPr>
                      <a:picLocks noChangeAspect="1" noChangeArrowheads="1"/>
                    </pic:cNvPicPr>
                  </pic:nvPicPr>
                  <pic:blipFill>
                    <a:blip r:embed="rId21"/>
                    <a:stretch>
                      <a:fillRect/>
                    </a:stretch>
                  </pic:blipFill>
                  <pic:spPr bwMode="auto">
                    <a:xfrm>
                      <a:off x="0" y="0"/>
                      <a:ext cx="958215" cy="313690"/>
                    </a:xfrm>
                    <a:prstGeom prst="rect">
                      <a:avLst/>
                    </a:prstGeom>
                  </pic:spPr>
                </pic:pic>
              </a:graphicData>
            </a:graphic>
          </wp:inline>
        </w:drawing>
      </w:r>
      <w:r>
        <w:rPr>
          <w:sz w:val="24"/>
          <w:szCs w:val="24"/>
        </w:rPr>
        <w:t xml:space="preserve"> – </w:t>
      </w:r>
      <w:r>
        <w:rPr>
          <w:sz w:val="24"/>
          <w:szCs w:val="24"/>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spacing w:before="20" w:after="20"/>
        <w:ind w:firstLine="709"/>
        <w:rPr>
          <w:sz w:val="24"/>
          <w:szCs w:val="24"/>
        </w:rPr>
      </w:pPr>
      <w:r>
        <w:rPr/>
        <w:drawing>
          <wp:inline distT="0" distB="0" distL="0" distR="0">
            <wp:extent cx="368300" cy="285750"/>
            <wp:effectExtent l="0" t="0" r="0" b="0"/>
            <wp:docPr id="13"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descr=""/>
                    <pic:cNvPicPr>
                      <a:picLocks noChangeAspect="1" noChangeArrowheads="1"/>
                    </pic:cNvPicPr>
                  </pic:nvPicPr>
                  <pic:blipFill>
                    <a:blip r:embed="rId22"/>
                    <a:stretch>
                      <a:fillRect/>
                    </a:stretch>
                  </pic:blipFill>
                  <pic:spPr bwMode="auto">
                    <a:xfrm>
                      <a:off x="0" y="0"/>
                      <a:ext cx="368300" cy="285750"/>
                    </a:xfrm>
                    <a:prstGeom prst="rect">
                      <a:avLst/>
                    </a:prstGeom>
                  </pic:spPr>
                </pic:pic>
              </a:graphicData>
            </a:graphic>
          </wp:inline>
        </w:drawing>
      </w:r>
      <w:r>
        <w:rPr>
          <w:sz w:val="24"/>
          <w:szCs w:val="24"/>
        </w:rPr>
        <w:t xml:space="preserve"> – </w:t>
      </w:r>
      <w:r>
        <w:rPr>
          <w:sz w:val="24"/>
          <w:szCs w:val="24"/>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spacing w:before="120" w:after="20"/>
        <w:ind w:firstLine="709"/>
        <w:rPr>
          <w:sz w:val="24"/>
          <w:szCs w:val="24"/>
        </w:rPr>
      </w:pPr>
      <w:r>
        <w:rPr>
          <w:sz w:val="24"/>
          <w:szCs w:val="24"/>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36550" cy="267335"/>
            <wp:effectExtent l="0" t="0" r="0" b="0"/>
            <wp:docPr id="14" name="Рисунок 1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descr=""/>
                    <pic:cNvPicPr>
                      <a:picLocks noChangeAspect="1" noChangeArrowheads="1"/>
                    </pic:cNvPicPr>
                  </pic:nvPicPr>
                  <pic:blipFill>
                    <a:blip r:embed="rId23"/>
                    <a:stretch>
                      <a:fillRect/>
                    </a:stretch>
                  </pic:blipFill>
                  <pic:spPr bwMode="auto">
                    <a:xfrm>
                      <a:off x="0" y="0"/>
                      <a:ext cx="336550" cy="267335"/>
                    </a:xfrm>
                    <a:prstGeom prst="rect">
                      <a:avLst/>
                    </a:prstGeom>
                  </pic:spPr>
                </pic:pic>
              </a:graphicData>
            </a:graphic>
          </wp:inline>
        </w:drawing>
      </w:r>
      <w:r>
        <w:rPr>
          <w:sz w:val="24"/>
          <w:szCs w:val="24"/>
        </w:rPr>
        <w:t>, соответствующие объемам невыполнения требований в месяце, определяется по формуле:</w:t>
      </w:r>
    </w:p>
    <w:p>
      <w:pPr>
        <w:pStyle w:val="Normal"/>
        <w:spacing w:before="20" w:after="20"/>
        <w:jc w:val="center"/>
        <w:rPr>
          <w:sz w:val="24"/>
          <w:szCs w:val="24"/>
        </w:rPr>
      </w:pPr>
      <w:r>
        <w:rPr/>
        <w:drawing>
          <wp:inline distT="0" distB="0" distL="0" distR="0">
            <wp:extent cx="1371600" cy="673100"/>
            <wp:effectExtent l="0" t="0" r="0" b="0"/>
            <wp:docPr id="15" name="Рисунок 1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descr=""/>
                    <pic:cNvPicPr>
                      <a:picLocks noChangeAspect="1" noChangeArrowheads="1"/>
                    </pic:cNvPicPr>
                  </pic:nvPicPr>
                  <pic:blipFill>
                    <a:blip r:embed="rId24"/>
                    <a:stretch>
                      <a:fillRect/>
                    </a:stretch>
                  </pic:blipFill>
                  <pic:spPr bwMode="auto">
                    <a:xfrm>
                      <a:off x="0" y="0"/>
                      <a:ext cx="1371600" cy="673100"/>
                    </a:xfrm>
                    <a:prstGeom prst="rect">
                      <a:avLst/>
                    </a:prstGeom>
                  </pic:spPr>
                </pic:pic>
              </a:graphicData>
            </a:graphic>
          </wp:inline>
        </w:drawing>
      </w:r>
    </w:p>
    <w:p>
      <w:pPr>
        <w:pStyle w:val="Normal"/>
        <w:spacing w:before="20" w:after="20"/>
        <w:ind w:firstLine="709"/>
        <w:rPr>
          <w:sz w:val="24"/>
          <w:szCs w:val="24"/>
        </w:rPr>
      </w:pPr>
      <w:r>
        <w:rPr>
          <w:sz w:val="24"/>
          <w:szCs w:val="24"/>
        </w:rPr>
        <w:t>где:</w:t>
      </w:r>
    </w:p>
    <w:p>
      <w:pPr>
        <w:pStyle w:val="Normal"/>
        <w:spacing w:before="20" w:after="20"/>
        <w:ind w:firstLine="709"/>
        <w:rPr>
          <w:sz w:val="24"/>
          <w:szCs w:val="24"/>
        </w:rPr>
      </w:pPr>
      <w:r>
        <w:rPr/>
        <w:drawing>
          <wp:inline distT="0" distB="0" distL="0" distR="0">
            <wp:extent cx="293370" cy="267335"/>
            <wp:effectExtent l="0" t="0" r="0" b="0"/>
            <wp:docPr id="16" name="Рисунок 1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descr=""/>
                    <pic:cNvPicPr>
                      <a:picLocks noChangeAspect="1" noChangeArrowheads="1"/>
                    </pic:cNvPicPr>
                  </pic:nvPicPr>
                  <pic:blipFill>
                    <a:blip r:embed="rId25"/>
                    <a:stretch>
                      <a:fillRect/>
                    </a:stretch>
                  </pic:blipFill>
                  <pic:spPr bwMode="auto">
                    <a:xfrm>
                      <a:off x="0" y="0"/>
                      <a:ext cx="293370" cy="267335"/>
                    </a:xfrm>
                    <a:prstGeom prst="rect">
                      <a:avLst/>
                    </a:prstGeom>
                  </pic:spPr>
                </pic:pic>
              </a:graphicData>
            </a:graphic>
          </wp:inline>
        </w:drawing>
      </w:r>
      <w:r>
        <w:rPr>
          <w:sz w:val="24"/>
          <w:szCs w:val="24"/>
        </w:rPr>
        <w:t xml:space="preserve"> – </w:t>
      </w:r>
      <w:r>
        <w:rPr>
          <w:sz w:val="24"/>
          <w:szCs w:val="24"/>
        </w:rPr>
        <w:t>значения снижения мощности ГТПГ, установленные СО в ГРМ;</w:t>
      </w:r>
    </w:p>
    <w:p>
      <w:pPr>
        <w:pStyle w:val="Normal"/>
        <w:spacing w:before="20" w:after="20"/>
        <w:ind w:firstLine="709"/>
        <w:rPr>
          <w:sz w:val="24"/>
          <w:szCs w:val="24"/>
        </w:rPr>
      </w:pPr>
      <w:r>
        <w:rPr>
          <w:sz w:val="24"/>
          <w:szCs w:val="24"/>
        </w:rPr>
        <w:t xml:space="preserve">Н – количество часов, соответствующее расчетному месяцу m. </w:t>
      </w:r>
    </w:p>
    <w:p>
      <w:pPr>
        <w:pStyle w:val="Normal"/>
        <w:spacing w:before="20" w:after="20"/>
        <w:ind w:firstLine="709"/>
        <w:rPr>
          <w:sz w:val="24"/>
          <w:szCs w:val="24"/>
        </w:rPr>
      </w:pPr>
      <w:r>
        <w:rPr>
          <w:sz w:val="24"/>
          <w:szCs w:val="24"/>
        </w:rPr>
      </w:r>
    </w:p>
    <w:p>
      <w:pPr>
        <w:pStyle w:val="Normal"/>
        <w:spacing w:before="20" w:after="20"/>
        <w:ind w:firstLine="709"/>
        <w:rPr>
          <w:sz w:val="24"/>
          <w:szCs w:val="24"/>
        </w:rPr>
      </w:pPr>
      <w:r>
        <w:rPr>
          <w:sz w:val="24"/>
          <w:szCs w:val="24"/>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spacing w:before="120" w:after="20"/>
        <w:ind w:firstLine="709"/>
        <w:rPr>
          <w:sz w:val="24"/>
          <w:szCs w:val="24"/>
        </w:rPr>
      </w:pPr>
      <w:r>
        <w:rPr>
          <w:sz w:val="24"/>
          <w:szCs w:val="24"/>
        </w:rPr>
        <w:t>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m, рассчитывается для каждой ГТП (единицы оборудования) по формуле:</w:t>
      </w:r>
    </w:p>
    <w:p>
      <w:pPr>
        <w:pStyle w:val="Normal"/>
        <w:spacing w:before="20" w:after="20"/>
        <w:ind w:firstLine="709"/>
        <w:rPr>
          <w:sz w:val="24"/>
          <w:szCs w:val="24"/>
        </w:rPr>
      </w:pPr>
      <w:r>
        <w:rPr>
          <w:sz w:val="24"/>
          <w:szCs w:val="24"/>
        </w:rPr>
      </w:r>
    </w:p>
    <w:p>
      <w:pPr>
        <w:pStyle w:val="Normal"/>
        <w:spacing w:before="20" w:after="20"/>
        <w:ind w:firstLine="709"/>
        <w:jc w:val="center"/>
        <w:rPr>
          <w:sz w:val="24"/>
          <w:szCs w:val="24"/>
        </w:rPr>
      </w:pPr>
      <w:r>
        <w:rPr/>
      </w:r>
      <m:oMathPara xmlns:m="http://schemas.openxmlformats.org/officeDocument/2006/math">
        <m:oMathParaPr>
          <m:jc m:val="center"/>
        </m:oMathParaPr>
        <m:oMath>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sSub>
            <m:e>
              <m:r>
                <w:rPr>
                  <w:rFonts w:ascii="Cambria Math" w:hAnsi="Cambria Math"/>
                </w:rPr>
                <m:t xml:space="preserve">k</m:t>
              </m:r>
            </m:e>
            <m:sub>
              <m:r>
                <m:rPr>
                  <m:lit/>
                  <m:nor/>
                </m:rPr>
                <w:rPr>
                  <w:rFonts w:ascii="Cambria Math" w:hAnsi="Cambria Math"/>
                </w:rPr>
                <m:t xml:space="preserve">Б1</m:t>
              </m:r>
            </m:sub>
          </m:sSub>
          <m:sSub>
            <m:e>
              <m:r>
                <w:rPr>
                  <w:rFonts w:ascii="Cambria Math" w:hAnsi="Cambria Math"/>
                </w:rPr>
                <m:t xml:space="preserve">k</m:t>
              </m:r>
            </m:e>
            <m:sub>
              <m:r>
                <m:rPr>
                  <m:lit/>
                  <m:nor/>
                </m:rPr>
                <w:rPr>
                  <w:rFonts w:ascii="Cambria Math" w:hAnsi="Cambria Math"/>
                </w:rPr>
                <m:t xml:space="preserve">Б2</m:t>
              </m:r>
            </m:sub>
          </m:sSub>
          <m:sSub>
            <m:e>
              <m:r>
                <w:rPr>
                  <w:rFonts w:ascii="Cambria Math" w:hAnsi="Cambria Math"/>
                </w:rPr>
                <m:t xml:space="preserve">k</m:t>
              </m:r>
            </m:e>
            <m:sub>
              <m:r>
                <m:rPr>
                  <m:lit/>
                  <m:nor/>
                </m:rPr>
                <w:rPr>
                  <w:rFonts w:ascii="Cambria Math" w:hAnsi="Cambria Math"/>
                </w:rPr>
                <m:t xml:space="preserve">В2</m:t>
              </m:r>
            </m:sub>
          </m:sSub>
          <m:sSub>
            <m:e>
              <m:r>
                <w:rPr>
                  <w:rFonts w:ascii="Cambria Math" w:hAnsi="Cambria Math"/>
                </w:rPr>
                <m:t xml:space="preserve">k</m:t>
              </m:r>
            </m:e>
            <m:sub>
              <m:r>
                <m:rPr>
                  <m:lit/>
                  <m:nor/>
                </m:rPr>
                <w:rPr>
                  <w:rFonts w:ascii="Cambria Math" w:hAnsi="Cambria Math"/>
                </w:rPr>
                <m:t xml:space="preserve">В3</m:t>
              </m:r>
            </m:sub>
          </m:sSub>
          <m:sSub>
            <m:e>
              <m:r>
                <w:rPr>
                  <w:rFonts w:ascii="Cambria Math" w:hAnsi="Cambria Math"/>
                </w:rPr>
                <m:t xml:space="preserve">k</m:t>
              </m:r>
            </m:e>
            <m:sub>
              <m:r>
                <m:rPr>
                  <m:lit/>
                  <m:nor/>
                </m:rPr>
                <w:rPr>
                  <w:rFonts w:ascii="Cambria Math" w:hAnsi="Cambria Math"/>
                </w:rPr>
                <m:t xml:space="preserve">Г1</m:t>
              </m:r>
            </m:sub>
          </m:sSub>
          <m:sSub>
            <m:e>
              <m:r>
                <w:rPr>
                  <w:rFonts w:ascii="Cambria Math" w:hAnsi="Cambria Math"/>
                </w:rPr>
                <m:t xml:space="preserve">k</m:t>
              </m:r>
            </m:e>
            <m:sub>
              <m:r>
                <m:rPr>
                  <m:lit/>
                  <m:nor/>
                </m:rPr>
                <w:rPr>
                  <w:rFonts w:ascii="Cambria Math" w:hAnsi="Cambria Math"/>
                </w:rPr>
                <m:t xml:space="preserve">Г2</m:t>
              </m:r>
            </m:sub>
          </m:sSub>
          <m:sSub>
            <m:e>
              <m:r>
                <w:rPr>
                  <w:rFonts w:ascii="Cambria Math" w:hAnsi="Cambria Math"/>
                </w:rPr>
                <m:t xml:space="preserve">k</m:t>
              </m:r>
            </m:e>
            <m:sub>
              <m:r>
                <m:rPr>
                  <m:lit/>
                  <m:nor/>
                </m:rPr>
                <w:rPr>
                  <w:rFonts w:ascii="Cambria Math" w:hAnsi="Cambria Math"/>
                </w:rPr>
                <m:t xml:space="preserve">Г3</m:t>
              </m:r>
            </m:sub>
          </m:sSub>
          <m:sSub>
            <m:e>
              <m:r>
                <w:rPr>
                  <w:rFonts w:ascii="Cambria Math" w:hAnsi="Cambria Math"/>
                </w:rPr>
                <m:t xml:space="preserve">k</m:t>
              </m:r>
            </m:e>
            <m:sub>
              <m:r>
                <w:rPr>
                  <w:rFonts w:ascii="Cambria Math" w:hAnsi="Cambria Math"/>
                </w:rPr>
                <m:t xml:space="preserve">Д</m:t>
              </m:r>
            </m:sub>
          </m:sSub>
          <m:sSub>
            <m:e>
              <m:r>
                <w:rPr>
                  <w:rFonts w:ascii="Cambria Math" w:hAnsi="Cambria Math"/>
                </w:rPr>
                <m:t xml:space="preserve">k</m:t>
              </m:r>
            </m:e>
            <m:sub>
              <m:r>
                <w:rPr>
                  <w:rFonts w:ascii="Cambria Math" w:hAnsi="Cambria Math"/>
                </w:rPr>
                <m:t xml:space="preserve">Е</m:t>
              </m:r>
            </m:sub>
          </m:sSub>
          <m:sSub>
            <m:e>
              <m:r>
                <w:rPr>
                  <w:rFonts w:ascii="Cambria Math" w:hAnsi="Cambria Math"/>
                </w:rPr>
                <m:t xml:space="preserve">k</m:t>
              </m:r>
            </m:e>
            <m:sub>
              <m:r>
                <w:rPr>
                  <w:rFonts w:ascii="Cambria Math" w:hAnsi="Cambria Math"/>
                </w:rPr>
                <m:t xml:space="preserve">Ж</m:t>
              </m:r>
            </m:sub>
          </m:sSub>
          <m:sSub>
            <m:e>
              <m:r>
                <w:rPr>
                  <w:rFonts w:ascii="Cambria Math" w:hAnsi="Cambria Math"/>
                </w:rPr>
                <m:t xml:space="preserve">k</m:t>
              </m:r>
            </m:e>
            <m:sub>
              <m:r>
                <w:rPr>
                  <w:rFonts w:ascii="Cambria Math" w:hAnsi="Cambria Math"/>
                </w:rPr>
                <m:t xml:space="preserve">З</m:t>
              </m:r>
            </m:sub>
          </m:sSub>
          <m:sSub>
            <m:e>
              <m:r>
                <w:rPr>
                  <w:rFonts w:ascii="Cambria Math" w:hAnsi="Cambria Math"/>
                </w:rPr>
                <m:t xml:space="preserve">k</m:t>
              </m:r>
            </m:e>
            <m:sub>
              <m:r>
                <w:rPr>
                  <w:rFonts w:ascii="Cambria Math" w:hAnsi="Cambria Math"/>
                </w:rPr>
                <m:t xml:space="preserve">И</m:t>
              </m:r>
            </m:sub>
          </m:sSub>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гот,j</m:t>
                  </m:r>
                </m:sup>
              </m:sSubSup>
            </m:sub>
          </m:sSub>
          <m:r>
            <w:rPr>
              <w:rFonts w:ascii="Cambria Math" w:hAnsi="Cambria Math"/>
            </w:rPr>
            <m:t xml:space="preserve">=</m:t>
          </m:r>
          <m:nary>
            <m:naryPr>
              <m:chr m:val="∑"/>
              <m:supHide m:val="1"/>
            </m:naryPr>
            <m:sub>
              <m:r>
                <w:rPr>
                  <w:rFonts w:ascii="Cambria Math" w:hAnsi="Cambria Math"/>
                </w:rPr>
                <m:t xml:space="preserve">n</m:t>
              </m:r>
            </m:sub>
            <m:sup/>
            <m:e>
              <m:d>
                <m:dPr>
                  <m:begChr m:val="("/>
                  <m:endChr m:val=")"/>
                </m:dPr>
                <m:e>
                  <m:sSub>
                    <m:e>
                      <m:r>
                        <w:rPr>
                          <w:rFonts w:ascii="Cambria Math" w:hAnsi="Cambria Math"/>
                        </w:rPr>
                        <m:t xml:space="preserve">k</m:t>
                      </m:r>
                    </m:e>
                    <m:sub>
                      <m:r>
                        <w:rPr>
                          <w:rFonts w:ascii="Cambria Math" w:hAnsi="Cambria Math"/>
                        </w:rPr>
                        <m:t xml:space="preserve">n</m:t>
                      </m:r>
                    </m:sub>
                  </m:sSub>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n</m:t>
                          </m:r>
                        </m:sub>
                      </m:sSub>
                    </m:sup>
                  </m:sSup>
                </m:e>
              </m:d>
              <m:r>
                <w:rPr>
                  <w:rFonts w:ascii="Cambria Math" w:hAnsi="Cambria Math"/>
                </w:rPr>
                <m:t xml:space="preserve">+</m:t>
              </m:r>
              <m:nary>
                <m:naryPr>
                  <m:chr m:val="∑"/>
                  <m:supHide m:val="1"/>
                </m:naryPr>
                <m:sub>
                  <m:r>
                    <w:rPr>
                      <w:rFonts w:ascii="Cambria Math" w:hAnsi="Cambria Math"/>
                    </w:rPr>
                    <m:t xml:space="preserve">l</m:t>
                  </m:r>
                </m:sub>
                <m:sup/>
                <m:e>
                  <m:d>
                    <m:dPr>
                      <m:begChr m:val="("/>
                      <m:endChr m:val=")"/>
                    </m:dPr>
                    <m:e>
                      <m:sSub>
                        <m:e>
                          <m:r>
                            <w:rPr>
                              <w:rFonts w:ascii="Cambria Math" w:hAnsi="Cambria Math"/>
                            </w:rPr>
                            <m:t xml:space="preserve">k</m:t>
                          </m:r>
                        </m:e>
                        <m:sub>
                          <m:r>
                            <w:rPr>
                              <w:rFonts w:ascii="Cambria Math" w:hAnsi="Cambria Math"/>
                            </w:rPr>
                            <m:t xml:space="preserve">l</m:t>
                          </m:r>
                        </m:sub>
                      </m:sSub>
                      <m:r>
                        <w:rPr>
                          <w:rFonts w:ascii="Cambria Math" w:hAnsi="Cambria Math"/>
                        </w:rPr>
                        <m:t xml:space="preserve">⋅</m:t>
                      </m:r>
                      <m:sSubSup>
                        <m:e>
                          <m:r>
                            <w:rPr>
                              <w:rFonts w:ascii="Cambria Math" w:hAnsi="Cambria Math"/>
                            </w:rPr>
                            <m:t xml:space="preserve">k</m:t>
                          </m:r>
                        </m:e>
                        <m:sub>
                          <m:r>
                            <m:rPr>
                              <m:lit/>
                              <m:nor/>
                            </m:rPr>
                            <w:rPr>
                              <w:rFonts w:ascii="Cambria Math" w:hAnsi="Cambria Math"/>
                            </w:rPr>
                            <m:t xml:space="preserve">диф,m</m:t>
                          </m:r>
                        </m:sub>
                        <m:sup>
                          <m:r>
                            <w:rPr>
                              <w:rFonts w:ascii="Cambria Math" w:hAnsi="Cambria Math"/>
                            </w:rPr>
                            <m:t xml:space="preserve">j</m:t>
                          </m:r>
                        </m:sup>
                      </m:sSubSup>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l</m:t>
                              </m:r>
                            </m:sub>
                          </m:sSub>
                        </m:sup>
                      </m:sSup>
                    </m:e>
                  </m:d>
                </m:e>
              </m:nary>
            </m:e>
          </m:nary>
        </m:oMath>
      </m:oMathPara>
    </w:p>
    <w:p>
      <w:pPr>
        <w:pStyle w:val="Normal"/>
        <w:spacing w:lineRule="auto" w:line="276" w:before="0" w:after="200"/>
        <w:ind w:firstLine="709"/>
        <w:rPr>
          <w:rFonts w:eastAsia="Arial"/>
          <w:sz w:val="24"/>
          <w:szCs w:val="24"/>
        </w:rPr>
      </w:pPr>
      <w:r>
        <w:rPr>
          <w:rFonts w:eastAsia="Arial"/>
          <w:sz w:val="24"/>
          <w:szCs w:val="24"/>
        </w:rPr>
        <w:t>где:</w:t>
        <w:tab/>
      </w:r>
    </w:p>
    <w:p>
      <w:pPr>
        <w:pStyle w:val="Normal"/>
        <w:numPr>
          <w:ilvl w:val="0"/>
          <w:numId w:val="0"/>
        </w:numPr>
        <w:spacing w:lineRule="auto" w:line="276" w:before="120" w:after="120"/>
        <w:ind w:left="0" w:firstLine="567"/>
        <w:jc w:val="both"/>
        <w:outlineLvl w:val="3"/>
        <w:rPr>
          <w:sz w:val="24"/>
          <w:szCs w:val="24"/>
        </w:rPr>
      </w:pPr>
      <w:r>
        <w:rPr/>
        <w:drawing>
          <wp:inline distT="0" distB="0" distL="0" distR="0">
            <wp:extent cx="185420" cy="228600"/>
            <wp:effectExtent l="0" t="0" r="0" b="0"/>
            <wp:docPr id="17"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descr=""/>
                    <pic:cNvPicPr>
                      <a:picLocks noChangeAspect="1" noChangeArrowheads="1"/>
                    </pic:cNvPicPr>
                  </pic:nvPicPr>
                  <pic:blipFill>
                    <a:blip r:embed="rId26"/>
                    <a:stretch>
                      <a:fillRect/>
                    </a:stretch>
                  </pic:blipFill>
                  <pic:spPr bwMode="auto">
                    <a:xfrm>
                      <a:off x="0" y="0"/>
                      <a:ext cx="185420" cy="228600"/>
                    </a:xfrm>
                    <a:prstGeom prst="rect">
                      <a:avLst/>
                    </a:prstGeom>
                  </pic:spPr>
                </pic:pic>
              </a:graphicData>
            </a:graphic>
          </wp:inline>
        </w:drawing>
      </w:r>
      <w:r>
        <w:rPr>
          <w:sz w:val="24"/>
          <w:szCs w:val="24"/>
        </w:rPr>
        <w:t xml:space="preserve"> </w:t>
      </w:r>
      <w:r>
        <w:rPr>
          <w:rFonts w:eastAsia="Arial"/>
          <w:sz w:val="24"/>
          <w:szCs w:val="24"/>
        </w:rPr>
        <w:t>―</w:t>
      </w:r>
      <w:r>
        <w:rPr>
          <w:sz w:val="24"/>
          <w:szCs w:val="24"/>
        </w:rPr>
        <w:t xml:space="preserve"> </w:t>
      </w:r>
      <w:r>
        <w:rPr>
          <w:rFonts w:eastAsia="Arial"/>
          <w:sz w:val="24"/>
          <w:szCs w:val="24"/>
        </w:rPr>
        <w:t xml:space="preserve">коэффициенты </w:t>
      </w:r>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1</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2</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sz w:val="24"/>
          <w:szCs w:val="24"/>
        </w:rPr>
        <w:t>)</w:t>
      </w:r>
    </w:p>
    <w:p>
      <w:pPr>
        <w:pStyle w:val="Normal"/>
        <w:numPr>
          <w:ilvl w:val="0"/>
          <w:numId w:val="0"/>
        </w:numPr>
        <w:spacing w:lineRule="auto" w:line="276" w:before="120" w:after="120"/>
        <w:ind w:left="0" w:firstLine="567"/>
        <w:jc w:val="both"/>
        <w:outlineLvl w:val="3"/>
        <w:rPr>
          <w:sz w:val="24"/>
          <w:szCs w:val="24"/>
        </w:rPr>
      </w:pPr>
      <w:r>
        <w:rPr/>
        <w:drawing>
          <wp:inline distT="0" distB="0" distL="0" distR="0">
            <wp:extent cx="184785" cy="277495"/>
            <wp:effectExtent l="0" t="0" r="0" b="0"/>
            <wp:docPr id="18"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descr=""/>
                    <pic:cNvPicPr>
                      <a:picLocks noChangeAspect="1" noChangeArrowheads="1"/>
                    </pic:cNvPicPr>
                  </pic:nvPicPr>
                  <pic:blipFill>
                    <a:blip r:embed="rId27"/>
                    <a:stretch>
                      <a:fillRect/>
                    </a:stretch>
                  </pic:blipFill>
                  <pic:spPr bwMode="auto">
                    <a:xfrm>
                      <a:off x="0" y="0"/>
                      <a:ext cx="184785" cy="277495"/>
                    </a:xfrm>
                    <a:prstGeom prst="rect">
                      <a:avLst/>
                    </a:prstGeom>
                  </pic:spPr>
                </pic:pic>
              </a:graphicData>
            </a:graphic>
          </wp:inline>
        </w:drawing>
      </w:r>
      <w:r>
        <w:rPr>
          <w:sz w:val="24"/>
          <w:szCs w:val="24"/>
        </w:rPr>
        <w:t xml:space="preserve"> </w:t>
      </w:r>
      <w:r>
        <w:rPr>
          <w:rFonts w:eastAsia="Arial"/>
          <w:sz w:val="24"/>
          <w:szCs w:val="24"/>
        </w:rPr>
        <w:t>―</w:t>
      </w:r>
      <w:r>
        <w:rPr>
          <w:sz w:val="24"/>
          <w:szCs w:val="24"/>
        </w:rPr>
        <w:t xml:space="preserve"> </w:t>
      </w:r>
      <w:r>
        <w:rPr>
          <w:rFonts w:eastAsia="Arial"/>
          <w:sz w:val="24"/>
          <w:szCs w:val="24"/>
        </w:rPr>
        <w:t>коэффициенты (</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2</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3</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4</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5</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6</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7</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1</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2</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9</m:t>
            </m:r>
          </m:sub>
        </m:sSub>
      </m:oMath>
      <w:r>
        <w:rPr>
          <w:rFonts w:eastAsia="Arial"/>
          <w:sz w:val="24"/>
          <w:szCs w:val="24"/>
        </w:rPr>
        <w:t xml:space="preserve">), </w:t>
      </w:r>
    </w:p>
    <w:p>
      <w:pPr>
        <w:pStyle w:val="Normal"/>
        <w:numPr>
          <w:ilvl w:val="0"/>
          <w:numId w:val="0"/>
        </w:numPr>
        <w:spacing w:lineRule="auto" w:line="276" w:before="120" w:after="120"/>
        <w:ind w:left="0" w:firstLine="567"/>
        <w:jc w:val="both"/>
        <w:outlineLvl w:val="3"/>
        <w:rPr>
          <w:sz w:val="24"/>
          <w:szCs w:val="24"/>
        </w:rPr>
      </w:pPr>
      <w:r>
        <w:rPr>
          <w:rFonts w:eastAsia="Arial"/>
          <w:sz w:val="24"/>
          <w:szCs w:val="24"/>
        </w:rPr>
        <w:t xml:space="preserve">определяемые для каждого из соответствующих им объемов невыполнения требований по готовности </w:t>
      </w:r>
      <w:r>
        <w:rPr/>
        <w:drawing>
          <wp:inline distT="0" distB="0" distL="0" distR="0">
            <wp:extent cx="277495" cy="277495"/>
            <wp:effectExtent l="0" t="0" r="0" b="0"/>
            <wp:docPr id="19"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descr=""/>
                    <pic:cNvPicPr>
                      <a:picLocks noChangeAspect="1" noChangeArrowheads="1"/>
                    </pic:cNvPicPr>
                  </pic:nvPicPr>
                  <pic:blipFill>
                    <a:blip r:embed="rId28"/>
                    <a:stretch>
                      <a:fillRect/>
                    </a:stretch>
                  </pic:blipFill>
                  <pic:spPr bwMode="auto">
                    <a:xfrm>
                      <a:off x="0" y="0"/>
                      <a:ext cx="277495" cy="277495"/>
                    </a:xfrm>
                    <a:prstGeom prst="rect">
                      <a:avLst/>
                    </a:prstGeom>
                  </pic:spPr>
                </pic:pic>
              </a:graphicData>
            </a:graphic>
          </wp:inline>
        </w:drawing>
      </w:r>
      <w:r>
        <w:rPr>
          <w:rFonts w:eastAsia="Arial"/>
          <w:sz w:val="24"/>
          <w:szCs w:val="24"/>
        </w:rPr>
        <w: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t>
      </w:r>
    </w:p>
    <w:p>
      <w:pPr>
        <w:pStyle w:val="Normal"/>
        <w:numPr>
          <w:ilvl w:val="0"/>
          <w:numId w:val="0"/>
        </w:numPr>
        <w:spacing w:lineRule="auto" w:line="276" w:before="120" w:after="120"/>
        <w:ind w:left="0" w:firstLine="567"/>
        <w:jc w:val="both"/>
        <w:outlineLvl w:val="2"/>
        <w:rPr>
          <w:sz w:val="24"/>
          <w:szCs w:val="24"/>
        </w:rPr>
      </w:pPr>
      <w:r>
        <w:rPr>
          <w:rFonts w:eastAsia="Arial"/>
          <w:sz w:val="24"/>
          <w:szCs w:val="24"/>
        </w:rPr>
        <w:t xml:space="preserve">Для входящей в состав Дальневосточного федерального округа отдельной территории, ранее относившейся к неценовым зонам, </w:t>
      </w:r>
      <w:r>
        <w:rPr/>
        <w:drawing>
          <wp:inline distT="0" distB="0" distL="0" distR="0">
            <wp:extent cx="636270" cy="278130"/>
            <wp:effectExtent l="0" t="0" r="0" b="0"/>
            <wp:docPr id="20"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descr=""/>
                    <pic:cNvPicPr>
                      <a:picLocks noChangeAspect="1" noChangeArrowheads="1"/>
                    </pic:cNvPicPr>
                  </pic:nvPicPr>
                  <pic:blipFill>
                    <a:blip r:embed="rId29"/>
                    <a:stretch>
                      <a:fillRect/>
                    </a:stretch>
                  </pic:blipFill>
                  <pic:spPr bwMode="auto">
                    <a:xfrm>
                      <a:off x="0" y="0"/>
                      <a:ext cx="636270" cy="278130"/>
                    </a:xfrm>
                    <a:prstGeom prst="rect">
                      <a:avLst/>
                    </a:prstGeom>
                  </pic:spPr>
                </pic:pic>
              </a:graphicData>
            </a:graphic>
          </wp:inline>
        </w:drawing>
      </w:r>
      <w:r>
        <w:rPr>
          <w:rFonts w:eastAsia="Arial"/>
          <w:sz w:val="24"/>
          <w:szCs w:val="24"/>
        </w:rPr>
        <w:t>.</w:t>
      </w:r>
    </w:p>
    <w:p>
      <w:pPr>
        <w:pStyle w:val="Normal"/>
        <w:spacing w:lineRule="auto" w:line="276" w:before="0" w:after="200"/>
        <w:ind w:firstLine="567"/>
        <w:jc w:val="both"/>
        <w:rPr>
          <w:rFonts w:eastAsia="Arial"/>
          <w:sz w:val="24"/>
          <w:szCs w:val="24"/>
        </w:rPr>
      </w:pPr>
      <w:r>
        <w:rPr>
          <w:rFonts w:eastAsia="Arial"/>
          <w:sz w:val="24"/>
          <w:szCs w:val="24"/>
        </w:rPr>
        <w:t xml:space="preserve">В соответствии с Постановлением Правительства РФ от 27.12.2010 N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t>
      </w:r>
    </w:p>
    <w:p>
      <w:pPr>
        <w:pStyle w:val="Normal"/>
        <w:spacing w:lineRule="auto" w:line="276" w:before="0" w:after="200"/>
        <w:ind w:firstLine="567"/>
        <w:jc w:val="both"/>
        <w:rPr>
          <w:rFonts w:eastAsia="Arial"/>
          <w:sz w:val="24"/>
          <w:szCs w:val="24"/>
        </w:rPr>
      </w:pPr>
      <w:r>
        <w:rPr>
          <w:rFonts w:eastAsia="Arial"/>
          <w:sz w:val="24"/>
          <w:szCs w:val="24"/>
        </w:rPr>
        <w: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t>
      </w:r>
    </w:p>
    <w:p>
      <w:pPr>
        <w:pStyle w:val="Normal"/>
        <w:spacing w:lineRule="auto" w:line="276" w:before="0" w:after="200"/>
        <w:ind w:firstLine="567"/>
        <w:jc w:val="both"/>
        <w:rPr>
          <w:sz w:val="24"/>
          <w:szCs w:val="24"/>
        </w:rPr>
      </w:pPr>
      <w:r>
        <w:rPr>
          <w:sz w:val="24"/>
          <w:szCs w:val="24"/>
        </w:rPr>
        <w:t xml:space="preserve">  </w:t>
      </w:r>
      <w:r>
        <w:rPr>
          <w:rFonts w:eastAsia="Arial"/>
          <w:sz w:val="24"/>
          <w:szCs w:val="24"/>
        </w:rPr>
        <w:t xml:space="preserve">- </w:t>
      </w:r>
      <w:r>
        <w:rPr/>
        <w:drawing>
          <wp:inline distT="0" distB="0" distL="0" distR="0">
            <wp:extent cx="474980" cy="302260"/>
            <wp:effectExtent l="0" t="0" r="0" b="0"/>
            <wp:docPr id="21"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descr=""/>
                    <pic:cNvPicPr>
                      <a:picLocks noChangeAspect="1" noChangeArrowheads="1"/>
                    </pic:cNvPicPr>
                  </pic:nvPicPr>
                  <pic:blipFill>
                    <a:blip r:embed="rId30"/>
                    <a:stretch>
                      <a:fillRect/>
                    </a:stretch>
                  </pic:blipFill>
                  <pic:spPr bwMode="auto">
                    <a:xfrm>
                      <a:off x="0" y="0"/>
                      <a:ext cx="474980" cy="302260"/>
                    </a:xfrm>
                    <a:prstGeom prst="rect">
                      <a:avLst/>
                    </a:prstGeom>
                  </pic:spPr>
                </pic:pic>
              </a:graphicData>
            </a:graphic>
          </wp:inline>
        </w:drawing>
      </w:r>
      <w:r>
        <w:rPr>
          <w:rFonts w:eastAsia="Arial"/>
          <w:sz w:val="24"/>
          <w:szCs w:val="24"/>
        </w:rPr>
        <w:t xml:space="preserve"> - цена на мощность в месяце (m), определяемая согласно Правилам ОРЭМ для генерирующего объекта (g)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(pr), в отношении которого Правительством Российской Федерации принято соответствующее решение (рублей/МВт в месяц);</w:t>
      </w:r>
    </w:p>
    <w:p>
      <w:pPr>
        <w:pStyle w:val="Normal"/>
        <w:spacing w:lineRule="auto" w:line="276" w:before="0" w:after="200"/>
        <w:ind w:firstLine="567"/>
        <w:jc w:val="both"/>
        <w:rPr>
          <w:rFonts w:eastAsia="Arial"/>
          <w:sz w:val="24"/>
          <w:szCs w:val="24"/>
        </w:rPr>
      </w:pPr>
      <w:r>
        <w:rPr>
          <w:rFonts w:eastAsia="Arial"/>
          <w:sz w:val="24"/>
          <w:szCs w:val="24"/>
        </w:rPr>
        <w: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t>
      </w:r>
    </w:p>
    <w:p>
      <w:pPr>
        <w:pStyle w:val="Normal"/>
        <w:spacing w:lineRule="auto" w:line="276" w:before="240" w:after="200"/>
        <w:jc w:val="both"/>
        <w:rPr>
          <w:sz w:val="24"/>
          <w:szCs w:val="24"/>
        </w:rPr>
      </w:pPr>
      <w:r>
        <w:rPr>
          <w:rFonts w:eastAsia="Arial"/>
          <w:sz w:val="24"/>
          <w:szCs w:val="24"/>
        </w:rPr>
        <w:t xml:space="preserve">- </w:t>
      </w:r>
      <w:r>
        <w:rPr/>
        <w:drawing>
          <wp:inline distT="0" distB="0" distL="0" distR="0">
            <wp:extent cx="457200" cy="302895"/>
            <wp:effectExtent l="0" t="0" r="0" b="0"/>
            <wp:docPr id="22"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descr=""/>
                    <pic:cNvPicPr>
                      <a:picLocks noChangeAspect="1" noChangeArrowheads="1"/>
                    </pic:cNvPicPr>
                  </pic:nvPicPr>
                  <pic:blipFill>
                    <a:blip r:embed="rId31"/>
                    <a:stretch>
                      <a:fillRect/>
                    </a:stretch>
                  </pic:blipFill>
                  <pic:spPr bwMode="auto">
                    <a:xfrm>
                      <a:off x="0" y="0"/>
                      <a:ext cx="457200" cy="302895"/>
                    </a:xfrm>
                    <a:prstGeom prst="rect">
                      <a:avLst/>
                    </a:prstGeom>
                  </pic:spPr>
                </pic:pic>
              </a:graphicData>
            </a:graphic>
          </wp:inline>
        </w:drawing>
      </w:r>
      <w:r>
        <w:rPr>
          <w:rFonts w:eastAsia="Arial"/>
          <w:sz w:val="24"/>
          <w:szCs w:val="24"/>
        </w:rPr>
        <w:t xml:space="preserve"> - сезонный коэффициент, рассчитанный для ценовой зоны оптового рынка (z) месяца (m); </w:t>
      </w:r>
    </w:p>
    <w:p>
      <w:pPr>
        <w:pStyle w:val="Normal"/>
        <w:widowControl/>
        <w:spacing w:before="120" w:after="20"/>
        <w:ind w:firstLine="709"/>
        <w:jc w:val="both"/>
        <w:rPr>
          <w:sz w:val="24"/>
          <w:szCs w:val="24"/>
        </w:rPr>
      </w:pPr>
      <w:r>
        <w:rPr>
          <w:rFonts w:eastAsia="Arial"/>
          <w:sz w:val="24"/>
          <w:szCs w:val="24"/>
        </w:rPr>
        <w:t xml:space="preserve">Стоимость недопоставки мощности (снижение оплаты мощности) рассчитывается как произведение объема недопоставки мощности </w:t>
      </w:r>
      <w:r>
        <w:rPr/>
      </w:r>
      <m:oMath xmlns:m="http://schemas.openxmlformats.org/officeDocument/2006/math">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гот,j</m:t>
                </m:r>
              </m:sup>
            </m:sSubSup>
          </m:sub>
        </m:sSub>
      </m:oMath>
      <w:r>
        <w:rPr>
          <w:rFonts w:eastAsia="Arial"/>
          <w:sz w:val="24"/>
          <w:szCs w:val="24"/>
        </w:rPr>
        <w:t xml:space="preserve"> на цену </w:t>
      </w:r>
      <w:r>
        <w:rPr/>
        <w:drawing>
          <wp:inline distT="0" distB="0" distL="0" distR="0">
            <wp:extent cx="474980" cy="302260"/>
            <wp:effectExtent l="0" t="0" r="0" b="0"/>
            <wp:docPr id="23"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descr=""/>
                    <pic:cNvPicPr>
                      <a:picLocks noChangeAspect="1" noChangeArrowheads="1"/>
                    </pic:cNvPicPr>
                  </pic:nvPicPr>
                  <pic:blipFill>
                    <a:blip r:embed="rId32"/>
                    <a:srcRect l="-42" t="-65" r="-42" b="-65"/>
                    <a:stretch>
                      <a:fillRect/>
                    </a:stretch>
                  </pic:blipFill>
                  <pic:spPr bwMode="auto">
                    <a:xfrm>
                      <a:off x="0" y="0"/>
                      <a:ext cx="474980" cy="302260"/>
                    </a:xfrm>
                    <a:prstGeom prst="rect">
                      <a:avLst/>
                    </a:prstGeom>
                  </pic:spPr>
                </pic:pic>
              </a:graphicData>
            </a:graphic>
          </wp:inline>
        </w:drawing>
      </w:r>
      <w:r>
        <w:rPr>
          <w:rFonts w:eastAsia="Arial"/>
          <w:sz w:val="24"/>
          <w:szCs w:val="24"/>
        </w:rPr>
        <w:t xml:space="preserve"> и на коэффициент сезонности</w:t>
      </w:r>
      <w:r>
        <w:rPr/>
        <w:drawing>
          <wp:inline distT="0" distB="0" distL="0" distR="0">
            <wp:extent cx="457200" cy="302895"/>
            <wp:effectExtent l="0" t="0" r="0" b="0"/>
            <wp:docPr id="24"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descr=""/>
                    <pic:cNvPicPr>
                      <a:picLocks noChangeAspect="1" noChangeArrowheads="1"/>
                    </pic:cNvPicPr>
                  </pic:nvPicPr>
                  <pic:blipFill>
                    <a:blip r:embed="rId33"/>
                    <a:srcRect l="-43" t="-65" r="-43" b="-65"/>
                    <a:stretch>
                      <a:fillRect/>
                    </a:stretch>
                  </pic:blipFill>
                  <pic:spPr bwMode="auto">
                    <a:xfrm>
                      <a:off x="0" y="0"/>
                      <a:ext cx="457200" cy="302895"/>
                    </a:xfrm>
                    <a:prstGeom prst="rect">
                      <a:avLst/>
                    </a:prstGeom>
                  </pic:spPr>
                </pic:pic>
              </a:graphicData>
            </a:graphic>
          </wp:inline>
        </w:drawing>
      </w:r>
      <w:r>
        <w:rPr>
          <w:rFonts w:eastAsia="Arial"/>
          <w:sz w:val="24"/>
          <w:szCs w:val="24"/>
        </w:rPr>
        <w:t xml:space="preserve">. </w:t>
      </w:r>
    </w:p>
    <w:p>
      <w:pPr>
        <w:pStyle w:val="Normal"/>
        <w:widowControl/>
        <w:spacing w:before="120" w:after="20"/>
        <w:ind w:firstLine="709"/>
        <w:jc w:val="both"/>
        <w:rPr>
          <w:sz w:val="24"/>
          <w:szCs w:val="24"/>
        </w:rPr>
      </w:pPr>
      <w:r>
        <w:rPr>
          <w:sz w:val="24"/>
          <w:szCs w:val="24"/>
        </w:rPr>
      </w:r>
    </w:p>
    <w:tbl>
      <w:tblPr>
        <w:tblW w:w="10120"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241"/>
        <w:gridCol w:w="4878"/>
      </w:tblGrid>
      <w:tr>
        <w:trPr>
          <w:trHeight w:val="282" w:hRule="atLeast"/>
        </w:trPr>
        <w:tc>
          <w:tcPr>
            <w:tcW w:w="5241" w:type="dxa"/>
            <w:tcBorders/>
          </w:tcPr>
          <w:p>
            <w:pPr>
              <w:pStyle w:val="Normal"/>
              <w:widowControl w:val="false"/>
              <w:jc w:val="center"/>
              <w:rPr>
                <w:b/>
                <w:sz w:val="24"/>
                <w:szCs w:val="24"/>
                <w:lang w:val="en-GB"/>
              </w:rPr>
            </w:pPr>
            <w:r>
              <w:rPr>
                <w:b/>
                <w:sz w:val="24"/>
                <w:szCs w:val="24"/>
                <w:lang w:val="en-GB"/>
              </w:rPr>
              <w:t>Покупатель:</w:t>
            </w:r>
          </w:p>
        </w:tc>
        <w:tc>
          <w:tcPr>
            <w:tcW w:w="4878" w:type="dxa"/>
            <w:tcBorders/>
          </w:tcPr>
          <w:p>
            <w:pPr>
              <w:pStyle w:val="Normal"/>
              <w:widowControl w:val="false"/>
              <w:jc w:val="center"/>
              <w:rPr>
                <w:b/>
                <w:sz w:val="24"/>
                <w:szCs w:val="24"/>
                <w:lang w:val="en-GB"/>
              </w:rPr>
            </w:pPr>
            <w:r>
              <w:rPr>
                <w:b/>
                <w:sz w:val="24"/>
                <w:szCs w:val="24"/>
              </w:rPr>
              <w:t>Поставщик</w:t>
            </w:r>
            <w:r>
              <w:rPr>
                <w:b/>
                <w:sz w:val="24"/>
                <w:szCs w:val="24"/>
                <w:lang w:val="en-GB"/>
              </w:rPr>
              <w:t>:</w:t>
            </w:r>
          </w:p>
        </w:tc>
      </w:tr>
      <w:tr>
        <w:trPr>
          <w:trHeight w:val="611" w:hRule="atLeast"/>
        </w:trPr>
        <w:tc>
          <w:tcPr>
            <w:tcW w:w="5241"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4878"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_______________ / _______________</w:t>
            </w:r>
          </w:p>
        </w:tc>
      </w:tr>
    </w:tbl>
    <w:p>
      <w:pPr>
        <w:pStyle w:val="Normal"/>
        <w:widowControl/>
        <w:spacing w:before="120" w:after="20"/>
        <w:jc w:val="both"/>
        <w:rPr>
          <w:sz w:val="24"/>
          <w:szCs w:val="24"/>
        </w:rPr>
      </w:pPr>
      <w:r>
        <w:rPr/>
      </w:r>
    </w:p>
    <w:sectPr>
      <w:headerReference w:type="default" r:id="rId34"/>
      <w:footerReference w:type="default" r:id="rId35"/>
      <w:footerReference w:type="first" r:id="rId36"/>
      <w:footnotePr>
        <w:numFmt w:val="decimal"/>
      </w:footnotePr>
      <w:type w:val="nextPage"/>
      <w:pgSz w:w="11906" w:h="16838"/>
      <w:pgMar w:left="1418" w:right="851" w:gutter="0" w:header="567" w:top="1134" w:footer="709" w:bottom="1134"/>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roman"/>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21</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23</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26</w:t>
    </w:r>
    <w:r>
      <w:rPr>
        <w:sz w:val="24"/>
        <w:szCs w:val="24"/>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t>
      </w:r>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Условие о размере авансового платежа в размере не менее 50 (пятидесяти) процентов от стоимости соответствующей партии Товара предусматривается в  договорах, заключаемых в соответствии с Федеральным законом от 18 июля 2011 года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 июля 2015 г. № 719 «О подтверждении производства промышленной продукции на территории Российской Федерации». При этом необходимо изменить процент последующих платежей (пункт 2.5.3. проекта Договора).</w:t>
      </w:r>
    </w:p>
  </w:footnote>
  <w:footnote w:id="5">
    <w:p>
      <w:pPr>
        <w:pStyle w:val="FootnoteText"/>
        <w:jc w:val="both"/>
        <w:rPr/>
      </w:pPr>
      <w:r>
        <w:rPr>
          <w:rStyle w:val="Style14"/>
        </w:rPr>
        <w:footnoteRef/>
      </w:r>
      <w:r>
        <w:rPr/>
        <w:t xml:space="preserve"> </w:t>
      </w:r>
      <w:r>
        <w:rPr/>
        <w:t>Указывается меньший размер платежей, в случае применения ссылки к пункту 2.5.2. проекта Договора о закупке кранового оборудования.</w:t>
      </w:r>
    </w:p>
  </w:footnote>
  <w:footnote w:id="6">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Общества.</w:t>
      </w:r>
    </w:p>
  </w:footnote>
  <w:footnote w:id="7">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Общества.</w:t>
      </w:r>
    </w:p>
  </w:footnote>
  <w:footnote w:id="8">
    <w:p>
      <w:pPr>
        <w:pStyle w:val="FootnoteText"/>
        <w:jc w:val="both"/>
        <w:rPr/>
      </w:pPr>
      <w:r>
        <w:rPr>
          <w:rStyle w:val="Style14"/>
        </w:rPr>
        <w:footnoteRef/>
      </w:r>
      <w:r>
        <w:rPr/>
        <w:t xml:space="preserve"> </w:t>
      </w:r>
      <w:r>
        <w:rPr/>
        <w:t>В случае, если Контрагент – МСП и применяется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10">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11">
    <w:p>
      <w:pPr>
        <w:pStyle w:val="FootnoteText"/>
        <w:jc w:val="both"/>
        <w:rPr/>
      </w:pPr>
      <w:r>
        <w:rPr>
          <w:rStyle w:val="Style14"/>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2">
    <w:p>
      <w:pPr>
        <w:pStyle w:val="FootnoteText"/>
        <w:rPr/>
      </w:pPr>
      <w:r>
        <w:rPr>
          <w:rStyle w:val="Style14"/>
        </w:rPr>
        <w:footnoteRef/>
      </w:r>
      <w:r>
        <w:rPr/>
        <w:t xml:space="preserve"> </w:t>
      </w:r>
      <w:r>
        <w:rPr>
          <w:szCs w:val="24"/>
          <w:highlight w:val="lightGray"/>
        </w:rPr>
        <w:t>Указанное условие применяется к договорам в отношении поставки Товара, обеспечивающего производство и/или передачу (транспортировку) электрической энергии и мощности.</w:t>
      </w:r>
    </w:p>
  </w:footnote>
  <w:footnote w:id="13">
    <w:p>
      <w:pPr>
        <w:pStyle w:val="FootnoteText"/>
        <w:jc w:val="both"/>
        <w:rPr>
          <w:szCs w:val="24"/>
          <w:highlight w:val="lightGray"/>
        </w:rPr>
      </w:pPr>
      <w:r>
        <w:rPr>
          <w:rStyle w:val="Style14"/>
        </w:rPr>
        <w:footnoteRef/>
      </w:r>
      <w:r>
        <w:rPr/>
        <w:t xml:space="preserve"> </w:t>
      </w:r>
      <w:r>
        <w:rPr>
          <w:highlight w:val="lightGray"/>
        </w:rPr>
        <w:t>Необходимость включения данного пункта определяется в соответствии с приказом ПАО «РусГидро</w:t>
      </w:r>
      <w:r>
        <w:rPr>
          <w:szCs w:val="24"/>
          <w:highlight w:val="lightGray"/>
        </w:rPr>
        <w:t>» от 12.01.2021 № 4.</w:t>
      </w:r>
    </w:p>
  </w:footnote>
  <w:footnote w:id="14">
    <w:p>
      <w:pPr>
        <w:pStyle w:val="FootnoteText"/>
        <w:rPr/>
      </w:pPr>
      <w:r>
        <w:rPr>
          <w:rStyle w:val="Style14"/>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15">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16">
    <w:p>
      <w:pPr>
        <w:pStyle w:val="FootnoteText"/>
        <w:jc w:val="both"/>
        <w:rPr/>
      </w:pPr>
      <w:r>
        <w:rPr>
          <w:rStyle w:val="Style14"/>
        </w:rPr>
        <w:footnoteRef/>
      </w:r>
      <w:r>
        <w:rPr/>
        <w:t xml:space="preserve"> </w:t>
      </w:r>
      <w:r>
        <w:rPr/>
        <w:t>В случае если Поставщик является субъектом малого предпринимательства,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7">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8">
    <w:p>
      <w:pPr>
        <w:pStyle w:val="FootnoteText"/>
        <w:jc w:val="both"/>
        <w:rPr/>
      </w:pPr>
      <w:r>
        <w:rPr>
          <w:rStyle w:val="Style14"/>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19">
    <w:p>
      <w:pPr>
        <w:pStyle w:val="FootnoteText"/>
        <w:jc w:val="both"/>
        <w:rPr/>
      </w:pPr>
      <w:r>
        <w:rPr>
          <w:rStyle w:val="Style14"/>
        </w:rPr>
        <w:footnoteRef/>
      </w:r>
      <w:r>
        <w:rPr>
          <w:highlight w:val="lightGray"/>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20">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Общества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/6</w:t>
      </w:r>
    </w:p>
  </w:footnote>
  <w:footnote w:id="21">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22">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23">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24">
    <w:p>
      <w:pPr>
        <w:pStyle w:val="FootnoteText"/>
        <w:jc w:val="both"/>
        <w:rPr/>
      </w:pPr>
      <w:r>
        <w:rPr>
          <w:rStyle w:val="Style14"/>
        </w:rPr>
        <w:footnoteRef/>
      </w:r>
      <w:r>
        <w:rPr/>
        <w:t xml:space="preserve"> </w:t>
      </w:r>
      <w:r>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5">
    <w:p>
      <w:pPr>
        <w:pStyle w:val="FootnoteText"/>
        <w:jc w:val="both"/>
        <w:rPr/>
      </w:pPr>
      <w:r>
        <w:rPr>
          <w:rStyle w:val="Style14"/>
        </w:rPr>
        <w:footnoteRef/>
      </w:r>
      <w:r>
        <w:rPr/>
        <w:t xml:space="preserve"> </w:t>
      </w:r>
      <w:r>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3">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6">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7">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Linenumber1" w:customStyle="1">
    <w:name w:val="line number1"/>
    <w:qFormat/>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Linenumber">
    <w:name w:val="line number"/>
    <w:qFormat/>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customStyle="1">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eastAsia="Times New Roman" w:cs="Calibri"/>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b">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yperlink" Target="http://www.cbr.ru/" TargetMode="External"/><Relationship Id="rId9" Type="http://schemas.openxmlformats.org/officeDocument/2006/relationships/hyperlink" Target="http://www.cbr.ru/" TargetMode="External"/><Relationship Id="rId10" Type="http://schemas.openxmlformats.org/officeDocument/2006/relationships/image" Target="media/image1.png"/><Relationship Id="rId11" Type="http://schemas.openxmlformats.org/officeDocument/2006/relationships/image" Target="media/image2.wmf"/><Relationship Id="rId12" Type="http://schemas.openxmlformats.org/officeDocument/2006/relationships/image" Target="media/image3.wmf"/><Relationship Id="rId13" Type="http://schemas.openxmlformats.org/officeDocument/2006/relationships/image" Target="media/image4.wmf"/><Relationship Id="rId14" Type="http://schemas.openxmlformats.org/officeDocument/2006/relationships/image" Target="media/image5.wmf"/><Relationship Id="rId15" Type="http://schemas.openxmlformats.org/officeDocument/2006/relationships/image" Target="media/image6.wmf"/><Relationship Id="rId16" Type="http://schemas.openxmlformats.org/officeDocument/2006/relationships/image" Target="media/image7.wmf"/><Relationship Id="rId17" Type="http://schemas.openxmlformats.org/officeDocument/2006/relationships/image" Target="media/image8.wmf"/><Relationship Id="rId18" Type="http://schemas.openxmlformats.org/officeDocument/2006/relationships/image" Target="media/image9.wmf"/><Relationship Id="rId19" Type="http://schemas.openxmlformats.org/officeDocument/2006/relationships/image" Target="media/image10.wmf"/><Relationship Id="rId20" Type="http://schemas.openxmlformats.org/officeDocument/2006/relationships/image" Target="media/image11.wmf"/><Relationship Id="rId21" Type="http://schemas.openxmlformats.org/officeDocument/2006/relationships/image" Target="media/image12.wmf"/><Relationship Id="rId22" Type="http://schemas.openxmlformats.org/officeDocument/2006/relationships/image" Target="media/image13.wmf"/><Relationship Id="rId23" Type="http://schemas.openxmlformats.org/officeDocument/2006/relationships/image" Target="media/image14.wmf"/><Relationship Id="rId24" Type="http://schemas.openxmlformats.org/officeDocument/2006/relationships/image" Target="media/image15.wmf"/><Relationship Id="rId25" Type="http://schemas.openxmlformats.org/officeDocument/2006/relationships/image" Target="media/image16.wmf"/><Relationship Id="rId26" Type="http://schemas.openxmlformats.org/officeDocument/2006/relationships/image" Target="media/image17.wmf"/><Relationship Id="rId27" Type="http://schemas.openxmlformats.org/officeDocument/2006/relationships/image" Target="media/image18.wmf"/><Relationship Id="rId28" Type="http://schemas.openxmlformats.org/officeDocument/2006/relationships/image" Target="media/image19.wmf"/><Relationship Id="rId29" Type="http://schemas.openxmlformats.org/officeDocument/2006/relationships/image" Target="media/image20.wmf"/><Relationship Id="rId30" Type="http://schemas.openxmlformats.org/officeDocument/2006/relationships/image" Target="media/image21.wmf"/><Relationship Id="rId31" Type="http://schemas.openxmlformats.org/officeDocument/2006/relationships/image" Target="media/image22.wmf"/><Relationship Id="rId32" Type="http://schemas.openxmlformats.org/officeDocument/2006/relationships/image" Target="media/image21.wmf"/><Relationship Id="rId33" Type="http://schemas.openxmlformats.org/officeDocument/2006/relationships/image" Target="media/image22.wmf"/><Relationship Id="rId34" Type="http://schemas.openxmlformats.org/officeDocument/2006/relationships/header" Target="header1.xml"/><Relationship Id="rId35" Type="http://schemas.openxmlformats.org/officeDocument/2006/relationships/footer" Target="footer4.xml"/><Relationship Id="rId36" Type="http://schemas.openxmlformats.org/officeDocument/2006/relationships/footer" Target="footer5.xml"/><Relationship Id="rId37" Type="http://schemas.openxmlformats.org/officeDocument/2006/relationships/footnotes" Target="footnotes.xml"/><Relationship Id="rId38" Type="http://schemas.openxmlformats.org/officeDocument/2006/relationships/numbering" Target="numbering.xml"/><Relationship Id="rId39" Type="http://schemas.openxmlformats.org/officeDocument/2006/relationships/fontTable" Target="fontTable.xml"/><Relationship Id="rId40" Type="http://schemas.openxmlformats.org/officeDocument/2006/relationships/settings" Target="settings.xml"/><Relationship Id="rId41" Type="http://schemas.openxmlformats.org/officeDocument/2006/relationships/theme" Target="theme/theme1.xml"/><Relationship Id="rId42" Type="http://schemas.openxmlformats.org/officeDocument/2006/relationships/customXml" Target="../customXml/item1.xml"/><Relationship Id="rId43" Type="http://schemas.openxmlformats.org/officeDocument/2006/relationships/customXml" Target="../customXml/item2.xml"/><Relationship Id="rId44" Type="http://schemas.openxmlformats.org/officeDocument/2006/relationships/customXml" Target="../customXml/item3.xml"/><Relationship Id="rId45"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4B0BAB9-8B8F-4B85-B8DF-266ED50E1B2E}">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25DE67A7-B996-4474-BA17-B77C4B5A7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Application>AlterOffice/3.4.0.9$Linux_X86_64 LibreOffice_project/b8daf9e823b1a5463a2f48435ddc2e8696e7d4fc</Application>
  <AppVersion>15.0000</AppVersion>
  <Pages>34</Pages>
  <Words>12156</Words>
  <Characters>86737</Characters>
  <CharactersWithSpaces>91413</CharactersWithSpaces>
  <Paragraphs>559</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2026-09-11T10:02:00Z</dcterms:created>
  <dc:creator>tsypilev_ag</dc:creator>
  <dc:description/>
  <dc:language>ru-RU</dc:language>
  <cp:lastModifiedBy>Диана Исуфовна Аркелова</cp:lastModifiedBy>
  <cp:lastPrinted>2018-05-22T09:46:00Z</cp:lastPrinted>
  <dcterms:modified xsi:type="dcterms:W3CDTF">2026-09-11T14:28:53Z</dcterms:modified>
  <cp:revision>4</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