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numbering.xml" ContentType="application/vnd.openxmlformats-officedocument.wordprocessingml.numbering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ConsPlusNormal1"/>
        <w:jc w:val="center"/>
        <w:rPr>
          <w:rStyle w:val="1"/>
          <w:rFonts w:eastAsia="Calibri" w:eastAsiaTheme="minorHAnsi"/>
        </w:rPr>
      </w:pPr>
      <w:r>
        <w:rPr>
          <w:rStyle w:val="1"/>
          <w:rFonts w:eastAsia="Calibri" w:eastAsiaTheme="minorHAnsi"/>
        </w:rPr>
        <w:t>ТЕХНИЧЕСКОЕ ЗАДАНИЕ</w:t>
      </w:r>
    </w:p>
    <w:p>
      <w:pPr>
        <w:pStyle w:val="ConsPlusNormal1"/>
        <w:jc w:val="center"/>
        <w:rPr>
          <w:rFonts w:ascii="Times New Roman" w:hAnsi="Times New Roman"/>
          <w:sz w:val="24"/>
          <w:szCs w:val="24"/>
        </w:rPr>
      </w:pPr>
      <w:r>
        <w:rPr>
          <w:rStyle w:val="1"/>
          <w:rFonts w:eastAsia="Calibri" w:eastAsiaTheme="minorHAnsi"/>
          <w:b w:val="false"/>
        </w:rPr>
        <w:t xml:space="preserve">на оказание </w:t>
      </w:r>
      <w:r>
        <w:rPr>
          <w:rFonts w:ascii="Times New Roman" w:hAnsi="Times New Roman"/>
          <w:sz w:val="24"/>
          <w:szCs w:val="24"/>
        </w:rPr>
        <w:t>услуг по техническому обслуживанию и сопровождению</w:t>
      </w:r>
    </w:p>
    <w:p>
      <w:pPr>
        <w:pStyle w:val="ConsPlusNormal1"/>
        <w:jc w:val="center"/>
        <w:rPr>
          <w:rStyle w:val="1"/>
          <w:rFonts w:eastAsia="Arial"/>
          <w:b w:val="false"/>
          <w:bCs w:val="false"/>
          <w:color w:val="auto"/>
          <w:lang w:eastAsia="ar-SA" w:bidi="ar-SA"/>
        </w:rPr>
      </w:pPr>
      <w:r>
        <w:rPr>
          <w:rFonts w:ascii="Times New Roman" w:hAnsi="Times New Roman"/>
          <w:sz w:val="24"/>
          <w:szCs w:val="24"/>
        </w:rPr>
        <w:t xml:space="preserve">СПО </w:t>
      </w:r>
      <w:r>
        <w:rPr>
          <w:rStyle w:val="1"/>
          <w:rFonts w:eastAsia="Calibri" w:eastAsiaTheme="minorHAnsi"/>
          <w:b w:val="false"/>
        </w:rPr>
        <w:t>Системы-112 на территории Кабардино-Балкарской Республики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hd w:val="clear" w:color="auto" w:fill="FFFFFF"/>
        <w:spacing w:before="0" w:after="0"/>
        <w:ind w:firstLine="708" w:end="-1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1. Наименование услуги</w:t>
      </w:r>
    </w:p>
    <w:p>
      <w:pPr>
        <w:pStyle w:val="Normal"/>
        <w:shd w:val="clear" w:color="auto" w:fill="FFFFFF"/>
        <w:spacing w:before="0" w:after="0"/>
        <w:ind w:firstLine="708" w:end="-1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Style w:val="1"/>
          <w:rFonts w:eastAsia="Calibri" w:eastAsiaTheme="minorHAnsi"/>
          <w:b w:val="false"/>
        </w:rPr>
        <w:t xml:space="preserve">Оказание </w:t>
      </w:r>
      <w:r>
        <w:rPr>
          <w:rFonts w:cs="Times New Roman" w:ascii="Times New Roman" w:hAnsi="Times New Roman"/>
          <w:sz w:val="24"/>
          <w:szCs w:val="24"/>
        </w:rPr>
        <w:t>услуг по техническому обслуживанию и сопровождению специального программного обеспечения (СПО) системы обеспечения вызова экстренных оперативных служб по единому номеру «112» на базе единых дежурно-диспетчерских служб муниципальных образований Кабардино-Балкарской Республики (Система-112 КБР).</w:t>
      </w:r>
      <w:bookmarkStart w:id="0" w:name="_Toc424660848"/>
      <w:bookmarkStart w:id="1" w:name="_Toc424660901"/>
      <w:bookmarkStart w:id="2" w:name="_Toc41322326"/>
      <w:bookmarkStart w:id="3" w:name="_Toc41325410"/>
      <w:bookmarkStart w:id="4" w:name="_Toc41327099"/>
      <w:bookmarkStart w:id="5" w:name="_Toc78550457"/>
      <w:bookmarkStart w:id="6" w:name="_Toc474500419"/>
      <w:bookmarkStart w:id="7" w:name="_Toc476319023"/>
      <w:bookmarkStart w:id="8" w:name="_Toc476909117"/>
      <w:bookmarkStart w:id="9" w:name="_Toc474341618"/>
      <w:bookmarkStart w:id="10" w:name="_Toc57273863"/>
    </w:p>
    <w:p>
      <w:pPr>
        <w:pStyle w:val="Normal"/>
        <w:shd w:val="clear" w:color="auto" w:fill="FFFFFF"/>
        <w:spacing w:before="0" w:after="0"/>
        <w:ind w:firstLine="708" w:end="-1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hd w:val="clear" w:color="auto" w:fill="FFFFFF"/>
        <w:spacing w:lineRule="auto" w:line="276" w:before="0" w:after="0"/>
        <w:ind w:firstLine="708" w:end="-1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spacing w:val="-2"/>
          <w:sz w:val="24"/>
          <w:szCs w:val="24"/>
        </w:rPr>
        <w:t>2. Перечень используемых сокращений</w:t>
      </w:r>
    </w:p>
    <w:tbl>
      <w:tblPr>
        <w:tblW w:w="9366" w:type="dxa"/>
        <w:jc w:val="center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1704"/>
        <w:gridCol w:w="7662"/>
      </w:tblGrid>
      <w:tr>
        <w:trPr>
          <w:trHeight w:val="20" w:hRule="atLeast"/>
        </w:trPr>
        <w:tc>
          <w:tcPr>
            <w:tcW w:w="170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end="-1"/>
              <w:jc w:val="center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>
              <w:rPr>
                <w:rFonts w:eastAsia="MS Mincho" w:cs="Times New Roman" w:ascii="Times New Roman" w:hAnsi="Times New Roman"/>
                <w:sz w:val="24"/>
                <w:szCs w:val="24"/>
              </w:rPr>
              <w:t>АРМ</w:t>
            </w:r>
          </w:p>
        </w:tc>
        <w:tc>
          <w:tcPr>
            <w:tcW w:w="766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end="-1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>
              <w:rPr>
                <w:rFonts w:eastAsia="MS Mincho" w:cs="Times New Roman" w:ascii="Times New Roman" w:hAnsi="Times New Roman"/>
                <w:sz w:val="24"/>
                <w:szCs w:val="24"/>
              </w:rPr>
              <w:t>Автоматизированное рабочее место</w:t>
            </w:r>
          </w:p>
        </w:tc>
      </w:tr>
      <w:tr>
        <w:trPr>
          <w:trHeight w:val="20" w:hRule="atLeast"/>
        </w:trPr>
        <w:tc>
          <w:tcPr>
            <w:tcW w:w="170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end="-1"/>
              <w:jc w:val="center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>
              <w:rPr>
                <w:rFonts w:eastAsia="MS Mincho" w:cs="Times New Roman" w:ascii="Times New Roman" w:hAnsi="Times New Roman"/>
                <w:sz w:val="24"/>
                <w:szCs w:val="24"/>
              </w:rPr>
              <w:t>ДДС</w:t>
            </w:r>
          </w:p>
        </w:tc>
        <w:tc>
          <w:tcPr>
            <w:tcW w:w="766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end="-1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>
              <w:rPr>
                <w:rFonts w:eastAsia="MS Mincho" w:cs="Times New Roman" w:ascii="Times New Roman" w:hAnsi="Times New Roman"/>
                <w:sz w:val="24"/>
                <w:szCs w:val="24"/>
              </w:rPr>
              <w:t>Дежурно-диспетчерская служба, в настоящем Техническом задании означает весь перечень экстренных оперативных служб, оперативных служб и организаций, интегрируемых в Систему-112</w:t>
            </w:r>
          </w:p>
        </w:tc>
      </w:tr>
      <w:tr>
        <w:trPr>
          <w:trHeight w:val="641" w:hRule="atLeast"/>
        </w:trPr>
        <w:tc>
          <w:tcPr>
            <w:tcW w:w="170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end="-1"/>
              <w:jc w:val="center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>
              <w:rPr>
                <w:rFonts w:eastAsia="MS Mincho" w:cs="Times New Roman" w:ascii="Times New Roman" w:hAnsi="Times New Roman"/>
                <w:sz w:val="24"/>
                <w:szCs w:val="24"/>
              </w:rPr>
              <w:t>Диспетчер</w:t>
            </w:r>
          </w:p>
        </w:tc>
        <w:tc>
          <w:tcPr>
            <w:tcW w:w="766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end="-1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>
              <w:rPr>
                <w:rFonts w:eastAsia="MS Mincho" w:cs="Times New Roman" w:ascii="Times New Roman" w:hAnsi="Times New Roman"/>
                <w:sz w:val="24"/>
                <w:szCs w:val="24"/>
              </w:rPr>
              <w:t>Сотрудник ДДС или ЕДДС, осуществляющий прием вызовов или управление подразделениями в рамках компетенции своей службы</w:t>
            </w:r>
          </w:p>
        </w:tc>
      </w:tr>
      <w:tr>
        <w:trPr>
          <w:trHeight w:val="20" w:hRule="atLeast"/>
        </w:trPr>
        <w:tc>
          <w:tcPr>
            <w:tcW w:w="170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end="-1"/>
              <w:jc w:val="center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>
              <w:rPr>
                <w:rFonts w:eastAsia="MS Mincho" w:cs="Times New Roman" w:ascii="Times New Roman" w:hAnsi="Times New Roman"/>
                <w:sz w:val="24"/>
                <w:szCs w:val="24"/>
              </w:rPr>
              <w:t>ЕДДС</w:t>
            </w:r>
          </w:p>
        </w:tc>
        <w:tc>
          <w:tcPr>
            <w:tcW w:w="766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end="-1"/>
              <w:rPr>
                <w:rFonts w:ascii="Times New Roman" w:hAnsi="Times New Roman" w:eastAsia="MS Mincho" w:cs="Times New Roman"/>
                <w:sz w:val="24"/>
                <w:szCs w:val="24"/>
              </w:rPr>
            </w:pPr>
            <w:r>
              <w:rPr>
                <w:rFonts w:eastAsia="MS Mincho" w:cs="Times New Roman" w:ascii="Times New Roman" w:hAnsi="Times New Roman"/>
                <w:sz w:val="24"/>
                <w:szCs w:val="24"/>
              </w:rPr>
              <w:t>Единая дежурно-диспетчерская служба муниципального образования</w:t>
            </w:r>
          </w:p>
        </w:tc>
      </w:tr>
      <w:tr>
        <w:trPr>
          <w:trHeight w:val="20" w:hRule="atLeast"/>
        </w:trPr>
        <w:tc>
          <w:tcPr>
            <w:tcW w:w="170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end="-1"/>
              <w:jc w:val="center"/>
              <w:rPr>
                <w:rFonts w:ascii="Times New Roman" w:hAnsi="Times New Roman" w:eastAsia="MS Mincho" w:cs="Times New Roman"/>
                <w:sz w:val="24"/>
                <w:szCs w:val="24"/>
              </w:rPr>
            </w:pPr>
            <w:r>
              <w:rPr>
                <w:rFonts w:eastAsia="MS Mincho" w:cs="Times New Roman" w:ascii="Times New Roman" w:hAnsi="Times New Roman"/>
                <w:sz w:val="24"/>
                <w:szCs w:val="24"/>
              </w:rPr>
              <w:t>Минкомсвязь РФ</w:t>
            </w:r>
          </w:p>
        </w:tc>
        <w:tc>
          <w:tcPr>
            <w:tcW w:w="766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end="-1"/>
              <w:rPr>
                <w:rFonts w:ascii="Times New Roman" w:hAnsi="Times New Roman" w:eastAsia="MS Mincho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Министерством цифрового развития, связи и массовых коммуникаций Российской Федерации</w:t>
            </w:r>
          </w:p>
        </w:tc>
      </w:tr>
      <w:tr>
        <w:trPr>
          <w:trHeight w:val="20" w:hRule="atLeast"/>
        </w:trPr>
        <w:tc>
          <w:tcPr>
            <w:tcW w:w="170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end="-1"/>
              <w:jc w:val="center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>
              <w:rPr>
                <w:rFonts w:eastAsia="MS Mincho" w:cs="Times New Roman" w:ascii="Times New Roman" w:hAnsi="Times New Roman"/>
                <w:sz w:val="24"/>
                <w:szCs w:val="24"/>
              </w:rPr>
              <w:t>МЧС России</w:t>
            </w:r>
          </w:p>
        </w:tc>
        <w:tc>
          <w:tcPr>
            <w:tcW w:w="766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end="-1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>
              <w:rPr>
                <w:rFonts w:eastAsia="MS Mincho" w:cs="Times New Roman" w:ascii="Times New Roman" w:hAnsi="Times New Roman"/>
                <w:sz w:val="24"/>
                <w:szCs w:val="24"/>
              </w:rPr>
              <w:t>Министерство Российской Федерации по делам гражданской обороны, чрезвычайным ситуациям и ликвидации последствий стихийных бедствий</w:t>
            </w:r>
          </w:p>
        </w:tc>
      </w:tr>
      <w:tr>
        <w:trPr>
          <w:trHeight w:val="20" w:hRule="atLeast"/>
        </w:trPr>
        <w:tc>
          <w:tcPr>
            <w:tcW w:w="170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end="-1"/>
              <w:jc w:val="center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>
              <w:rPr>
                <w:rFonts w:eastAsia="MS Mincho" w:cs="Times New Roman" w:ascii="Times New Roman" w:hAnsi="Times New Roman"/>
                <w:sz w:val="24"/>
                <w:szCs w:val="24"/>
              </w:rPr>
              <w:t>Оператор</w:t>
            </w:r>
          </w:p>
        </w:tc>
        <w:tc>
          <w:tcPr>
            <w:tcW w:w="766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end="-1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>
              <w:rPr>
                <w:rFonts w:eastAsia="MS Mincho" w:cs="Times New Roman" w:ascii="Times New Roman" w:hAnsi="Times New Roman"/>
                <w:sz w:val="24"/>
                <w:szCs w:val="24"/>
              </w:rPr>
              <w:t>Сотрудник ЦОВ, РЦОВ, ЕДДС, осуществляющий прием и обработку вызовов по номеру «112»</w:t>
            </w:r>
          </w:p>
        </w:tc>
      </w:tr>
      <w:tr>
        <w:trPr>
          <w:trHeight w:val="20" w:hRule="atLeast"/>
        </w:trPr>
        <w:tc>
          <w:tcPr>
            <w:tcW w:w="170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end="-1"/>
              <w:jc w:val="center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>
              <w:rPr>
                <w:rFonts w:eastAsia="MS Mincho" w:cs="Times New Roman" w:ascii="Times New Roman" w:hAnsi="Times New Roman"/>
                <w:sz w:val="24"/>
                <w:szCs w:val="24"/>
              </w:rPr>
              <w:t>ПО</w:t>
            </w:r>
          </w:p>
        </w:tc>
        <w:tc>
          <w:tcPr>
            <w:tcW w:w="766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end="-1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>
              <w:rPr>
                <w:rFonts w:eastAsia="MS Mincho" w:cs="Times New Roman" w:ascii="Times New Roman" w:hAnsi="Times New Roman"/>
                <w:sz w:val="24"/>
                <w:szCs w:val="24"/>
              </w:rPr>
              <w:t>Программное обеспечение</w:t>
            </w:r>
          </w:p>
        </w:tc>
      </w:tr>
      <w:tr>
        <w:trPr>
          <w:trHeight w:val="20" w:hRule="atLeast"/>
        </w:trPr>
        <w:tc>
          <w:tcPr>
            <w:tcW w:w="170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end="-1"/>
              <w:jc w:val="center"/>
              <w:rPr>
                <w:rFonts w:ascii="Times New Roman" w:hAnsi="Times New Roman" w:eastAsia="MS Mincho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</w:rPr>
              <w:t>ПТК УД</w:t>
            </w:r>
          </w:p>
        </w:tc>
        <w:tc>
          <w:tcPr>
            <w:tcW w:w="766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end="-1"/>
              <w:rPr>
                <w:rFonts w:ascii="Times New Roman" w:hAnsi="Times New Roman" w:eastAsia="MS Mincho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</w:rPr>
              <w:t>Программно-технический комплекс удаленного доступа</w:t>
            </w:r>
          </w:p>
        </w:tc>
      </w:tr>
      <w:tr>
        <w:trPr>
          <w:trHeight w:val="20" w:hRule="atLeast"/>
        </w:trPr>
        <w:tc>
          <w:tcPr>
            <w:tcW w:w="170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end="-1"/>
              <w:jc w:val="center"/>
              <w:rPr>
                <w:rFonts w:ascii="Times New Roman" w:hAnsi="Times New Roman" w:eastAsia="MS Mincho" w:cs="Times New Roman"/>
                <w:sz w:val="24"/>
                <w:szCs w:val="24"/>
              </w:rPr>
            </w:pPr>
            <w:r>
              <w:rPr>
                <w:rFonts w:eastAsia="MS Mincho" w:cs="Times New Roman" w:ascii="Times New Roman" w:hAnsi="Times New Roman"/>
                <w:sz w:val="24"/>
                <w:szCs w:val="24"/>
              </w:rPr>
              <w:t>Система-112</w:t>
            </w:r>
          </w:p>
        </w:tc>
        <w:tc>
          <w:tcPr>
            <w:tcW w:w="766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end="-1"/>
              <w:rPr>
                <w:rFonts w:ascii="Times New Roman" w:hAnsi="Times New Roman" w:eastAsia="MS Mincho" w:cs="Times New Roman"/>
                <w:sz w:val="24"/>
                <w:szCs w:val="24"/>
              </w:rPr>
            </w:pPr>
            <w:r>
              <w:rPr>
                <w:rFonts w:eastAsia="MS Mincho" w:cs="Times New Roman" w:ascii="Times New Roman" w:hAnsi="Times New Roman"/>
                <w:sz w:val="24"/>
                <w:szCs w:val="24"/>
              </w:rPr>
              <w:t xml:space="preserve">Система обеспечения вызова экстренных оперативных служб по единому номеру «112» на территории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Кабардино-Балкарской Республики</w:t>
            </w:r>
          </w:p>
        </w:tc>
      </w:tr>
      <w:tr>
        <w:trPr>
          <w:trHeight w:val="20" w:hRule="atLeast"/>
        </w:trPr>
        <w:tc>
          <w:tcPr>
            <w:tcW w:w="170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</w:tcPr>
          <w:p>
            <w:pPr>
              <w:pStyle w:val="Style61"/>
              <w:widowControl/>
              <w:tabs>
                <w:tab w:val="clear" w:pos="708"/>
                <w:tab w:val="left" w:pos="346" w:leader="none"/>
                <w:tab w:val="left" w:pos="567" w:leader="none"/>
              </w:tabs>
              <w:suppressAutoHyphens w:val="true"/>
              <w:spacing w:before="0" w:after="0"/>
              <w:contextualSpacing/>
              <w:jc w:val="center"/>
              <w:rPr>
                <w:kern w:val="2"/>
                <w:lang w:eastAsia="zh-CN"/>
              </w:rPr>
            </w:pPr>
            <w:r>
              <w:rPr>
                <w:kern w:val="2"/>
                <w:lang w:eastAsia="zh-CN"/>
              </w:rPr>
              <w:t>ТСМН</w:t>
            </w:r>
          </w:p>
        </w:tc>
        <w:tc>
          <w:tcPr>
            <w:tcW w:w="766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</w:tcPr>
          <w:p>
            <w:pPr>
              <w:pStyle w:val="Style61"/>
              <w:widowControl/>
              <w:tabs>
                <w:tab w:val="clear" w:pos="708"/>
                <w:tab w:val="left" w:pos="346" w:leader="none"/>
                <w:tab w:val="left" w:pos="567" w:leader="none"/>
              </w:tabs>
              <w:suppressAutoHyphens w:val="true"/>
              <w:spacing w:before="0" w:after="0"/>
              <w:contextualSpacing/>
              <w:rPr>
                <w:kern w:val="2"/>
                <w:lang w:eastAsia="zh-CN"/>
              </w:rPr>
            </w:pPr>
            <w:r>
              <w:rPr>
                <w:kern w:val="2"/>
                <w:lang w:eastAsia="zh-CN"/>
              </w:rPr>
              <w:t>Технические средства обработки информации о месте нахождения оконечного (пользовательского) оборудования</w:t>
            </w:r>
          </w:p>
        </w:tc>
      </w:tr>
      <w:tr>
        <w:trPr>
          <w:trHeight w:val="20" w:hRule="atLeast"/>
        </w:trPr>
        <w:tc>
          <w:tcPr>
            <w:tcW w:w="170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</w:tcPr>
          <w:p>
            <w:pPr>
              <w:pStyle w:val="Style61"/>
              <w:widowControl/>
              <w:tabs>
                <w:tab w:val="clear" w:pos="708"/>
                <w:tab w:val="left" w:pos="346" w:leader="none"/>
                <w:tab w:val="left" w:pos="567" w:leader="none"/>
              </w:tabs>
              <w:suppressAutoHyphens w:val="true"/>
              <w:spacing w:before="0" w:after="0"/>
              <w:contextualSpacing/>
              <w:jc w:val="center"/>
              <w:rPr>
                <w:kern w:val="2"/>
                <w:lang w:eastAsia="zh-CN"/>
              </w:rPr>
            </w:pPr>
            <w:r>
              <w:rPr>
                <w:kern w:val="2"/>
                <w:lang w:eastAsia="zh-CN"/>
              </w:rPr>
              <w:t>ТСКС</w:t>
            </w:r>
          </w:p>
        </w:tc>
        <w:tc>
          <w:tcPr>
            <w:tcW w:w="766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</w:tcPr>
          <w:p>
            <w:pPr>
              <w:pStyle w:val="Style61"/>
              <w:widowControl/>
              <w:tabs>
                <w:tab w:val="clear" w:pos="708"/>
                <w:tab w:val="left" w:pos="346" w:leader="none"/>
                <w:tab w:val="left" w:pos="567" w:leader="none"/>
              </w:tabs>
              <w:suppressAutoHyphens w:val="true"/>
              <w:spacing w:before="0" w:after="0"/>
              <w:contextualSpacing/>
              <w:rPr>
                <w:kern w:val="2"/>
                <w:lang w:eastAsia="zh-CN"/>
              </w:rPr>
            </w:pPr>
            <w:r>
              <w:rPr>
                <w:kern w:val="2"/>
                <w:lang w:eastAsia="zh-CN"/>
              </w:rPr>
              <w:t>Технические средства передачи экстренных коротких текстовых сообщений</w:t>
            </w:r>
          </w:p>
        </w:tc>
      </w:tr>
      <w:tr>
        <w:trPr>
          <w:trHeight w:val="20" w:hRule="atLeast"/>
        </w:trPr>
        <w:tc>
          <w:tcPr>
            <w:tcW w:w="170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end="-1"/>
              <w:jc w:val="center"/>
              <w:rPr>
                <w:rFonts w:ascii="Times New Roman" w:hAnsi="Times New Roman" w:eastAsia="MS Mincho" w:cs="Times New Roman"/>
                <w:sz w:val="24"/>
                <w:szCs w:val="24"/>
              </w:rPr>
            </w:pPr>
            <w:r>
              <w:rPr>
                <w:rFonts w:eastAsia="MS Mincho" w:cs="Times New Roman" w:ascii="Times New Roman" w:hAnsi="Times New Roman"/>
                <w:sz w:val="24"/>
                <w:szCs w:val="24"/>
              </w:rPr>
              <w:t>УОВЭОС</w:t>
            </w:r>
          </w:p>
        </w:tc>
        <w:tc>
          <w:tcPr>
            <w:tcW w:w="766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end="-1"/>
              <w:rPr>
                <w:rFonts w:ascii="Times New Roman" w:hAnsi="Times New Roman" w:eastAsia="MS Mincho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Узел обслуживания вызовов экстренных оперативных служб</w:t>
            </w:r>
          </w:p>
        </w:tc>
      </w:tr>
      <w:tr>
        <w:trPr>
          <w:trHeight w:val="20" w:hRule="atLeast"/>
        </w:trPr>
        <w:tc>
          <w:tcPr>
            <w:tcW w:w="170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end="-1"/>
              <w:jc w:val="center"/>
              <w:rPr>
                <w:rFonts w:ascii="Times New Roman" w:hAnsi="Times New Roman" w:eastAsia="MS Mincho" w:cs="Times New Roman"/>
                <w:sz w:val="24"/>
                <w:szCs w:val="24"/>
              </w:rPr>
            </w:pPr>
            <w:r>
              <w:rPr>
                <w:rFonts w:eastAsia="MS Mincho" w:cs="Times New Roman" w:ascii="Times New Roman" w:hAnsi="Times New Roman"/>
                <w:sz w:val="24"/>
                <w:szCs w:val="24"/>
              </w:rPr>
              <w:t>СПО-112</w:t>
            </w:r>
          </w:p>
        </w:tc>
        <w:tc>
          <w:tcPr>
            <w:tcW w:w="766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end="-1"/>
              <w:rPr>
                <w:rFonts w:ascii="Times New Roman" w:hAnsi="Times New Roman" w:eastAsia="MS Mincho" w:cs="Times New Roman"/>
                <w:sz w:val="24"/>
                <w:szCs w:val="24"/>
              </w:rPr>
            </w:pPr>
            <w:r>
              <w:rPr>
                <w:rFonts w:eastAsia="MS Mincho" w:cs="Times New Roman" w:ascii="Times New Roman" w:hAnsi="Times New Roman"/>
                <w:sz w:val="24"/>
                <w:szCs w:val="24"/>
              </w:rPr>
              <w:t>Унифицированное специальное программное обеспечение Системы-112</w:t>
            </w:r>
          </w:p>
        </w:tc>
      </w:tr>
      <w:tr>
        <w:trPr>
          <w:trHeight w:val="20" w:hRule="atLeast"/>
        </w:trPr>
        <w:tc>
          <w:tcPr>
            <w:tcW w:w="170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end="-1"/>
              <w:jc w:val="center"/>
              <w:rPr>
                <w:rFonts w:ascii="Times New Roman" w:hAnsi="Times New Roman" w:eastAsia="MS Mincho" w:cs="Times New Roman"/>
                <w:sz w:val="24"/>
                <w:szCs w:val="24"/>
              </w:rPr>
            </w:pPr>
            <w:r>
              <w:rPr>
                <w:rFonts w:eastAsia="MS Mincho" w:cs="Times New Roman" w:ascii="Times New Roman" w:hAnsi="Times New Roman"/>
                <w:sz w:val="24"/>
                <w:szCs w:val="24"/>
              </w:rPr>
              <w:t>ЦОВ / РЦОВ</w:t>
            </w:r>
          </w:p>
        </w:tc>
        <w:tc>
          <w:tcPr>
            <w:tcW w:w="766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end="-1"/>
              <w:rPr>
                <w:rFonts w:ascii="Times New Roman" w:hAnsi="Times New Roman" w:eastAsia="MS Mincho" w:cs="Times New Roman"/>
                <w:sz w:val="24"/>
                <w:szCs w:val="24"/>
              </w:rPr>
            </w:pPr>
            <w:r>
              <w:rPr>
                <w:rFonts w:eastAsia="MS Mincho" w:cs="Times New Roman" w:ascii="Times New Roman" w:hAnsi="Times New Roman"/>
                <w:sz w:val="24"/>
                <w:szCs w:val="24"/>
              </w:rPr>
              <w:t>Центр обработки вызовов / Резервный центр обработки вызовов</w:t>
            </w:r>
          </w:p>
        </w:tc>
      </w:tr>
    </w:tbl>
    <w:p>
      <w:pPr>
        <w:pStyle w:val="Normal"/>
        <w:ind w:end="-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hd w:val="clear" w:color="auto" w:fill="FFFFFF"/>
        <w:spacing w:before="0" w:after="0"/>
        <w:ind w:firstLine="708" w:end="-1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3. Цели оказания услуги</w:t>
      </w:r>
      <w:bookmarkEnd w:id="6"/>
      <w:bookmarkEnd w:id="7"/>
      <w:bookmarkEnd w:id="8"/>
      <w:bookmarkEnd w:id="9"/>
      <w:bookmarkEnd w:id="10"/>
    </w:p>
    <w:p>
      <w:pPr>
        <w:pStyle w:val="Normal"/>
        <w:shd w:val="clear" w:color="auto" w:fill="FFFFFF"/>
        <w:spacing w:before="0" w:after="0"/>
        <w:ind w:firstLine="708" w:end="-1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</w:rPr>
        <w:t xml:space="preserve">Обеспечение программной и </w:t>
      </w:r>
      <w:r>
        <w:rPr>
          <w:rFonts w:cs="Times New Roman" w:ascii="Times New Roman" w:hAnsi="Times New Roman"/>
          <w:sz w:val="24"/>
          <w:szCs w:val="24"/>
        </w:rPr>
        <w:t>технической поддержки СПО Системы-112 КБР.</w:t>
      </w:r>
    </w:p>
    <w:p>
      <w:pPr>
        <w:pStyle w:val="Normal"/>
        <w:ind w:firstLine="709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Услуги оказываются для СПО Системы-112 как единого объекта информатизации. </w:t>
      </w:r>
    </w:p>
    <w:p>
      <w:pPr>
        <w:pStyle w:val="Normal"/>
        <w:ind w:firstLine="709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Одновременное оказание услуг обусловлено сложностью процессов, автоматизируемых в системе и условий ее функционирования при сохранении непрерывного режима работы и достижения целевых показателей функционирования Системы-112</w:t>
      </w:r>
    </w:p>
    <w:p>
      <w:pPr>
        <w:pStyle w:val="Normal"/>
        <w:shd w:val="clear" w:color="auto" w:fill="FFFFFF"/>
        <w:spacing w:before="0" w:after="0"/>
        <w:ind w:firstLine="709" w:end="-1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shd w:fill="FFFFFF" w:val="clear"/>
          <w:lang w:eastAsia="ru-RU"/>
        </w:rPr>
        <w:t>Услуги относятся к типу услуг по полному техническому сопровождению СПО и должны оказываться с надлежащим качеством, обеспечивающим работоспособность СПО, в том числе с соблюдением требований в отношении охраняемых результатов интеллектуальной деятельности.</w:t>
      </w:r>
    </w:p>
    <w:p>
      <w:pPr>
        <w:pStyle w:val="Normal"/>
        <w:ind w:firstLine="567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shd w:fill="FFFFFF" w:val="clear"/>
          <w:lang w:eastAsia="ru-RU"/>
        </w:rPr>
        <w:t>Объем оказываемых услуг соответствует требованиям, предъявляемым к циклу полного сопровождения согласно ГОСТ Р ИСО/МЭК 14764-2002 «Информационная технология. Сопровождение программных средств» (далее – ГОСТ Р ИСО/МЭК 14764-2002), ГОСТ Р ИСО/МЭК 12207-2010. «Национальный стандарт Российской Федерации. Информационная технология. Системная и программная инженерия. Процессы жизненного цикла программных средств».</w:t>
      </w:r>
    </w:p>
    <w:p>
      <w:pPr>
        <w:pStyle w:val="Normal"/>
        <w:ind w:firstLine="567"/>
        <w:rPr>
          <w:rFonts w:ascii="Times New Roman" w:hAnsi="Times New Roman" w:eastAsia="Times New Roman" w:cs="Times New Roman"/>
          <w:color w:val="000000"/>
          <w:sz w:val="24"/>
          <w:szCs w:val="24"/>
          <w:shd w:fill="FFFFFF" w:val="clear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shd w:fill="FFFFFF" w:val="clear"/>
          <w:lang w:eastAsia="ru-RU"/>
        </w:rPr>
        <w:t>Объем оказываемых услуг соответствует требованиям, предъявляемым к циклу полного сопровождения согласно:</w:t>
      </w:r>
    </w:p>
    <w:p>
      <w:pPr>
        <w:pStyle w:val="Normal"/>
        <w:ind w:firstLine="567"/>
        <w:rPr>
          <w:rFonts w:ascii="Times New Roman" w:hAnsi="Times New Roman" w:eastAsia="Times New Roman" w:cs="Times New Roman"/>
          <w:color w:val="000000"/>
          <w:sz w:val="24"/>
          <w:szCs w:val="24"/>
          <w:shd w:fill="FFFFFF" w:val="clear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shd w:fill="FFFFFF" w:val="clear"/>
          <w:lang w:eastAsia="ru-RU"/>
        </w:rPr>
        <w:t>- ГОСТ Р ИСО/МЭК 14764-2002 «Информационная технология. Сопровождение программных средств»;</w:t>
      </w:r>
    </w:p>
    <w:p>
      <w:pPr>
        <w:pStyle w:val="Normal"/>
        <w:ind w:firstLine="567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shd w:fill="FFFFFF" w:val="clear"/>
          <w:lang w:eastAsia="ru-RU"/>
        </w:rPr>
        <w:t>- ГОСТ Р ИСО/МЭК 12207-2010. «Национальный стандарт Российской Федерации. Информационная технология. Системная и программная инженерия. Процессы жизненного цикла программных средств».</w:t>
      </w:r>
    </w:p>
    <w:p>
      <w:pPr>
        <w:pStyle w:val="Normal"/>
        <w:ind w:firstLine="709"/>
        <w:rPr>
          <w:rFonts w:ascii="Times New Roman" w:hAnsi="Times New Roman" w:eastAsia="Calibri" w:cs="Times New Roman"/>
          <w:color w:val="000000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hd w:val="clear" w:color="auto" w:fill="FFFFFF"/>
        <w:spacing w:before="0" w:after="0"/>
        <w:ind w:firstLine="708" w:end="-1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4. Наименование Заказчика и Исполнителя и их реквизиты</w:t>
      </w:r>
      <w:bookmarkEnd w:id="0"/>
      <w:bookmarkEnd w:id="1"/>
      <w:bookmarkEnd w:id="2"/>
      <w:bookmarkEnd w:id="3"/>
      <w:bookmarkEnd w:id="4"/>
      <w:bookmarkEnd w:id="5"/>
    </w:p>
    <w:p>
      <w:pPr>
        <w:pStyle w:val="basictext1"/>
        <w:spacing w:lineRule="auto" w:line="240" w:before="0" w:after="0"/>
        <w:rPr>
          <w:szCs w:val="24"/>
        </w:rPr>
      </w:pPr>
      <w:r>
        <w:rPr>
          <w:szCs w:val="24"/>
        </w:rPr>
        <w:t>Государственный заказчик: Государственное казенное учреждение Кабардино-Балкарской Республики «Безопасная республика» (ГКУ КБР «Безопасная республика»).</w:t>
      </w:r>
    </w:p>
    <w:p>
      <w:pPr>
        <w:pStyle w:val="basictext1"/>
        <w:spacing w:lineRule="auto" w:line="240" w:before="0" w:after="0"/>
        <w:rPr>
          <w:szCs w:val="24"/>
        </w:rPr>
      </w:pPr>
      <w:r>
        <w:rPr>
          <w:szCs w:val="24"/>
        </w:rPr>
      </w:r>
    </w:p>
    <w:p>
      <w:pPr>
        <w:pStyle w:val="basictext1"/>
        <w:spacing w:lineRule="auto" w:line="240" w:before="0" w:after="0"/>
        <w:rPr>
          <w:szCs w:val="24"/>
        </w:rPr>
      </w:pPr>
      <w:r>
        <w:rPr>
          <w:szCs w:val="24"/>
        </w:rPr>
        <w:t>Заказчик: ПАО «Ростелеком»</w:t>
      </w:r>
    </w:p>
    <w:p>
      <w:pPr>
        <w:pStyle w:val="basictext1"/>
        <w:spacing w:lineRule="auto" w:line="240" w:before="0" w:after="0"/>
        <w:rPr>
          <w:szCs w:val="24"/>
        </w:rPr>
      </w:pPr>
      <w:r>
        <w:rPr>
          <w:szCs w:val="24"/>
        </w:rPr>
      </w:r>
    </w:p>
    <w:p>
      <w:pPr>
        <w:pStyle w:val="basictext1"/>
        <w:spacing w:lineRule="auto" w:line="240" w:before="0" w:after="0"/>
        <w:rPr>
          <w:szCs w:val="24"/>
        </w:rPr>
      </w:pPr>
      <w:r>
        <w:rPr>
          <w:szCs w:val="24"/>
        </w:rPr>
        <w:t>Исполнитель: определяется по результатам конкурсных процедур в соответствии с Федеральным законом от 05 апреля 2013 года № 44-ФЗ «О контрактной системе в сфере закупок товаров, работ, услуг для обеспечения государственных и муниципальных нужд».</w:t>
      </w:r>
      <w:bookmarkStart w:id="11" w:name="_Toc78550458"/>
      <w:bookmarkStart w:id="12" w:name="_Toc424660849"/>
      <w:bookmarkStart w:id="13" w:name="_Toc424660902"/>
      <w:bookmarkStart w:id="14" w:name="_Toc41322327"/>
      <w:bookmarkStart w:id="15" w:name="_Toc41325411"/>
      <w:bookmarkStart w:id="16" w:name="_Toc41327100"/>
    </w:p>
    <w:p>
      <w:pPr>
        <w:pStyle w:val="basictext1"/>
        <w:spacing w:lineRule="auto" w:line="240" w:before="0" w:after="0"/>
        <w:rPr>
          <w:szCs w:val="24"/>
        </w:rPr>
      </w:pPr>
      <w:r>
        <w:rPr>
          <w:szCs w:val="24"/>
        </w:rPr>
      </w:r>
    </w:p>
    <w:p>
      <w:pPr>
        <w:pStyle w:val="basictext1"/>
        <w:spacing w:lineRule="auto" w:line="240" w:before="0" w:after="0"/>
        <w:rPr>
          <w:b/>
          <w:szCs w:val="24"/>
        </w:rPr>
      </w:pPr>
      <w:r>
        <w:rPr>
          <w:b/>
          <w:szCs w:val="24"/>
        </w:rPr>
        <w:t xml:space="preserve">5. Сроки </w:t>
      </w:r>
      <w:bookmarkEnd w:id="12"/>
      <w:bookmarkEnd w:id="13"/>
      <w:bookmarkEnd w:id="14"/>
      <w:bookmarkEnd w:id="15"/>
      <w:bookmarkEnd w:id="16"/>
      <w:r>
        <w:rPr>
          <w:b/>
          <w:szCs w:val="24"/>
        </w:rPr>
        <w:t>оказания услуг</w:t>
      </w:r>
      <w:bookmarkEnd w:id="11"/>
    </w:p>
    <w:p>
      <w:pPr>
        <w:pStyle w:val="basictext1"/>
        <w:spacing w:lineRule="auto" w:line="240" w:before="0" w:after="0"/>
        <w:rPr>
          <w:szCs w:val="24"/>
        </w:rPr>
      </w:pPr>
      <w:r>
        <w:rPr>
          <w:szCs w:val="24"/>
        </w:rPr>
        <w:t>Срок оказания услуг – круглосуточно (24 часа в сутки, 7 дней в неделю, круглый год, в том числе выходные и праздничные дни) с 1 октября 2026 года по 31 декабря 2026 года (включительно).</w:t>
      </w:r>
    </w:p>
    <w:p>
      <w:pPr>
        <w:pStyle w:val="basictext1"/>
        <w:spacing w:lineRule="auto" w:line="240" w:before="0" w:after="0"/>
        <w:rPr>
          <w:szCs w:val="24"/>
        </w:rPr>
      </w:pPr>
      <w:r>
        <w:rPr>
          <w:szCs w:val="24"/>
        </w:rPr>
      </w:r>
    </w:p>
    <w:p>
      <w:pPr>
        <w:pStyle w:val="basictext1"/>
        <w:spacing w:lineRule="auto" w:line="240" w:before="0" w:after="0"/>
        <w:rPr>
          <w:b/>
          <w:szCs w:val="24"/>
        </w:rPr>
      </w:pPr>
      <w:r>
        <w:rPr>
          <w:b/>
          <w:szCs w:val="24"/>
        </w:rPr>
        <w:t>6. Характеристики услуги</w:t>
      </w:r>
    </w:p>
    <w:p>
      <w:pPr>
        <w:pStyle w:val="basictext1"/>
        <w:spacing w:lineRule="auto" w:line="240" w:before="0" w:after="0"/>
        <w:rPr>
          <w:szCs w:val="24"/>
        </w:rPr>
      </w:pPr>
      <w:r>
        <w:rPr>
          <w:szCs w:val="24"/>
        </w:rPr>
        <w:t>Код по ОКПД 2: 62.03.12.130</w:t>
      </w:r>
    </w:p>
    <w:p>
      <w:pPr>
        <w:pStyle w:val="basictext1"/>
        <w:spacing w:lineRule="auto" w:line="240" w:before="0" w:after="0"/>
        <w:rPr>
          <w:szCs w:val="24"/>
        </w:rPr>
      </w:pPr>
      <w:r>
        <w:rPr>
          <w:szCs w:val="24"/>
        </w:rPr>
        <w:t>КТРУ: отсутствует.</w:t>
      </w:r>
      <w:bookmarkStart w:id="17" w:name="_Toc73699677"/>
      <w:bookmarkStart w:id="18" w:name="_Toc78550460"/>
    </w:p>
    <w:p>
      <w:pPr>
        <w:pStyle w:val="basictext1"/>
        <w:spacing w:lineRule="auto" w:line="240" w:before="0" w:after="0"/>
        <w:rPr>
          <w:szCs w:val="24"/>
        </w:rPr>
      </w:pPr>
      <w:r>
        <w:rPr>
          <w:szCs w:val="24"/>
        </w:rPr>
      </w:r>
    </w:p>
    <w:p>
      <w:pPr>
        <w:pStyle w:val="basictext1"/>
        <w:spacing w:lineRule="auto" w:line="240" w:before="0" w:after="0"/>
        <w:rPr>
          <w:b/>
          <w:szCs w:val="24"/>
        </w:rPr>
      </w:pPr>
      <w:r>
        <w:rPr>
          <w:b/>
          <w:szCs w:val="24"/>
        </w:rPr>
        <w:t>7. Адресные сведения об объектах автоматизации и интеграции</w:t>
      </w:r>
    </w:p>
    <w:p>
      <w:pPr>
        <w:pStyle w:val="basictext1"/>
        <w:spacing w:lineRule="auto" w:line="240" w:before="0" w:after="0"/>
        <w:rPr>
          <w:rFonts w:eastAsia="Calibri"/>
          <w:szCs w:val="24"/>
        </w:rPr>
      </w:pPr>
      <w:r>
        <w:rPr>
          <w:rFonts w:eastAsia="Calibri"/>
          <w:szCs w:val="24"/>
        </w:rPr>
        <w:t>Объекты автоматизации Системы-112 КБР приведены в Приложении А.</w:t>
      </w:r>
    </w:p>
    <w:p>
      <w:pPr>
        <w:pStyle w:val="ListParagraph"/>
        <w:tabs>
          <w:tab w:val="clear" w:pos="708"/>
          <w:tab w:val="left" w:pos="284" w:leader="none"/>
          <w:tab w:val="left" w:pos="709" w:leader="none"/>
        </w:tabs>
        <w:ind w:firstLine="709" w:start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Объекты интеграции Системы-112 КБР приведены в Приложении Б.</w:t>
      </w:r>
    </w:p>
    <w:p>
      <w:pPr>
        <w:pStyle w:val="Normal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hd w:val="clear" w:color="auto" w:fill="FFFFFF"/>
        <w:spacing w:before="0" w:after="0"/>
        <w:ind w:firstLine="709" w:end="-1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7.1. Сведения о </w:t>
      </w:r>
      <w:r>
        <w:rPr>
          <w:rFonts w:ascii="Times New Roman" w:hAnsi="Times New Roman"/>
          <w:b/>
          <w:sz w:val="24"/>
          <w:szCs w:val="24"/>
        </w:rPr>
        <w:t>СПО</w:t>
      </w:r>
      <w:r>
        <w:rPr>
          <w:rFonts w:cs="Times New Roman" w:ascii="Times New Roman" w:hAnsi="Times New Roman"/>
          <w:b/>
          <w:sz w:val="24"/>
          <w:szCs w:val="24"/>
        </w:rPr>
        <w:t xml:space="preserve"> Системы-112</w:t>
      </w:r>
    </w:p>
    <w:p>
      <w:pPr>
        <w:pStyle w:val="Normal"/>
        <w:shd w:val="clear" w:color="auto" w:fill="FFFFFF"/>
        <w:spacing w:before="0" w:after="0"/>
        <w:ind w:firstLine="708" w:end="-1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Правообладателем, унифицированного СПО Системы-112 КБР является Министерство Российской Федерации по делам гражданской обороны, чрезвычайным ситуациям и ликвидации последствий стихийных бедствий (далее – МЧС России).</w:t>
      </w:r>
    </w:p>
    <w:p>
      <w:pPr>
        <w:pStyle w:val="Normal"/>
        <w:shd w:val="clear" w:color="auto" w:fill="FFFFFF"/>
        <w:spacing w:before="0" w:after="0"/>
        <w:ind w:firstLine="708" w:end="-1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Неисключительные права на использование унифицированного СПО Системы-112 КБР переданы Заказчику (ГКУ КБР «Безопасная республика») по лицензионному соглашению № 16062129 от 22 декабря 2017 г.</w:t>
      </w:r>
    </w:p>
    <w:p>
      <w:pPr>
        <w:pStyle w:val="Normal"/>
        <w:shd w:val="clear" w:color="auto" w:fill="FFFFFF"/>
        <w:spacing w:before="0" w:after="0"/>
        <w:ind w:firstLine="708" w:end="-1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Разработчик унифицированного СПО Системы-112 КБР ООО «НТЦ ПОТЕЙ» г. Санкт-Петербург.</w:t>
      </w:r>
    </w:p>
    <w:p>
      <w:pPr>
        <w:pStyle w:val="Normal"/>
        <w:shd w:val="clear" w:color="auto" w:fill="FFFFFF"/>
        <w:spacing w:before="0" w:after="0"/>
        <w:ind w:firstLine="708" w:end="-1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Сведения об унифицированном СПО Системы-112 КБР включены в единый реестр российских программ для электронных вычислительных машин и баз данных на основании постановления Правительства Российской Федерации от 16 ноября 2015 г. № 1236 «Об установлении запрета на допуск программного обеспечения, происходящего из иностранных государств, для целей осуществления закупок для обеспечения государственных и муниципальных нужд» (Приказ </w:t>
      </w:r>
      <w:r>
        <w:rPr>
          <w:rFonts w:eastAsia="Calibri" w:cs="Times New Roman" w:ascii="Times New Roman" w:hAnsi="Times New Roman"/>
          <w:sz w:val="24"/>
          <w:szCs w:val="24"/>
        </w:rPr>
        <w:t>Минцифры РФ</w:t>
      </w:r>
      <w:r>
        <w:rPr>
          <w:rFonts w:ascii="Times New Roman" w:hAnsi="Times New Roman"/>
          <w:sz w:val="24"/>
          <w:szCs w:val="24"/>
        </w:rPr>
        <w:t xml:space="preserve"> от 23.12.2016 № 682 «О включении сведений о программном обеспечении в единый реестр Российский программ для электронных вычислительных машин и баз данных»). </w:t>
      </w:r>
    </w:p>
    <w:p>
      <w:pPr>
        <w:pStyle w:val="Normal"/>
        <w:shd w:val="clear" w:color="auto" w:fill="FFFFFF"/>
        <w:spacing w:before="0" w:after="0"/>
        <w:ind w:firstLine="708" w:end="-1"/>
        <w:contextualSpacing/>
        <w:rPr>
          <w:rFonts w:ascii="Times New Roman" w:hAnsi="Times New Roman" w:eastAsia="Times New Roman" w:cs="Times New Roman"/>
          <w:color w:val="00000A"/>
          <w:lang w:eastAsia="zh-CN"/>
        </w:rPr>
      </w:pPr>
      <w:r>
        <w:rPr>
          <w:rFonts w:cs="Times New Roman" w:ascii="Times New Roman" w:hAnsi="Times New Roman"/>
          <w:sz w:val="24"/>
          <w:szCs w:val="24"/>
        </w:rPr>
        <w:t>Сведения о программно-технических продуктах, составляющих ядро Системы-112:</w:t>
      </w:r>
    </w:p>
    <w:p>
      <w:pPr>
        <w:pStyle w:val="Normal"/>
        <w:widowControl w:val="false"/>
        <w:tabs>
          <w:tab w:val="clear" w:pos="708"/>
          <w:tab w:val="left" w:pos="1134" w:leader="none"/>
        </w:tabs>
        <w:spacing w:before="0" w:after="240"/>
        <w:ind w:firstLine="567"/>
        <w:rPr>
          <w:rFonts w:ascii="Times New Roman" w:hAnsi="Times New Roman" w:eastAsia="Times New Roman" w:cs="Times New Roman"/>
          <w:color w:val="00000A"/>
          <w:lang w:eastAsia="zh-CN"/>
        </w:rPr>
      </w:pPr>
      <w:r>
        <w:rPr>
          <w:rFonts w:ascii="Times New Roman" w:hAnsi="Times New Roman"/>
          <w:sz w:val="24"/>
          <w:szCs w:val="24"/>
        </w:rPr>
        <w:t>- 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СПО «Интеграционно-аналитическая сервисная платформа ПРОТЕЙ», IASP PROTEI (Запись в Реестре российского программного обеспечения от 20.09.2019 № 5820). </w:t>
      </w:r>
      <w:r>
        <w:rPr>
          <w:rFonts w:eastAsia="Times New Roman" w:cs="Times New Roman" w:ascii="Times New Roman" w:hAnsi="Times New Roman"/>
          <w:color w:val="000000"/>
          <w:lang w:eastAsia="zh-CN"/>
        </w:rPr>
        <w:t xml:space="preserve">Неисключительное (пользовательское) право в отношении специального программного обеспечения «Интеграционно-аналитическая сервисная платформа ПРОТЕЙ», IASP PROTEI передано Заказчику </w:t>
      </w:r>
      <w:r>
        <w:rPr>
          <w:rFonts w:eastAsia="Times New Roman" w:cs="Times New Roman" w:ascii="Times New Roman" w:hAnsi="Times New Roman"/>
          <w:color w:val="00000A"/>
          <w:lang w:eastAsia="zh-CN"/>
        </w:rPr>
        <w:t>по Договору от 01.07.2025 № 2025/ВК-112.</w:t>
      </w:r>
    </w:p>
    <w:p>
      <w:pPr>
        <w:pStyle w:val="Normal"/>
        <w:tabs>
          <w:tab w:val="clear" w:pos="708"/>
          <w:tab w:val="left" w:pos="360" w:leader="none"/>
        </w:tabs>
        <w:ind w:firstLine="567"/>
        <w:rPr>
          <w:rFonts w:ascii="Times New Roman" w:hAnsi="Times New Roman" w:eastAsia="Calibri" w:cs="Times New Roman"/>
          <w:color w:val="000000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</w:rPr>
        <w:t xml:space="preserve">- СПО «Центр обслуживания вызовов "ПРОТЕЙ"» (Запись в Реестре российского программного обеспечения от 05.09.2016 № 1428). </w:t>
      </w:r>
      <w:r>
        <w:rPr>
          <w:rFonts w:eastAsia="Calibri" w:cs="Times New Roman" w:ascii="Times New Roman" w:hAnsi="Times New Roman"/>
          <w:color w:val="000000"/>
        </w:rPr>
        <w:t xml:space="preserve">Неисключительное (пользовательское) право в отношении специального программного обеспечения «Центр обслуживания вызовов "ПРОТЕЙ"» передано Заказчику по </w:t>
      </w:r>
      <w:r>
        <w:rPr>
          <w:rFonts w:eastAsia="Calibri" w:cs="Times New Roman" w:ascii="Times New Roman" w:hAnsi="Times New Roman"/>
          <w:b w:val="false"/>
          <w:bCs w:val="false"/>
          <w:color w:val="000000"/>
          <w:sz w:val="24"/>
          <w:szCs w:val="24"/>
          <w:lang w:eastAsia="zh-CN"/>
        </w:rPr>
        <w:t>договор</w:t>
      </w:r>
      <w:r>
        <w:rPr>
          <w:rFonts w:eastAsia="Calibri" w:cs="Times New Roman" w:ascii="Times New Roman" w:hAnsi="Times New Roman"/>
          <w:color w:val="000000"/>
        </w:rPr>
        <w:t>у от 19.08.2019 № 12ГК/112 в составе следующих программных компонентов (модулей):</w:t>
      </w:r>
    </w:p>
    <w:p>
      <w:pPr>
        <w:pStyle w:val="basictext1"/>
        <w:spacing w:lineRule="auto" w:line="240" w:before="0" w:after="0"/>
        <w:ind w:firstLine="567" w:start="567"/>
        <w:rPr>
          <w:rFonts w:eastAsia="Calibri"/>
          <w:color w:val="000000"/>
          <w:szCs w:val="24"/>
        </w:rPr>
      </w:pPr>
      <w:r>
        <w:rPr>
          <w:rFonts w:eastAsia="Calibri"/>
          <w:color w:val="000000"/>
          <w:szCs w:val="24"/>
        </w:rPr>
        <w:t>Программное обеспечение подсистемы приема коротких текстовых сообщений – сервер приема коротких текстовых сообщений от операторов связи (ТСКС, SMS-шлюз);</w:t>
      </w:r>
    </w:p>
    <w:p>
      <w:pPr>
        <w:pStyle w:val="basictext1"/>
        <w:spacing w:lineRule="auto" w:line="240"/>
        <w:ind w:firstLine="567" w:start="567"/>
        <w:rPr>
          <w:rFonts w:eastAsia="Calibri"/>
          <w:color w:val="000000"/>
          <w:szCs w:val="24"/>
        </w:rPr>
      </w:pPr>
      <w:r>
        <w:rPr>
          <w:rFonts w:eastAsia="Calibri"/>
          <w:color w:val="000000"/>
          <w:szCs w:val="24"/>
        </w:rPr>
        <w:t>Программное обеспечение подсистемы определения места нахождения пользовательского оборудования, с которого были осуществлены вызов или передача короткого текстового сообщения о происшествии по единому номеру вызова экстренных оперативных служб "112" (ТСМН).</w:t>
      </w:r>
    </w:p>
    <w:p>
      <w:pPr>
        <w:pStyle w:val="Normal"/>
        <w:tabs>
          <w:tab w:val="clear" w:pos="708"/>
          <w:tab w:val="left" w:pos="360" w:leader="none"/>
        </w:tabs>
        <w:ind w:firstLine="567"/>
        <w:rPr>
          <w:rFonts w:ascii="Times New Roman" w:hAnsi="Times New Roman" w:eastAsia="Calibri" w:cs="Times New Roman"/>
          <w:color w:val="000000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  <w:lang w:bidi="ru-RU"/>
        </w:rPr>
        <w:t>- </w:t>
      </w:r>
      <w:bookmarkStart w:id="19" w:name="_Hlk175240015"/>
      <w:r>
        <w:rPr>
          <w:rFonts w:eastAsia="Calibri" w:cs="Times New Roman" w:ascii="Times New Roman" w:hAnsi="Times New Roman"/>
          <w:color w:val="000000"/>
          <w:sz w:val="24"/>
          <w:szCs w:val="24"/>
          <w:lang w:bidi="ru-RU"/>
        </w:rPr>
        <w:t>Программное обеспечение «Программный комплекс "Протей-imSwitch"»</w:t>
      </w:r>
      <w:bookmarkEnd w:id="19"/>
      <w:r>
        <w:rPr>
          <w:rFonts w:eastAsia="Calibri" w:cs="Times New Roman" w:ascii="Times New Roman" w:hAnsi="Times New Roman"/>
          <w:color w:val="000000"/>
          <w:sz w:val="24"/>
          <w:szCs w:val="24"/>
          <w:lang w:bidi="ru-RU"/>
        </w:rPr>
        <w:t xml:space="preserve"> (</w:t>
      </w:r>
      <w:r>
        <w:rPr>
          <w:rFonts w:eastAsia="Calibri" w:cs="Times New Roman" w:ascii="Times New Roman" w:hAnsi="Times New Roman"/>
          <w:color w:val="000000"/>
          <w:sz w:val="24"/>
          <w:szCs w:val="24"/>
        </w:rPr>
        <w:t>Запись в Реестре российского программного обеспечения от 03.05.2017 № 3361) установленное на п</w:t>
      </w:r>
      <w:r>
        <w:rPr>
          <w:rFonts w:eastAsia="Calibri" w:cs="Times New Roman" w:ascii="Times New Roman" w:hAnsi="Times New Roman"/>
          <w:color w:val="000000"/>
          <w:sz w:val="24"/>
          <w:szCs w:val="24"/>
          <w:lang w:bidi="ru-RU"/>
        </w:rPr>
        <w:t>рограммно-аппаратных комплексах:</w:t>
      </w:r>
    </w:p>
    <w:p>
      <w:pPr>
        <w:pStyle w:val="basictext1"/>
        <w:spacing w:lineRule="auto" w:line="240" w:before="0" w:after="0"/>
        <w:ind w:firstLine="427" w:start="707"/>
        <w:rPr>
          <w:rFonts w:eastAsia="Calibri"/>
          <w:color w:val="000000"/>
          <w:szCs w:val="24"/>
        </w:rPr>
      </w:pPr>
      <w:r>
        <w:rPr>
          <w:rFonts w:eastAsia="Calibri"/>
          <w:color w:val="000000"/>
          <w:szCs w:val="24"/>
        </w:rPr>
        <w:t>Телекоммуникационный шлюз семейства Tiger;</w:t>
      </w:r>
    </w:p>
    <w:p>
      <w:pPr>
        <w:pStyle w:val="basictext1"/>
        <w:spacing w:lineRule="auto" w:line="240" w:before="0" w:after="0"/>
        <w:ind w:firstLine="427" w:start="707"/>
        <w:rPr>
          <w:szCs w:val="24"/>
        </w:rPr>
      </w:pPr>
      <w:r>
        <w:rPr>
          <w:rFonts w:eastAsia="Calibri"/>
          <w:color w:val="000000"/>
          <w:szCs w:val="24"/>
        </w:rPr>
        <w:t>АТС Протей-imSwitch5 112Т5.</w:t>
      </w:r>
    </w:p>
    <w:p>
      <w:pPr>
        <w:pStyle w:val="Normal"/>
        <w:ind w:firstLine="709"/>
        <w:rPr>
          <w:rFonts w:ascii="Times New Roman" w:hAnsi="Times New Roman" w:eastAsia="Calibri" w:cs="Times New Roman"/>
          <w:color w:val="000000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ind w:firstLine="709"/>
        <w:rPr>
          <w:rFonts w:ascii="Times New Roman" w:hAnsi="Times New Roman" w:eastAsia="Times New Roman" w:cs="Times New Roman"/>
          <w:color w:val="00000A"/>
          <w:sz w:val="24"/>
          <w:szCs w:val="24"/>
          <w:lang w:eastAsia="zh-CN"/>
        </w:rPr>
      </w:pPr>
      <w:r>
        <w:rPr>
          <w:rFonts w:eastAsia="Times New Roman" w:cs="Times New Roman" w:ascii="Times New Roman" w:hAnsi="Times New Roman"/>
          <w:color w:val="00000A"/>
          <w:sz w:val="24"/>
          <w:szCs w:val="24"/>
          <w:lang w:eastAsia="zh-CN"/>
        </w:rPr>
        <w:t>Использование проприетарного программного обеспечения допускается только в строгом соответствии с законодательством Российской Федерации.</w:t>
      </w:r>
    </w:p>
    <w:p>
      <w:pPr>
        <w:pStyle w:val="Normal"/>
        <w:ind w:firstLine="709"/>
        <w:rPr>
          <w:rFonts w:ascii="Times New Roman" w:hAnsi="Times New Roman" w:eastAsia="Times New Roman" w:cs="Times New Roman"/>
          <w:color w:val="00000A"/>
          <w:sz w:val="24"/>
          <w:szCs w:val="24"/>
          <w:lang w:eastAsia="zh-CN"/>
        </w:rPr>
      </w:pPr>
      <w:r>
        <w:rPr>
          <w:rFonts w:eastAsia="Times New Roman" w:cs="Times New Roman" w:ascii="Times New Roman" w:hAnsi="Times New Roman"/>
          <w:color w:val="00000A"/>
          <w:sz w:val="24"/>
          <w:szCs w:val="24"/>
          <w:lang w:eastAsia="zh-CN"/>
        </w:rPr>
      </w:r>
    </w:p>
    <w:p>
      <w:pPr>
        <w:pStyle w:val="basictext1"/>
        <w:spacing w:lineRule="auto" w:line="240" w:before="0" w:after="0"/>
        <w:rPr>
          <w:b/>
          <w:szCs w:val="24"/>
        </w:rPr>
      </w:pPr>
      <w:r>
        <w:rPr>
          <w:b/>
          <w:szCs w:val="24"/>
        </w:rPr>
        <w:t>8. Перечень документов, на основании которых оказываются услуги</w:t>
      </w:r>
      <w:bookmarkEnd w:id="17"/>
      <w:bookmarkEnd w:id="18"/>
    </w:p>
    <w:p>
      <w:pPr>
        <w:pStyle w:val="Normal"/>
        <w:ind w:firstLine="709"/>
        <w:rPr>
          <w:rFonts w:ascii="Times New Roman" w:hAnsi="Times New Roman" w:eastAsia="Calibri" w:cs="Times New Roman"/>
          <w:color w:val="000000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</w:rPr>
        <w:t>Федеральный закон от 21 декабря 1994 года № 68-ФЗ «О защите населения и территорий от чрезвычайных ситуаций природного и техногенного характера».</w:t>
      </w:r>
    </w:p>
    <w:p>
      <w:pPr>
        <w:pStyle w:val="Normal"/>
        <w:ind w:firstLine="709"/>
        <w:rPr>
          <w:rFonts w:ascii="Times New Roman" w:hAnsi="Times New Roman" w:eastAsia="Calibri" w:cs="Times New Roman"/>
          <w:color w:val="000000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</w:rPr>
        <w:t>Федеральный закон от 21 декабря 1994 года № 69-ФЗ «О пожарной безопасности».</w:t>
      </w:r>
    </w:p>
    <w:p>
      <w:pPr>
        <w:pStyle w:val="Normal"/>
        <w:shd w:val="clear" w:color="auto" w:fill="FFFFFF"/>
        <w:spacing w:before="0" w:after="0"/>
        <w:ind w:firstLine="708" w:end="-1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color w:themeColor="text1" w:val="000000"/>
          <w:sz w:val="24"/>
          <w:szCs w:val="24"/>
          <w:lang w:eastAsia="zh-CN"/>
        </w:rPr>
        <w:t>Федеральный закон от 27 июля 2006 года № 149-ФЗ «Об информации, информационных технологиях и о защите информации».</w:t>
      </w:r>
    </w:p>
    <w:p>
      <w:pPr>
        <w:pStyle w:val="Normal"/>
        <w:shd w:val="clear" w:color="auto" w:fill="FFFFFF"/>
        <w:spacing w:before="0" w:after="0"/>
        <w:ind w:firstLine="708" w:end="-1"/>
        <w:contextualSpacing/>
        <w:rPr>
          <w:rFonts w:ascii="Times New Roman" w:hAnsi="Times New Roman" w:cs="Times New Roman"/>
          <w:color w:themeColor="text1" w:val="000000"/>
          <w:sz w:val="24"/>
          <w:szCs w:val="24"/>
          <w:lang w:eastAsia="zh-CN"/>
        </w:rPr>
      </w:pPr>
      <w:r>
        <w:rPr>
          <w:rFonts w:cs="Times New Roman" w:ascii="Times New Roman" w:hAnsi="Times New Roman"/>
          <w:color w:themeColor="text1" w:val="000000"/>
          <w:sz w:val="24"/>
          <w:szCs w:val="24"/>
          <w:lang w:eastAsia="zh-CN"/>
        </w:rPr>
        <w:t>Федеральный закон от 27 июля 2006 года № 152-ФЗ «О персональных данных».</w:t>
      </w:r>
    </w:p>
    <w:p>
      <w:pPr>
        <w:pStyle w:val="Normal"/>
        <w:ind w:firstLine="709"/>
        <w:rPr>
          <w:rFonts w:ascii="Times New Roman" w:hAnsi="Times New Roman" w:eastAsia="Calibri" w:cs="Times New Roman"/>
          <w:color w:val="000000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</w:rPr>
        <w:t>Федеральный закон от 2 февраля 2011 года № 3-ФЗ «О полиции».</w:t>
      </w:r>
    </w:p>
    <w:p>
      <w:pPr>
        <w:pStyle w:val="Normal"/>
        <w:ind w:firstLine="709"/>
        <w:rPr>
          <w:rFonts w:ascii="Times New Roman" w:hAnsi="Times New Roman" w:eastAsia="Calibri" w:cs="Times New Roman"/>
          <w:color w:val="000000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</w:rPr>
        <w:t>Постановление Правительства Российской Федерации от 30 декабря 2003 года № 794 «О единой государственной системе предупреждения и ликвидации чрезвычайных ситуаций».</w:t>
      </w:r>
    </w:p>
    <w:p>
      <w:pPr>
        <w:pStyle w:val="Normal"/>
        <w:ind w:firstLine="709"/>
        <w:rPr>
          <w:rFonts w:ascii="Times New Roman" w:hAnsi="Times New Roman" w:eastAsia="Calibri" w:cs="Times New Roman"/>
          <w:color w:val="000000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</w:rPr>
        <w:t>Распоряжение Правительства Российской Федерации от 25 августа 2008 года № 1240-р «Об утверждении Концепции создания системы-112».</w:t>
      </w:r>
    </w:p>
    <w:p>
      <w:pPr>
        <w:pStyle w:val="Normal"/>
        <w:ind w:firstLine="709"/>
        <w:rPr>
          <w:rFonts w:ascii="Times New Roman" w:hAnsi="Times New Roman" w:eastAsia="Calibri" w:cs="Times New Roman"/>
          <w:color w:val="000000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</w:rPr>
        <w:t>Указ Президента Российской Федерации от 28 декабря 2010 года № 1632 «О совершенствовании системы обеспечения вызова экстренных оперативных служб на территории Российской Федерации».</w:t>
      </w:r>
    </w:p>
    <w:p>
      <w:pPr>
        <w:pStyle w:val="Normal"/>
        <w:ind w:firstLine="709"/>
        <w:rPr>
          <w:rFonts w:ascii="Times New Roman" w:hAnsi="Times New Roman" w:eastAsia="Calibri" w:cs="Times New Roman"/>
          <w:color w:val="000000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</w:rPr>
        <w:t>Постановление Правительства Российской Федерации от 21 ноября 2011 года № 958 «О системе обеспечения вызова экстренных оперативных служб по единому номеру «112».</w:t>
      </w:r>
    </w:p>
    <w:p>
      <w:pPr>
        <w:pStyle w:val="Normal"/>
        <w:ind w:firstLine="709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ГОСТ Р 22.7.01-2021 Национальный Стандарт Российской Федерации. Безопасность в чрезвычайных ситуациях. Единая дежурно-диспетчерская служба.</w:t>
      </w:r>
    </w:p>
    <w:p>
      <w:pPr>
        <w:pStyle w:val="Normal"/>
        <w:ind w:firstLine="709"/>
        <w:rPr>
          <w:rFonts w:ascii="Times New Roman" w:hAnsi="Times New Roman" w:eastAsia="Calibri" w:cs="Times New Roman"/>
          <w:color w:val="000000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</w:rPr>
        <w:t>Федеральный закон от 30 декабря 2020 года № 488-ФЗ «Об обеспечении вызова экстренных оперативных служб по единому номеру «112» и о внесении изменений в отдельные законодательные акты Российской Федерации».</w:t>
      </w:r>
    </w:p>
    <w:p>
      <w:pPr>
        <w:pStyle w:val="Normal"/>
        <w:ind w:firstLine="709"/>
        <w:rPr>
          <w:rFonts w:ascii="Times New Roman" w:hAnsi="Times New Roman" w:eastAsia="Calibri" w:cs="Times New Roman"/>
          <w:color w:val="000000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ind w:firstLine="709"/>
        <w:rPr>
          <w:rFonts w:ascii="Times New Roman" w:hAnsi="Times New Roman" w:eastAsia="Calibri" w:cs="Times New Roman"/>
          <w:color w:val="000000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ind w:firstLine="709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Постановление Правительства Российской Федерации от 31 августа 2021 года № 1453 «Об утверждении перечня экстренных оперативных служб, вызов которых круглосуточно и бесплатно обязан обеспечить оператор связи пользователю услугами связи».</w:t>
      </w:r>
    </w:p>
    <w:p>
      <w:pPr>
        <w:pStyle w:val="Normal"/>
        <w:ind w:firstLine="709"/>
        <w:rPr>
          <w:rFonts w:ascii="Times New Roman" w:hAnsi="Times New Roman" w:cs="Times New Roman"/>
          <w:color w:val="000000"/>
          <w:sz w:val="24"/>
          <w:szCs w:val="24"/>
          <w:shd w:fill="FFFFFF" w:val="clear"/>
        </w:rPr>
      </w:pPr>
      <w:r>
        <w:rPr>
          <w:rFonts w:cs="Times New Roman" w:ascii="Times New Roman" w:hAnsi="Times New Roman"/>
          <w:color w:val="000000"/>
          <w:sz w:val="24"/>
          <w:szCs w:val="24"/>
          <w:shd w:fill="FFFFFF" w:val="clear"/>
        </w:rPr>
        <w:t>Постановление Правительства Российской Федерации от 12 ноября 2021 года № 1931 «Об утверждении обязательных требований к организации и функционированию системы обеспечения вызова экстренных оперативных служб по единому номеру «112», в том числе порядка и сроков осуществления приема, обработки и передачи вызовов по единому номеру «112» диспетчерским службам».</w:t>
      </w:r>
    </w:p>
    <w:p>
      <w:pPr>
        <w:pStyle w:val="Normal"/>
        <w:ind w:firstLine="709"/>
        <w:rPr>
          <w:rFonts w:ascii="Times New Roman" w:hAnsi="Times New Roman" w:cs="Times New Roman"/>
          <w:color w:val="000000"/>
          <w:sz w:val="24"/>
          <w:szCs w:val="24"/>
          <w:shd w:fill="FFFFFF" w:val="clear"/>
        </w:rPr>
      </w:pPr>
      <w:r>
        <w:rPr>
          <w:rFonts w:cs="Times New Roman" w:ascii="Times New Roman" w:hAnsi="Times New Roman"/>
          <w:color w:val="000000"/>
          <w:sz w:val="24"/>
          <w:szCs w:val="24"/>
          <w:shd w:fill="FFFFFF" w:val="clear"/>
        </w:rPr>
        <w:t>Постановление Правительства Российской Федерации от 27 ноября 2021 года № 2071 «Об утверждении Правил взаимодействия сил и средств системы обеспечения вызова экстренных оперативных служб по единому номеру «112».</w:t>
      </w:r>
    </w:p>
    <w:p>
      <w:pPr>
        <w:pStyle w:val="Normal"/>
        <w:ind w:firstLine="709"/>
        <w:rPr>
          <w:rFonts w:ascii="Times New Roman" w:hAnsi="Times New Roman" w:cs="Times New Roman"/>
          <w:color w:val="000000"/>
          <w:sz w:val="24"/>
          <w:szCs w:val="24"/>
          <w:shd w:fill="FFFFFF" w:val="clear"/>
        </w:rPr>
      </w:pPr>
      <w:r>
        <w:rPr>
          <w:rFonts w:cs="Times New Roman" w:ascii="Times New Roman" w:hAnsi="Times New Roman"/>
          <w:color w:val="000000"/>
          <w:sz w:val="24"/>
          <w:szCs w:val="24"/>
          <w:shd w:fill="FFFFFF" w:val="clear"/>
        </w:rPr>
        <w:t>Постановление Правительства Российской Федерации от 21 февраля 2015 года № 151 «О порядке взаимодействия с Государственной автоматизированной информационной системой «ЭРА-ГЛОНАСС».</w:t>
      </w:r>
    </w:p>
    <w:p>
      <w:pPr>
        <w:pStyle w:val="Normal"/>
        <w:ind w:firstLine="709"/>
        <w:rPr>
          <w:rFonts w:ascii="Times New Roman" w:hAnsi="Times New Roman" w:eastAsia="Calibri" w:cs="Times New Roman"/>
          <w:color w:val="000000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</w:rPr>
        <w:t>Приказ Минздрава России от 26.03.1999 г. № 100 «О совершенствовании организации скорой медицинской помощи населению Российской Федерации».</w:t>
      </w:r>
    </w:p>
    <w:p>
      <w:pPr>
        <w:pStyle w:val="Normal"/>
        <w:ind w:firstLine="709"/>
        <w:rPr>
          <w:rFonts w:ascii="Times New Roman" w:hAnsi="Times New Roman" w:eastAsia="Calibri" w:cs="Times New Roman"/>
          <w:color w:val="000000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</w:rPr>
        <w:t>Приказ ФСБ России от 16.05.2006 г. № 205 «Об утверждении инструкции по организации в органах Федеральной Службы Безопасности приема, регистрации и проверки сообщений о преступлениях и иной информации о преступлениях и событиях, угрожающих личной и общественной безопасности»».</w:t>
      </w:r>
    </w:p>
    <w:p>
      <w:pPr>
        <w:pStyle w:val="Normal"/>
        <w:ind w:firstLine="709"/>
        <w:rPr>
          <w:rFonts w:ascii="Times New Roman" w:hAnsi="Times New Roman" w:eastAsia="Calibri" w:cs="Times New Roman"/>
          <w:color w:val="000000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</w:rPr>
        <w:t>Приказ Федеральной службы по техническому и экспортному контролю (ФСТЭК России) от 11.04.2025 г. № 117 «Об утверждении Требований о защите информации, содержащейся в государственных информационных системах».</w:t>
      </w:r>
    </w:p>
    <w:p>
      <w:pPr>
        <w:pStyle w:val="Normal"/>
        <w:ind w:firstLine="709"/>
        <w:rPr>
          <w:szCs w:val="24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</w:rPr>
        <w:t>Приказ МЧС России от 14.03.2022 г. № 192 «Об определении форм, сроков и порядка предоставления информации, формируемой средствами системы обеспечения вызова экстренных оперативных служб по единому номеру «112».</w:t>
      </w:r>
    </w:p>
    <w:p>
      <w:pPr>
        <w:pStyle w:val="Normal"/>
        <w:ind w:firstLine="709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Приказ Минцифры РФ от 15.09.2015 г. № 346 «Об утверждении правил применения оборудования узлов обслуживания вызовов экстренных оперативных служб».</w:t>
      </w:r>
    </w:p>
    <w:p>
      <w:pPr>
        <w:pStyle w:val="Normal"/>
        <w:ind w:firstLine="709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</w:rPr>
        <w:t xml:space="preserve">Приказ </w:t>
      </w:r>
      <w:r>
        <w:rPr>
          <w:rFonts w:eastAsia="Calibri" w:cs="Times New Roman" w:ascii="Times New Roman" w:hAnsi="Times New Roman"/>
          <w:sz w:val="24"/>
          <w:szCs w:val="24"/>
        </w:rPr>
        <w:t>Минцифры РФ</w:t>
      </w:r>
      <w:r>
        <w:rPr>
          <w:rFonts w:eastAsia="Calibri" w:cs="Times New Roman" w:ascii="Times New Roman" w:hAnsi="Times New Roman"/>
          <w:color w:val="000000"/>
          <w:sz w:val="24"/>
          <w:szCs w:val="24"/>
        </w:rPr>
        <w:t xml:space="preserve"> от 25.04.2017 г. № 205 «Об утверждении и введении в действие Российской системы и плана нумерации».</w:t>
      </w:r>
    </w:p>
    <w:p>
      <w:pPr>
        <w:pStyle w:val="Normal"/>
        <w:ind w:firstLine="709"/>
        <w:rPr>
          <w:rFonts w:ascii="Times New Roman" w:hAnsi="Times New Roman" w:eastAsia="Calibri" w:cs="Times New Roman"/>
          <w:color w:val="000000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</w:rPr>
        <w:t xml:space="preserve">Приказ </w:t>
      </w:r>
      <w:r>
        <w:rPr>
          <w:rFonts w:eastAsia="Calibri" w:cs="Times New Roman" w:ascii="Times New Roman" w:hAnsi="Times New Roman"/>
          <w:sz w:val="24"/>
          <w:szCs w:val="24"/>
        </w:rPr>
        <w:t xml:space="preserve">Минцифры РФ </w:t>
      </w:r>
      <w:r>
        <w:rPr>
          <w:rFonts w:eastAsia="Calibri" w:cs="Times New Roman" w:ascii="Times New Roman" w:hAnsi="Times New Roman"/>
          <w:color w:val="000000"/>
          <w:sz w:val="24"/>
          <w:szCs w:val="24"/>
        </w:rPr>
        <w:t>от 09.03.2022 г. № 180 «Об утверждении Порядка предоставления и объема информации, необходимой для обеспечения реагирования по вызову или сообщению о происшествии по единому номеру вызова экстренных оперативных служб «112», в том числе Правил определения места нахождения пользовательского оборудования (оконечного оборудования), с которого были осуществлены вызов или передача сообщения о происшествии по единому номеру вызова экстренных оперативных служб «112».</w:t>
      </w:r>
    </w:p>
    <w:p>
      <w:pPr>
        <w:pStyle w:val="Normal"/>
        <w:ind w:firstLine="709"/>
        <w:rPr>
          <w:rFonts w:ascii="Times New Roman" w:hAnsi="Times New Roman" w:eastAsia="Calibri" w:cs="Times New Roman"/>
          <w:color w:val="000000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</w:rPr>
        <w:t xml:space="preserve">Приказ </w:t>
      </w:r>
      <w:r>
        <w:rPr>
          <w:rFonts w:eastAsia="Calibri" w:cs="Times New Roman" w:ascii="Times New Roman" w:hAnsi="Times New Roman"/>
          <w:sz w:val="24"/>
          <w:szCs w:val="24"/>
        </w:rPr>
        <w:t xml:space="preserve">Минцифры РФ </w:t>
      </w:r>
      <w:r>
        <w:rPr>
          <w:rFonts w:eastAsia="Calibri" w:cs="Times New Roman" w:ascii="Times New Roman" w:hAnsi="Times New Roman"/>
          <w:color w:val="000000"/>
          <w:sz w:val="24"/>
          <w:szCs w:val="24"/>
        </w:rPr>
        <w:t>от 02.03.2022 г. № 156 «Об утверждении Порядка защиты сетей связи и информационных систем операторов связи от несанкционированного доступа к ним и передаваемой по ним информации при функционировании системы обеспечения вызова экстренных оперативных служб по единому номеру «112».</w:t>
      </w:r>
    </w:p>
    <w:p>
      <w:pPr>
        <w:pStyle w:val="Normal"/>
        <w:shd w:val="clear" w:color="auto" w:fill="FFFFFF"/>
        <w:spacing w:before="0" w:after="0"/>
        <w:ind w:firstLine="708" w:end="-1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color w:themeColor="text1" w:val="000000"/>
          <w:sz w:val="24"/>
          <w:szCs w:val="24"/>
          <w:lang w:eastAsia="zh-CN"/>
        </w:rPr>
        <w:t xml:space="preserve">Распоряжение Правительства Кабардино-Балкарской Республики от 31 августа 2022 года № 424-рп «О принятии в постоянную эксплуатацию системы обеспечения вызова экстренных оперативных служб по единому номеру «112» на территории </w:t>
      </w:r>
      <w:r>
        <w:rPr>
          <w:rFonts w:cs="Times New Roman" w:ascii="Times New Roman" w:hAnsi="Times New Roman"/>
          <w:color w:themeColor="text1" w:val="000000"/>
          <w:sz w:val="24"/>
          <w:szCs w:val="24"/>
        </w:rPr>
        <w:t>Кабардино-Балкарской Республики</w:t>
      </w:r>
      <w:r>
        <w:rPr>
          <w:rFonts w:cs="Times New Roman" w:ascii="Times New Roman" w:hAnsi="Times New Roman"/>
          <w:color w:themeColor="text1" w:val="000000"/>
          <w:sz w:val="24"/>
          <w:szCs w:val="24"/>
          <w:lang w:eastAsia="zh-CN"/>
        </w:rPr>
        <w:t>».</w:t>
      </w:r>
    </w:p>
    <w:p>
      <w:pPr>
        <w:pStyle w:val="Normal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 xml:space="preserve">Технический проект </w:t>
      </w:r>
      <w:r>
        <w:rPr>
          <w:rFonts w:cs="Times New Roman" w:ascii="Times New Roman" w:hAnsi="Times New Roman"/>
          <w:sz w:val="24"/>
          <w:szCs w:val="24"/>
        </w:rPr>
        <w:t>системы обеспечения вызова экстренных оперативных служб по единому номеру «112» на базе единых дежурно-диспетчерских служб муниципальных образований Кабардино-Балкарской Республики, согласованный МЧС России от 10.12.2021 г.</w:t>
      </w:r>
    </w:p>
    <w:p>
      <w:pPr>
        <w:pStyle w:val="Normal"/>
        <w:shd w:val="clear" w:color="auto" w:fill="FFFFFF"/>
        <w:spacing w:before="0" w:after="0"/>
        <w:ind w:firstLine="708" w:end="-1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Системный проект системы обеспечения вызова экстренных оперативных служб по единому номеру «112» на базе единых дежурно-диспетчерских служб муниципальных образований Кабардино-Балкарской Республики, согласованный с </w:t>
      </w:r>
      <w:r>
        <w:rPr>
          <w:rFonts w:eastAsia="Calibri" w:cs="Times New Roman" w:ascii="Times New Roman" w:hAnsi="Times New Roman"/>
          <w:sz w:val="24"/>
          <w:szCs w:val="24"/>
        </w:rPr>
        <w:t>Минцифры РФ</w:t>
      </w:r>
      <w:r>
        <w:rPr>
          <w:rFonts w:cs="Times New Roman" w:ascii="Times New Roman" w:hAnsi="Times New Roman"/>
          <w:sz w:val="24"/>
          <w:szCs w:val="24"/>
        </w:rPr>
        <w:t xml:space="preserve"> от 11.06.2021 г.</w:t>
      </w:r>
    </w:p>
    <w:p>
      <w:pPr>
        <w:pStyle w:val="Normal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</w:rPr>
        <w:t xml:space="preserve">Методические рекомендации по проведению государственных приёмочных испытаний системы-112 субъектов Российской Федерации, </w:t>
      </w:r>
      <w:r>
        <w:rPr>
          <w:rFonts w:cs="Times New Roman" w:ascii="Times New Roman" w:hAnsi="Times New Roman"/>
          <w:sz w:val="24"/>
          <w:szCs w:val="24"/>
        </w:rPr>
        <w:t>утверждённые МЧС России и Минцифрой РФ от 24.11.2017 г. № 2-4-71-44-33.</w:t>
      </w:r>
    </w:p>
    <w:p>
      <w:pPr>
        <w:pStyle w:val="Normal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9. </w:t>
      </w:r>
      <w:r>
        <w:rPr>
          <w:rFonts w:cs="Times New Roman" w:ascii="Times New Roman" w:hAnsi="Times New Roman"/>
          <w:b/>
          <w:sz w:val="24"/>
          <w:szCs w:val="24"/>
          <w:lang w:eastAsia="zh-CN"/>
        </w:rPr>
        <w:t>Требования к предоставляемой услуге</w:t>
      </w:r>
    </w:p>
    <w:p>
      <w:pPr>
        <w:pStyle w:val="Normal"/>
        <w:ind w:firstLine="709"/>
        <w:rPr>
          <w:rFonts w:ascii="Times New Roman" w:hAnsi="Times New Roman" w:eastAsia="Calibri" w:cs="Times New Roman"/>
          <w:color w:val="000000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</w:rPr>
        <w:t>В процессе оказания услуги Исполнитель обеспечивает устойчивое информационное взаимодействие между объектами автоматизации и интеграции Системы-112.</w:t>
      </w:r>
    </w:p>
    <w:p>
      <w:pPr>
        <w:pStyle w:val="Normal"/>
        <w:spacing w:before="0" w:after="24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Каналы связи для передачи информации между компонентами взаимосвязанных комплексов средств автоматизации Системы-112 обеспечивает Заказчик.</w:t>
      </w:r>
    </w:p>
    <w:p>
      <w:pPr>
        <w:pStyle w:val="Normal"/>
        <w:suppressAutoHyphens w:val="true"/>
        <w:ind w:firstLine="708"/>
        <w:rPr>
          <w:rFonts w:ascii="Times New Roman" w:hAnsi="Times New Roman" w:eastAsia="Calibri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lang w:eastAsia="zh-CN"/>
        </w:rPr>
        <w:t>В рамках предоставления услуги обеспечивается круглосуточная техническая поддержка СПО-112, в том числе</w:t>
      </w:r>
      <w:r>
        <w:rPr>
          <w:rFonts w:eastAsia="Calibri" w:cs="Times New Roman" w:ascii="Times New Roman" w:hAnsi="Times New Roman"/>
          <w:color w:val="000000"/>
          <w:sz w:val="24"/>
          <w:szCs w:val="24"/>
        </w:rPr>
        <w:t xml:space="preserve"> сопровождение подсистем Системы-112:</w:t>
      </w:r>
    </w:p>
    <w:p>
      <w:pPr>
        <w:pStyle w:val="Normal"/>
        <w:ind w:firstLine="709"/>
        <w:rPr>
          <w:rFonts w:ascii="Times New Roman" w:hAnsi="Times New Roman" w:eastAsia="Calibri" w:cs="Times New Roman"/>
          <w:color w:val="000000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</w:rPr>
        <w:t>- телекоммуникационная подсистема;</w:t>
      </w:r>
    </w:p>
    <w:p>
      <w:pPr>
        <w:pStyle w:val="Normal"/>
        <w:ind w:firstLine="709"/>
        <w:rPr>
          <w:rFonts w:ascii="Times New Roman" w:hAnsi="Times New Roman" w:eastAsia="Calibri" w:cs="Times New Roman"/>
          <w:color w:val="000000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</w:rPr>
        <w:t>- информационно-коммуникационная подсистема;</w:t>
      </w:r>
    </w:p>
    <w:p>
      <w:pPr>
        <w:pStyle w:val="Normal"/>
        <w:ind w:firstLine="709"/>
        <w:rPr>
          <w:rFonts w:ascii="Times New Roman" w:hAnsi="Times New Roman" w:eastAsia="Calibri" w:cs="Times New Roman"/>
          <w:color w:val="000000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</w:rPr>
        <w:t>- подсистема консультативного обслуживания;</w:t>
      </w:r>
    </w:p>
    <w:p>
      <w:pPr>
        <w:pStyle w:val="Normal"/>
        <w:ind w:firstLine="709"/>
        <w:rPr>
          <w:rFonts w:ascii="Times New Roman" w:hAnsi="Times New Roman" w:eastAsia="Calibri" w:cs="Times New Roman"/>
          <w:color w:val="000000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</w:rPr>
        <w:t>- геоинформационная подсистема;</w:t>
      </w:r>
    </w:p>
    <w:p>
      <w:pPr>
        <w:pStyle w:val="Normal"/>
        <w:spacing w:before="0" w:after="240"/>
        <w:ind w:firstLine="709"/>
        <w:rPr>
          <w:rFonts w:ascii="Times New Roman" w:hAnsi="Times New Roman" w:eastAsia="Calibri" w:cs="Times New Roman"/>
          <w:color w:val="000000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</w:rPr>
        <w:t>- подсистема мониторинга.</w:t>
      </w:r>
    </w:p>
    <w:p>
      <w:pPr>
        <w:pStyle w:val="Normal"/>
        <w:ind w:firstLine="709"/>
        <w:rPr>
          <w:rFonts w:ascii="Times New Roman" w:hAnsi="Times New Roman" w:eastAsia="Calibri" w:cs="Times New Roman"/>
          <w:color w:val="000000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</w:rPr>
        <w:t>Под телекоммуникационной подсистемой Системы-112 подразумевается:</w:t>
      </w:r>
    </w:p>
    <w:p>
      <w:pPr>
        <w:pStyle w:val="Normal"/>
        <w:ind w:firstLine="709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- поставка, установка и тестирование пакетов актуализации ПО телекоммуникационных средств и устройств Системы-112 (медиашлюзы Tiger.MS/MS</w:t>
      </w:r>
      <w:r>
        <w:rPr>
          <w:rFonts w:eastAsia="Calibri" w:cs="Times New Roman" w:ascii="Times New Roman" w:hAnsi="Times New Roman"/>
          <w:sz w:val="24"/>
          <w:szCs w:val="24"/>
          <w:lang w:val="en-US"/>
        </w:rPr>
        <w:t>C</w:t>
      </w:r>
      <w:r>
        <w:rPr>
          <w:rFonts w:eastAsia="Calibri" w:cs="Times New Roman" w:ascii="Times New Roman" w:hAnsi="Times New Roman"/>
          <w:sz w:val="24"/>
          <w:szCs w:val="24"/>
        </w:rPr>
        <w:t xml:space="preserve"> 60/2000, </w:t>
      </w:r>
      <w:r>
        <w:rPr>
          <w:rFonts w:cs="Times New Roman" w:ascii="Times New Roman" w:hAnsi="Times New Roman"/>
          <w:kern w:val="2"/>
          <w:sz w:val="24"/>
          <w:szCs w:val="24"/>
          <w:lang w:eastAsia="zh-CN"/>
        </w:rPr>
        <w:t xml:space="preserve">автоматические телефонные станции </w:t>
      </w:r>
      <w:r>
        <w:rPr>
          <w:rFonts w:eastAsia="Calibri" w:cs="Times New Roman" w:ascii="Times New Roman" w:hAnsi="Times New Roman"/>
          <w:sz w:val="24"/>
          <w:szCs w:val="24"/>
        </w:rPr>
        <w:t>ImSwitch5 112T5);</w:t>
      </w:r>
    </w:p>
    <w:p>
      <w:pPr>
        <w:pStyle w:val="Normal"/>
        <w:spacing w:before="0" w:after="240"/>
        <w:ind w:firstLine="709"/>
        <w:rPr>
          <w:rFonts w:ascii="Times New Roman" w:hAnsi="Times New Roman" w:eastAsia="Calibri" w:cs="Times New Roman"/>
          <w:color w:val="000000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</w:rPr>
        <w:t>- дополнительные настройки и работы, связанные с расширением функциональных возможностей Системы-112, а также сопряжение с другими узлами и сервисами, не требующие разработки и программирования новых модулей и/или функций, в том числе</w:t>
      </w:r>
      <w:r>
        <w:rPr>
          <w:rFonts w:eastAsia="Calibri" w:cs="Times New Roman" w:ascii="Times New Roman" w:hAnsi="Times New Roman"/>
          <w:color w:val="000000"/>
          <w:sz w:val="24"/>
          <w:szCs w:val="24"/>
          <w:highlight w:val="yellow"/>
        </w:rPr>
        <w:t xml:space="preserve"> </w:t>
      </w:r>
      <w:r>
        <w:rPr>
          <w:rFonts w:eastAsia="Calibri" w:cs="Times New Roman" w:ascii="Times New Roman" w:hAnsi="Times New Roman"/>
          <w:color w:val="000000"/>
          <w:sz w:val="24"/>
          <w:szCs w:val="24"/>
        </w:rPr>
        <w:t>сопряжение с УОВЭОС, TCMH, ТСКС и прочее.</w:t>
      </w:r>
    </w:p>
    <w:p>
      <w:pPr>
        <w:pStyle w:val="Normal"/>
        <w:spacing w:before="0" w:after="240"/>
        <w:ind w:firstLine="709"/>
        <w:rPr>
          <w:rFonts w:ascii="Times New Roman" w:hAnsi="Times New Roman" w:eastAsia="Calibri" w:cs="Times New Roman"/>
          <w:color w:val="000000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</w:rPr>
        <w:t>Под информационно-коммуникационной подсистемой Системы-112 подразумевается обеспечение хранения и актуализация баз данных, обработка информации о полученных вызовах и возможность получения информации о происшествии из архива в оперативном режиме.</w:t>
      </w:r>
    </w:p>
    <w:p>
      <w:pPr>
        <w:pStyle w:val="Normal"/>
        <w:spacing w:before="0" w:after="240"/>
        <w:ind w:firstLine="709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 xml:space="preserve">Под подсистемой консультативного обслуживания населения Системы-112 </w:t>
      </w:r>
      <w:r>
        <w:rPr>
          <w:rFonts w:eastAsia="Calibri" w:cs="Times New Roman" w:ascii="Times New Roman" w:hAnsi="Times New Roman"/>
          <w:color w:val="000000"/>
          <w:sz w:val="24"/>
          <w:szCs w:val="24"/>
        </w:rPr>
        <w:t>подразумевается</w:t>
      </w:r>
      <w:r>
        <w:rPr>
          <w:rFonts w:eastAsia="Calibri" w:cs="Times New Roman" w:ascii="Times New Roman" w:hAnsi="Times New Roman"/>
          <w:sz w:val="24"/>
          <w:szCs w:val="24"/>
        </w:rPr>
        <w:t xml:space="preserve"> обеспечение информационно-справочной системы для оказания помощи лицам по вопросам обеспечения безопасности жизнеобеспечения.</w:t>
      </w:r>
    </w:p>
    <w:p>
      <w:pPr>
        <w:pStyle w:val="Normal"/>
        <w:spacing w:before="0" w:after="240"/>
        <w:ind w:firstLine="709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 xml:space="preserve">Под геоинформационной подсистемой Системы-112 </w:t>
      </w:r>
      <w:r>
        <w:rPr>
          <w:rFonts w:eastAsia="Calibri" w:cs="Times New Roman" w:ascii="Times New Roman" w:hAnsi="Times New Roman"/>
          <w:color w:val="000000"/>
          <w:sz w:val="24"/>
          <w:szCs w:val="24"/>
        </w:rPr>
        <w:t>подразумевается</w:t>
      </w:r>
      <w:r>
        <w:rPr>
          <w:rFonts w:eastAsia="Calibri" w:cs="Times New Roman" w:ascii="Times New Roman" w:hAnsi="Times New Roman"/>
          <w:sz w:val="24"/>
          <w:szCs w:val="24"/>
        </w:rPr>
        <w:t xml:space="preserve"> обеспечение отображения на основе электронных карт природно-географических, социально-демографических, экономических и других характеристик территорий, местонахождения лица, обратившегося по номеру «112», и (или) абонентского устройства, с которого осуществлен вызов (сообщение о происшествии), места происшествия, а также местоположение транспортных средств экстренных оперативных служб, привлеченных к реагированию на происшествие. Геоинформационная подсистема строится на основе OpenStreetMap (OSM). При необходимости использования более детальных электронных карт с необходимыми информационными слоями, Заказчик должен предоставить их Исполнителю для использования в геоинформационной подсистеме.</w:t>
      </w:r>
    </w:p>
    <w:p>
      <w:pPr>
        <w:pStyle w:val="Normal"/>
        <w:spacing w:before="0" w:after="240"/>
        <w:ind w:firstLine="709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 xml:space="preserve">Под подсистемой мониторинга Системы-112 </w:t>
      </w:r>
      <w:r>
        <w:rPr>
          <w:rFonts w:eastAsia="Calibri" w:cs="Times New Roman" w:ascii="Times New Roman" w:hAnsi="Times New Roman"/>
          <w:color w:val="000000"/>
          <w:sz w:val="24"/>
          <w:szCs w:val="24"/>
        </w:rPr>
        <w:t>подразумевается</w:t>
      </w:r>
      <w:r>
        <w:rPr>
          <w:rFonts w:eastAsia="Calibri" w:cs="Times New Roman" w:ascii="Times New Roman" w:hAnsi="Times New Roman"/>
          <w:sz w:val="24"/>
          <w:szCs w:val="24"/>
        </w:rPr>
        <w:t xml:space="preserve"> обеспечение приема и обработки информации и сигналов, поступающих от датчиков, установленных на контролируемых стационарных и подвижных объектах, в том числе от автомобильных терминалов системы экстренного реагирования при авариях «ЭРА-ГЛОНАСС» и терминалов ГЛОНАСС/</w:t>
      </w:r>
      <w:r>
        <w:rPr>
          <w:rFonts w:eastAsia="Calibri" w:cs="Times New Roman" w:ascii="Times New Roman" w:hAnsi="Times New Roman"/>
          <w:sz w:val="24"/>
          <w:szCs w:val="24"/>
          <w:lang w:val="en-US"/>
        </w:rPr>
        <w:t>GPS</w:t>
      </w:r>
      <w:r>
        <w:rPr>
          <w:rFonts w:eastAsia="Calibri" w:cs="Times New Roman" w:ascii="Times New Roman" w:hAnsi="Times New Roman"/>
          <w:sz w:val="24"/>
          <w:szCs w:val="24"/>
        </w:rPr>
        <w:t>, установленных на транспортных средствах.</w:t>
      </w:r>
    </w:p>
    <w:p>
      <w:pPr>
        <w:pStyle w:val="Normal"/>
        <w:ind w:firstLine="709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 xml:space="preserve">В рамках обеспечения </w:t>
      </w:r>
      <w:r>
        <w:rPr>
          <w:rFonts w:cs="Times New Roman" w:ascii="Times New Roman" w:hAnsi="Times New Roman"/>
          <w:sz w:val="24"/>
          <w:szCs w:val="24"/>
        </w:rPr>
        <w:t>технического обслуживания и сопровождения</w:t>
      </w:r>
      <w:r>
        <w:rPr>
          <w:rFonts w:eastAsia="Calibri" w:cs="Times New Roman" w:ascii="Times New Roman" w:hAnsi="Times New Roman"/>
          <w:sz w:val="24"/>
          <w:szCs w:val="24"/>
        </w:rPr>
        <w:t xml:space="preserve"> Системы-112 Исполнитель осуществляет выполнение следующего перечня основных операций:</w:t>
      </w:r>
    </w:p>
    <w:p>
      <w:pPr>
        <w:pStyle w:val="Normal"/>
        <w:ind w:firstLine="709"/>
        <w:rPr>
          <w:rFonts w:ascii="Times New Roman" w:hAnsi="Times New Roman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</w:rPr>
        <w:t>- </w:t>
      </w:r>
      <w:r>
        <w:rPr>
          <w:rFonts w:ascii="Times New Roman" w:hAnsi="Times New Roman"/>
          <w:sz w:val="24"/>
          <w:szCs w:val="24"/>
        </w:rPr>
        <w:t>поддержание в актуальном состоянии необходимого для функционирования СПО-112 на серверном оборудовании и АРМ Системы-112, с целью устранения уязвимостей и снижения вероятности программных сбоев;</w:t>
      </w:r>
    </w:p>
    <w:p>
      <w:pPr>
        <w:pStyle w:val="Normal"/>
        <w:ind w:firstLine="709"/>
        <w:rPr>
          <w:rFonts w:ascii="Times New Roman" w:hAnsi="Times New Roman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</w:rPr>
        <w:t>- </w:t>
      </w:r>
      <w:r>
        <w:rPr>
          <w:rFonts w:ascii="Times New Roman" w:hAnsi="Times New Roman"/>
          <w:sz w:val="24"/>
          <w:szCs w:val="24"/>
        </w:rPr>
        <w:t>настройку операционной системы и необходимого для функционирования СПО-112 на серверном оборудовании Системы-112 с целью получения максимальной производительности, отказоустойчивости и снижения времени восстановления после программно-аппаратных сбоев;</w:t>
      </w:r>
    </w:p>
    <w:p>
      <w:pPr>
        <w:pStyle w:val="Normal"/>
        <w:ind w:firstLine="709"/>
        <w:rPr>
          <w:rFonts w:ascii="Times New Roman" w:hAnsi="Times New Roman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</w:rPr>
        <w:t>- </w:t>
      </w:r>
      <w:r>
        <w:rPr>
          <w:rFonts w:ascii="Times New Roman" w:hAnsi="Times New Roman"/>
          <w:sz w:val="24"/>
          <w:szCs w:val="24"/>
        </w:rPr>
        <w:t>устранение возникающих сбоев и ошибок в СПО-112, в том числе посредством внесения изменений в программный код СПО-112 и настройки операционной системы серверного оборудования;</w:t>
      </w:r>
    </w:p>
    <w:p>
      <w:pPr>
        <w:pStyle w:val="Normal"/>
        <w:ind w:firstLine="709"/>
        <w:rPr>
          <w:rFonts w:ascii="Times New Roman" w:hAnsi="Times New Roman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</w:rPr>
        <w:t>- </w:t>
      </w:r>
      <w:r>
        <w:rPr>
          <w:rFonts w:ascii="Times New Roman" w:hAnsi="Times New Roman"/>
          <w:sz w:val="24"/>
          <w:szCs w:val="24"/>
        </w:rPr>
        <w:t xml:space="preserve">совместимость клиентского СПО-112 с последними актуальными на время действия договора версиями клиентских операционных систем семейства </w:t>
      </w:r>
      <w:r>
        <w:rPr>
          <w:rFonts w:ascii="Times New Roman" w:hAnsi="Times New Roman"/>
          <w:sz w:val="24"/>
          <w:szCs w:val="24"/>
          <w:lang w:val="en-US"/>
        </w:rPr>
        <w:t>Windows</w:t>
      </w:r>
      <w:r>
        <w:rPr>
          <w:rFonts w:ascii="Times New Roman" w:hAnsi="Times New Roman"/>
          <w:sz w:val="24"/>
          <w:szCs w:val="24"/>
        </w:rPr>
        <w:t xml:space="preserve"> Заказчика;</w:t>
      </w:r>
    </w:p>
    <w:p>
      <w:pPr>
        <w:pStyle w:val="Normal"/>
        <w:ind w:firstLine="709"/>
        <w:rPr>
          <w:rFonts w:ascii="Times New Roman" w:hAnsi="Times New Roman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</w:rPr>
        <w:t>- </w:t>
      </w:r>
      <w:r>
        <w:rPr>
          <w:rFonts w:ascii="Times New Roman" w:hAnsi="Times New Roman"/>
          <w:sz w:val="24"/>
          <w:szCs w:val="24"/>
        </w:rPr>
        <w:t>поддержание в работоспособном состоянии программных компонентов Системы-112;</w:t>
      </w:r>
    </w:p>
    <w:p>
      <w:pPr>
        <w:pStyle w:val="Normal"/>
        <w:ind w:firstLine="709"/>
        <w:rPr>
          <w:rFonts w:ascii="Times New Roman" w:hAnsi="Times New Roman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</w:rPr>
        <w:t>- </w:t>
      </w:r>
      <w:r>
        <w:rPr>
          <w:rFonts w:ascii="Times New Roman" w:hAnsi="Times New Roman"/>
          <w:sz w:val="24"/>
          <w:szCs w:val="24"/>
        </w:rPr>
        <w:t>установку обновлений и патчей компонентов Системы-112, выпущенных в связи с исправлением выявленных ошибок;</w:t>
      </w:r>
    </w:p>
    <w:p>
      <w:pPr>
        <w:pStyle w:val="Normal"/>
        <w:ind w:firstLine="709"/>
        <w:rPr>
          <w:rFonts w:ascii="Times New Roman" w:hAnsi="Times New Roman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</w:rPr>
        <w:t>- </w:t>
      </w:r>
      <w:r>
        <w:rPr>
          <w:rFonts w:ascii="Times New Roman" w:hAnsi="Times New Roman"/>
          <w:sz w:val="24"/>
          <w:szCs w:val="24"/>
        </w:rPr>
        <w:t>сбор, консолидацию и обработку данных обо всех программных ошибках, возникающих при работе с компонентами СПО-112, а также иных сбоях, ограничивающих возможность полнофункционального использования компонентов СПО-112, а также их устранение, в том числе посредством внесения изменений в программный код;</w:t>
      </w:r>
    </w:p>
    <w:p>
      <w:pPr>
        <w:pStyle w:val="Normal"/>
        <w:ind w:firstLine="709"/>
        <w:rPr>
          <w:rFonts w:ascii="Times New Roman" w:hAnsi="Times New Roman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</w:rPr>
        <w:t>- </w:t>
      </w:r>
      <w:r>
        <w:rPr>
          <w:rFonts w:ascii="Times New Roman" w:hAnsi="Times New Roman"/>
          <w:sz w:val="24"/>
          <w:szCs w:val="24"/>
        </w:rPr>
        <w:t>проведение профилактических мероприятий для обеспечения бесперебойного функционирования компонентов СПО-112;</w:t>
      </w:r>
    </w:p>
    <w:p>
      <w:pPr>
        <w:pStyle w:val="Normal"/>
        <w:ind w:firstLine="709"/>
        <w:rPr>
          <w:rFonts w:ascii="Times New Roman" w:hAnsi="Times New Roman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</w:rPr>
        <w:t>- </w:t>
      </w:r>
      <w:r>
        <w:rPr>
          <w:rFonts w:ascii="Times New Roman" w:hAnsi="Times New Roman"/>
          <w:sz w:val="24"/>
          <w:szCs w:val="24"/>
        </w:rPr>
        <w:t>сохранение конфигураций компонентов Системы-112 перед внесением изменений, с возможностью оперативного возврата на предыдущую конфигурацию в случае возникновения нештатной ситуации или выявления недостатков в работе новой конфигурации;</w:t>
      </w:r>
    </w:p>
    <w:p>
      <w:pPr>
        <w:pStyle w:val="Normal"/>
        <w:ind w:firstLine="709"/>
        <w:rPr>
          <w:rFonts w:ascii="Times New Roman" w:hAnsi="Times New Roman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</w:rPr>
        <w:t>- </w:t>
      </w:r>
      <w:r>
        <w:rPr>
          <w:rFonts w:ascii="Times New Roman" w:hAnsi="Times New Roman"/>
          <w:sz w:val="24"/>
          <w:szCs w:val="24"/>
        </w:rPr>
        <w:t>техническое сопровождение согласно требованиям, указанным в п. 9.3 настоящего Технического задания, в случае возникновения аварийной ситуации;</w:t>
      </w:r>
    </w:p>
    <w:p>
      <w:pPr>
        <w:pStyle w:val="Normal"/>
        <w:ind w:firstLine="709"/>
        <w:rPr>
          <w:rFonts w:ascii="Times New Roman" w:hAnsi="Times New Roman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</w:rPr>
        <w:t>- </w:t>
      </w:r>
      <w:r>
        <w:rPr>
          <w:rFonts w:ascii="Times New Roman" w:hAnsi="Times New Roman"/>
          <w:sz w:val="24"/>
          <w:szCs w:val="24"/>
        </w:rPr>
        <w:t>исполнение заявок по устранению ошибок от Заказчика согласно п. 9.3 настоящего Технического задания;</w:t>
      </w:r>
    </w:p>
    <w:p>
      <w:pPr>
        <w:pStyle w:val="Normal"/>
        <w:ind w:firstLine="709"/>
        <w:rPr>
          <w:rFonts w:ascii="Times New Roman" w:hAnsi="Times New Roman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</w:rPr>
        <w:t>- </w:t>
      </w:r>
      <w:r>
        <w:rPr>
          <w:rFonts w:ascii="Times New Roman" w:hAnsi="Times New Roman"/>
          <w:sz w:val="24"/>
          <w:szCs w:val="24"/>
        </w:rPr>
        <w:t>квалифицированную консультационную помощь представителям Заказчика;</w:t>
      </w:r>
    </w:p>
    <w:p>
      <w:pPr>
        <w:pStyle w:val="Normal"/>
        <w:ind w:firstLine="709"/>
        <w:rPr>
          <w:rFonts w:ascii="Times New Roman" w:hAnsi="Times New Roman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</w:rPr>
        <w:t>- </w:t>
      </w:r>
      <w:r>
        <w:rPr>
          <w:rFonts w:ascii="Times New Roman" w:hAnsi="Times New Roman"/>
          <w:sz w:val="24"/>
          <w:szCs w:val="24"/>
        </w:rPr>
        <w:t>информирование представителей Заказчика о состоянии обращений;</w:t>
      </w:r>
    </w:p>
    <w:p>
      <w:pPr>
        <w:pStyle w:val="Normal"/>
        <w:ind w:firstLine="709"/>
        <w:rPr>
          <w:rFonts w:ascii="Times New Roman" w:hAnsi="Times New Roman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</w:rPr>
        <w:t>- </w:t>
      </w:r>
      <w:r>
        <w:rPr>
          <w:rFonts w:ascii="Times New Roman" w:hAnsi="Times New Roman"/>
          <w:sz w:val="24"/>
          <w:szCs w:val="24"/>
        </w:rPr>
        <w:t>прием, сопровождение и закрытие заявок от представителей Заказчика в автоматизированном или ручной режиме в программных средствах обработки заявок;</w:t>
      </w:r>
    </w:p>
    <w:p>
      <w:pPr>
        <w:pStyle w:val="Normal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предоставление Заказчику информации о внесенных изменениях (исправлениях) в новых версиях СПО-112 перед обновлением;</w:t>
      </w:r>
    </w:p>
    <w:p>
      <w:pPr>
        <w:pStyle w:val="Normal"/>
        <w:ind w:firstLine="709"/>
        <w:rPr>
          <w:rFonts w:ascii="Times New Roman" w:hAnsi="Times New Roman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</w:rPr>
        <w:t>- </w:t>
      </w:r>
      <w:r>
        <w:rPr>
          <w:rFonts w:ascii="Times New Roman" w:hAnsi="Times New Roman"/>
          <w:sz w:val="24"/>
          <w:szCs w:val="24"/>
        </w:rPr>
        <w:t xml:space="preserve">поддержку инструкций по работе с компонентами Системы-112 в актуальном состоянии, в соответствии с новыми версиями ПО и обновлений; </w:t>
      </w:r>
    </w:p>
    <w:p>
      <w:pPr>
        <w:pStyle w:val="Normal"/>
        <w:ind w:firstLine="709"/>
        <w:rPr>
          <w:rFonts w:ascii="Times New Roman" w:hAnsi="Times New Roman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</w:rPr>
        <w:t>- </w:t>
      </w:r>
      <w:r>
        <w:rPr>
          <w:rFonts w:ascii="Times New Roman" w:hAnsi="Times New Roman"/>
          <w:sz w:val="24"/>
          <w:szCs w:val="24"/>
        </w:rPr>
        <w:t>решение заявок представителей Заказчика, возникающих при их работе с компонентами СПО-112, в удаленном режиме с помощью электронной системы учета обращений, организованной в рамках оказания услуг;</w:t>
      </w:r>
    </w:p>
    <w:p>
      <w:pPr>
        <w:pStyle w:val="Normal"/>
        <w:ind w:firstLine="709"/>
        <w:rPr>
          <w:rFonts w:ascii="Times New Roman" w:hAnsi="Times New Roman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</w:rPr>
        <w:t>- </w:t>
      </w:r>
      <w:r>
        <w:rPr>
          <w:rFonts w:ascii="Times New Roman" w:hAnsi="Times New Roman"/>
          <w:sz w:val="24"/>
          <w:szCs w:val="24"/>
        </w:rPr>
        <w:t>формирование аналитической выборки на основе имеющихся в компонентах Системы-112 данных по требованию Заказчика, при наличии технической возможности;</w:t>
      </w:r>
    </w:p>
    <w:p>
      <w:pPr>
        <w:pStyle w:val="Normal"/>
        <w:ind w:firstLine="709"/>
        <w:rPr>
          <w:rFonts w:ascii="Times New Roman" w:hAnsi="Times New Roman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</w:rPr>
        <w:t>- </w:t>
      </w:r>
      <w:r>
        <w:rPr>
          <w:rFonts w:ascii="Times New Roman" w:hAnsi="Times New Roman"/>
          <w:sz w:val="24"/>
          <w:szCs w:val="24"/>
        </w:rPr>
        <w:t>формирование отчета о работе технической поддержки в конце отчетного периода оказания услуг или по требованию Заказчика;</w:t>
      </w:r>
    </w:p>
    <w:p>
      <w:pPr>
        <w:pStyle w:val="Normal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 техническую поддержку </w:t>
      </w:r>
      <w:r>
        <w:rPr>
          <w:rFonts w:cs="Times New Roman" w:ascii="Times New Roman" w:hAnsi="Times New Roman"/>
          <w:kern w:val="2"/>
          <w:sz w:val="24"/>
          <w:szCs w:val="24"/>
          <w:lang w:eastAsia="zh-CN"/>
        </w:rPr>
        <w:t xml:space="preserve">автоматических телефонных станций и </w:t>
      </w:r>
      <w:r>
        <w:rPr>
          <w:rFonts w:ascii="Times New Roman" w:hAnsi="Times New Roman"/>
          <w:sz w:val="24"/>
          <w:szCs w:val="24"/>
        </w:rPr>
        <w:t>медиашлюзов согласно Приложениям А, В, Г и Д (ремонт указанных изделий осуществляется по отдельным договорам и не является предметом настоящего Технического задания);</w:t>
      </w:r>
    </w:p>
    <w:p>
      <w:pPr>
        <w:pStyle w:val="Normal"/>
        <w:spacing w:before="0" w:after="24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 решение обращений в соответствии с параметрами услуги, приведёнными в Техническом задании.</w:t>
      </w:r>
    </w:p>
    <w:p>
      <w:pPr>
        <w:pStyle w:val="Normal"/>
        <w:ind w:firstLine="709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Услуга должна обеспечивать выполнение следующих требований:</w:t>
      </w:r>
    </w:p>
    <w:p>
      <w:pPr>
        <w:pStyle w:val="Normal"/>
        <w:ind w:firstLine="709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cs="Times New Roman" w:ascii="Times New Roman" w:hAnsi="Times New Roman"/>
          <w:sz w:val="24"/>
          <w:szCs w:val="24"/>
          <w:lang w:eastAsia="zh-CN"/>
        </w:rPr>
        <w:t>- проведение полной проверки резервирования Системы-112 не менее одного раза в год согласно Приложениям А, Б, В, Г и Д, а также по заявкам Заказчика (заявка от Заказчика должна поступить Исполнителю не менее чем за неделю до проверки);</w:t>
      </w:r>
    </w:p>
    <w:p>
      <w:pPr>
        <w:pStyle w:val="Normal"/>
        <w:ind w:firstLine="709"/>
        <w:rPr>
          <w:rFonts w:ascii="Times New Roman" w:hAnsi="Times New Roman" w:eastAsia="Calibri" w:cs="Times New Roman"/>
          <w:color w:val="000000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</w:rPr>
        <w:t xml:space="preserve">- предоставление </w:t>
      </w:r>
      <w:r>
        <w:rPr>
          <w:rFonts w:eastAsia="Calibri" w:cs="Times New Roman" w:ascii="Times New Roman" w:hAnsi="Times New Roman"/>
          <w:sz w:val="24"/>
          <w:szCs w:val="24"/>
        </w:rPr>
        <w:t xml:space="preserve">пользовательского интерфейса СПО-112 в виде одного приложения для доступа к функциям Системы-112 и возможностью взаимодействия с </w:t>
      </w:r>
      <w:r>
        <w:rPr>
          <w:rFonts w:eastAsia="MS Mincho" w:cs="Times New Roman" w:ascii="Times New Roman" w:hAnsi="Times New Roman"/>
          <w:color w:themeColor="text1" w:val="000000"/>
          <w:sz w:val="24"/>
          <w:szCs w:val="24"/>
        </w:rPr>
        <w:t>подсистемами Системы-112</w:t>
      </w:r>
      <w:r>
        <w:rPr>
          <w:rFonts w:eastAsia="Calibri" w:cs="Times New Roman" w:ascii="Times New Roman" w:hAnsi="Times New Roman"/>
          <w:sz w:val="24"/>
          <w:szCs w:val="24"/>
        </w:rPr>
        <w:t>;</w:t>
      </w:r>
    </w:p>
    <w:p>
      <w:pPr>
        <w:pStyle w:val="Normal"/>
        <w:ind w:firstLine="709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</w:rPr>
        <w:t>- проведение настроек</w:t>
      </w:r>
      <w:r>
        <w:rPr>
          <w:rFonts w:eastAsia="Calibri" w:cs="Times New Roman" w:ascii="Times New Roman" w:hAnsi="Times New Roman"/>
          <w:sz w:val="24"/>
          <w:szCs w:val="24"/>
        </w:rPr>
        <w:t xml:space="preserve"> оборудования объектов автоматизации и интеграции Системы-112 (серверный (ЦОВ/РЦОВ) и пользовательский (АРМ и </w:t>
      </w:r>
      <w:r>
        <w:rPr>
          <w:rFonts w:eastAsia="Calibri" w:cs="Times New Roman" w:ascii="Times New Roman" w:hAnsi="Times New Roman"/>
          <w:sz w:val="24"/>
          <w:szCs w:val="24"/>
          <w:lang w:val="en-US"/>
        </w:rPr>
        <w:t>IP</w:t>
      </w:r>
      <w:r>
        <w:rPr>
          <w:rFonts w:eastAsia="Calibri" w:cs="Times New Roman" w:ascii="Times New Roman" w:hAnsi="Times New Roman"/>
          <w:sz w:val="24"/>
          <w:szCs w:val="24"/>
        </w:rPr>
        <w:t>-телефония) сегмент), необходимого для обеспечения бесперебойной работы СПО-112, е</w:t>
      </w:r>
      <w:r>
        <w:rPr>
          <w:rFonts w:cs="Times New Roman" w:ascii="Times New Roman" w:hAnsi="Times New Roman"/>
          <w:sz w:val="24"/>
          <w:szCs w:val="28"/>
          <w:lang w:eastAsia="zh-CN"/>
        </w:rPr>
        <w:t xml:space="preserve">сли в процессе не требуются разработка и программирование новых модулей, а также </w:t>
      </w:r>
      <w:r>
        <w:rPr>
          <w:rFonts w:eastAsia="Calibri" w:cs="Times New Roman" w:ascii="Times New Roman" w:hAnsi="Times New Roman"/>
          <w:sz w:val="24"/>
          <w:szCs w:val="24"/>
        </w:rPr>
        <w:t>повторного проектирования;</w:t>
      </w:r>
    </w:p>
    <w:p>
      <w:pPr>
        <w:pStyle w:val="Normal"/>
        <w:ind w:firstLine="709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cs="Times New Roman" w:ascii="Times New Roman" w:hAnsi="Times New Roman"/>
          <w:sz w:val="24"/>
          <w:szCs w:val="24"/>
          <w:lang w:eastAsia="zh-CN"/>
        </w:rPr>
        <w:t xml:space="preserve">- сопровождение (консультирование) Заказчика по внесению изменений (актуализации) в Технический и Системный проекты Системы-112 (в том числе Технических заданий на проектирование ТП и СП) </w:t>
      </w:r>
      <w:r>
        <w:rPr>
          <w:rFonts w:cs="Times New Roman" w:ascii="Times New Roman" w:hAnsi="Times New Roman"/>
          <w:sz w:val="24"/>
          <w:szCs w:val="24"/>
        </w:rPr>
        <w:t xml:space="preserve">при получении заявки от Заказчика </w:t>
      </w:r>
      <w:r>
        <w:rPr>
          <w:rFonts w:cs="Times New Roman" w:ascii="Times New Roman" w:hAnsi="Times New Roman"/>
          <w:sz w:val="24"/>
          <w:szCs w:val="24"/>
          <w:lang w:eastAsia="zh-CN"/>
        </w:rPr>
        <w:t>(зависит от изменения количества объектов автоматизации и интеграций Системы-112, в том числе изменение адресной базы и/или перечня используемого оборудования).</w:t>
      </w:r>
    </w:p>
    <w:p>
      <w:pPr>
        <w:pStyle w:val="Normal"/>
        <w:ind w:firstLine="709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cs="Times New Roman" w:ascii="Times New Roman" w:hAnsi="Times New Roman"/>
          <w:sz w:val="24"/>
          <w:szCs w:val="24"/>
          <w:lang w:eastAsia="zh-CN"/>
        </w:rPr>
      </w:r>
    </w:p>
    <w:p>
      <w:pPr>
        <w:pStyle w:val="Normal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9.1 </w:t>
      </w:r>
      <w:r>
        <w:rPr>
          <w:rFonts w:cs="Times New Roman" w:ascii="Times New Roman" w:hAnsi="Times New Roman"/>
          <w:b/>
          <w:sz w:val="24"/>
          <w:szCs w:val="24"/>
          <w:lang w:eastAsia="zh-CN"/>
        </w:rPr>
        <w:t>Требования к приему обращений (заявок) в службу технической поддержки</w:t>
      </w:r>
    </w:p>
    <w:p>
      <w:pPr>
        <w:pStyle w:val="Normal"/>
        <w:suppressAutoHyphens w:val="true"/>
        <w:ind w:firstLine="708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cs="Times New Roman" w:ascii="Times New Roman" w:hAnsi="Times New Roman"/>
          <w:sz w:val="24"/>
          <w:szCs w:val="24"/>
          <w:lang w:eastAsia="zh-CN"/>
        </w:rPr>
        <w:t xml:space="preserve">Под приемом обращений (заявок) в службу технической поддержки подразумевается возможность создания и регистрации обращений (заявок), поступающих от сотрудников Заказчика, работающих в СПО-112. </w:t>
      </w:r>
    </w:p>
    <w:p>
      <w:pPr>
        <w:pStyle w:val="Normal"/>
        <w:suppressAutoHyphens w:val="true"/>
        <w:ind w:firstLine="708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cs="Times New Roman" w:ascii="Times New Roman" w:hAnsi="Times New Roman"/>
          <w:sz w:val="24"/>
          <w:szCs w:val="24"/>
          <w:lang w:eastAsia="zh-CN"/>
        </w:rPr>
        <w:t>В рамках данной услуги Исполнитель организует круглосуточный прием обращений от сотрудников, работающих в Системе-112 по следующим каналам:</w:t>
      </w:r>
    </w:p>
    <w:p>
      <w:pPr>
        <w:pStyle w:val="Normal"/>
        <w:suppressAutoHyphens w:val="true"/>
        <w:ind w:firstLine="708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cs="Times New Roman" w:ascii="Times New Roman" w:hAnsi="Times New Roman"/>
          <w:sz w:val="24"/>
          <w:szCs w:val="24"/>
          <w:lang w:eastAsia="zh-CN"/>
        </w:rPr>
        <w:t>- с использованием средств мобильной и фиксированной телефонной связи;</w:t>
      </w:r>
    </w:p>
    <w:p>
      <w:pPr>
        <w:pStyle w:val="Normal"/>
        <w:suppressAutoHyphens w:val="true"/>
        <w:ind w:firstLine="708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cs="Times New Roman" w:ascii="Times New Roman" w:hAnsi="Times New Roman"/>
          <w:sz w:val="24"/>
          <w:szCs w:val="24"/>
          <w:lang w:eastAsia="zh-CN"/>
        </w:rPr>
        <w:t>- посредством запроса на адрес электронной почты службы технической поддержки;</w:t>
      </w:r>
    </w:p>
    <w:p>
      <w:pPr>
        <w:pStyle w:val="Normal"/>
        <w:suppressAutoHyphens w:val="true"/>
        <w:ind w:firstLine="708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cs="Times New Roman" w:ascii="Times New Roman" w:hAnsi="Times New Roman"/>
          <w:sz w:val="24"/>
          <w:szCs w:val="24"/>
          <w:lang w:eastAsia="zh-CN"/>
        </w:rPr>
        <w:t>- путем создания обращений на сайте/странице службы технической поддержки (</w:t>
      </w:r>
      <w:r>
        <w:rPr>
          <w:rFonts w:eastAsia="Calibri" w:cs="Times New Roman" w:ascii="Times New Roman" w:hAnsi="Times New Roman"/>
          <w:sz w:val="24"/>
          <w:szCs w:val="24"/>
          <w:lang w:val="en-US"/>
        </w:rPr>
        <w:t>CRM</w:t>
      </w:r>
      <w:r>
        <w:rPr>
          <w:rFonts w:cs="Times New Roman" w:ascii="Times New Roman" w:hAnsi="Times New Roman"/>
          <w:sz w:val="24"/>
          <w:szCs w:val="24"/>
          <w:lang w:eastAsia="zh-CN"/>
        </w:rPr>
        <w:t>) и их регистрацию в системе технической поддержки, предоставляемой Исполнителем.</w:t>
      </w:r>
    </w:p>
    <w:p>
      <w:pPr>
        <w:pStyle w:val="Normal"/>
        <w:suppressAutoHyphens w:val="true"/>
        <w:ind w:firstLine="708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cs="Times New Roman" w:ascii="Times New Roman" w:hAnsi="Times New Roman"/>
          <w:sz w:val="24"/>
          <w:szCs w:val="24"/>
          <w:lang w:eastAsia="zh-CN"/>
        </w:rPr>
      </w:r>
    </w:p>
    <w:p>
      <w:pPr>
        <w:pStyle w:val="Normal"/>
        <w:spacing w:before="0" w:after="240"/>
        <w:ind w:start="709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 xml:space="preserve">Контактные данные (заполняются после заключения </w:t>
      </w:r>
      <w:r>
        <w:rPr>
          <w:rFonts w:eastAsia="Calibri" w:cs="Times New Roman" w:ascii="Times New Roman" w:hAnsi="Times New Roman"/>
          <w:sz w:val="24"/>
          <w:szCs w:val="24"/>
          <w:lang w:eastAsia="zh-CN"/>
        </w:rPr>
        <w:t>договор</w:t>
      </w:r>
      <w:r>
        <w:rPr>
          <w:rFonts w:eastAsia="Calibri" w:cs="Times New Roman" w:ascii="Times New Roman" w:hAnsi="Times New Roman"/>
          <w:sz w:val="24"/>
          <w:szCs w:val="24"/>
        </w:rPr>
        <w:t>а):</w:t>
      </w:r>
    </w:p>
    <w:tbl>
      <w:tblPr>
        <w:tblW w:w="9385" w:type="dxa"/>
        <w:jc w:val="start"/>
        <w:tblInd w:w="109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565"/>
        <w:gridCol w:w="2441"/>
        <w:gridCol w:w="3542"/>
        <w:gridCol w:w="2837"/>
      </w:tblGrid>
      <w:tr>
        <w:trPr/>
        <w:tc>
          <w:tcPr>
            <w:tcW w:w="56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244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sz w:val="24"/>
                <w:szCs w:val="24"/>
              </w:rPr>
              <w:t>Способ обращения</w:t>
            </w:r>
          </w:p>
        </w:tc>
        <w:tc>
          <w:tcPr>
            <w:tcW w:w="354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sz w:val="24"/>
                <w:szCs w:val="24"/>
              </w:rPr>
              <w:t>Заказчик</w:t>
            </w:r>
          </w:p>
        </w:tc>
        <w:tc>
          <w:tcPr>
            <w:tcW w:w="283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sz w:val="24"/>
                <w:szCs w:val="24"/>
              </w:rPr>
              <w:t>Исполнитель</w:t>
            </w:r>
          </w:p>
        </w:tc>
      </w:tr>
      <w:tr>
        <w:trPr>
          <w:trHeight w:val="298" w:hRule="atLeast"/>
        </w:trPr>
        <w:tc>
          <w:tcPr>
            <w:tcW w:w="56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44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Электронная почта</w:t>
            </w:r>
          </w:p>
        </w:tc>
        <w:tc>
          <w:tcPr>
            <w:tcW w:w="354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56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44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Телефон</w:t>
            </w:r>
          </w:p>
        </w:tc>
        <w:tc>
          <w:tcPr>
            <w:tcW w:w="354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eastAsia="Calibri" w:cs="Times New Roman"/>
                <w:sz w:val="24"/>
                <w:szCs w:val="24"/>
                <w:lang w:val="en-US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val="en-US"/>
              </w:rPr>
            </w:r>
          </w:p>
        </w:tc>
        <w:tc>
          <w:tcPr>
            <w:tcW w:w="283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56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44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Система регистрации обращений</w:t>
            </w:r>
          </w:p>
        </w:tc>
        <w:tc>
          <w:tcPr>
            <w:tcW w:w="354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</w:tr>
    </w:tbl>
    <w:p>
      <w:pPr>
        <w:pStyle w:val="Normal"/>
        <w:suppressAutoHyphens w:val="true"/>
        <w:ind w:firstLine="708"/>
        <w:rPr>
          <w:rFonts w:ascii="Times New Roman" w:hAnsi="Times New Roman" w:cs="Times New Roman"/>
          <w:b/>
          <w:sz w:val="24"/>
          <w:szCs w:val="24"/>
          <w:lang w:eastAsia="zh-CN"/>
        </w:rPr>
      </w:pPr>
      <w:r>
        <w:rPr>
          <w:rFonts w:cs="Times New Roman" w:ascii="Times New Roman" w:hAnsi="Times New Roman"/>
          <w:b/>
          <w:sz w:val="24"/>
          <w:szCs w:val="24"/>
          <w:lang w:eastAsia="zh-CN"/>
        </w:rPr>
      </w:r>
    </w:p>
    <w:p>
      <w:pPr>
        <w:pStyle w:val="Normal"/>
        <w:ind w:firstLine="708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cs="Times New Roman" w:ascii="Times New Roman" w:hAnsi="Times New Roman"/>
          <w:sz w:val="24"/>
          <w:szCs w:val="24"/>
          <w:lang w:eastAsia="zh-CN"/>
        </w:rPr>
        <w:t xml:space="preserve">Доступ к </w:t>
      </w:r>
      <w:r>
        <w:rPr>
          <w:rFonts w:cs="Times New Roman" w:ascii="Times New Roman" w:hAnsi="Times New Roman"/>
          <w:sz w:val="24"/>
          <w:szCs w:val="24"/>
          <w:lang w:val="en-US" w:eastAsia="zh-CN"/>
        </w:rPr>
        <w:t>CRM</w:t>
      </w:r>
      <w:r>
        <w:rPr>
          <w:rFonts w:cs="Times New Roman" w:ascii="Times New Roman" w:hAnsi="Times New Roman"/>
          <w:sz w:val="24"/>
          <w:szCs w:val="24"/>
          <w:lang w:eastAsia="zh-CN"/>
        </w:rPr>
        <w:t xml:space="preserve">-системе должен быть предоставлен Исполнителем в течение 1 (одного) рабочего дня с момента подписания Договора и поддерживаться Исполнителем в течение всего срока действия оказания услуг. </w:t>
      </w:r>
    </w:p>
    <w:p>
      <w:pPr>
        <w:pStyle w:val="Normal"/>
        <w:ind w:firstLine="708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cs="Times New Roman" w:ascii="Times New Roman" w:hAnsi="Times New Roman"/>
          <w:sz w:val="24"/>
          <w:szCs w:val="24"/>
          <w:lang w:val="en-US" w:eastAsia="zh-CN"/>
        </w:rPr>
        <w:t>CRM</w:t>
      </w:r>
      <w:r>
        <w:rPr>
          <w:rFonts w:cs="Times New Roman" w:ascii="Times New Roman" w:hAnsi="Times New Roman"/>
          <w:sz w:val="24"/>
          <w:szCs w:val="24"/>
          <w:lang w:eastAsia="zh-CN"/>
        </w:rPr>
        <w:t>-система должна обеспечивать следующий функционал:</w:t>
      </w:r>
    </w:p>
    <w:p>
      <w:pPr>
        <w:pStyle w:val="Normal"/>
        <w:ind w:firstLine="708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cs="Times New Roman" w:ascii="Times New Roman" w:hAnsi="Times New Roman"/>
          <w:sz w:val="24"/>
          <w:szCs w:val="24"/>
          <w:lang w:eastAsia="zh-CN"/>
        </w:rPr>
        <w:t>- аутентификация пользователей Заказчика, реализованная путём ввода логина и пароля;</w:t>
      </w:r>
    </w:p>
    <w:p>
      <w:pPr>
        <w:pStyle w:val="Normal"/>
        <w:ind w:firstLine="708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cs="Times New Roman" w:ascii="Times New Roman" w:hAnsi="Times New Roman"/>
          <w:sz w:val="24"/>
          <w:szCs w:val="24"/>
          <w:lang w:eastAsia="zh-CN"/>
        </w:rPr>
        <w:t>- возможность выставления Заказчиком критичности обращения в соответствии с п. 9.2 настоящего ООЗ;</w:t>
      </w:r>
    </w:p>
    <w:p>
      <w:pPr>
        <w:pStyle w:val="Normal"/>
        <w:ind w:firstLine="708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cs="Times New Roman" w:ascii="Times New Roman" w:hAnsi="Times New Roman"/>
          <w:sz w:val="24"/>
          <w:szCs w:val="24"/>
          <w:lang w:eastAsia="zh-CN"/>
        </w:rPr>
        <w:t>- возможность указания в созданном обращении почтовых адресов Заказчика для поступления на них уведомлений о смене статуса и критичности обращения, а также при появлении новых комментариев;</w:t>
      </w:r>
    </w:p>
    <w:p>
      <w:pPr>
        <w:pStyle w:val="Normal"/>
        <w:ind w:firstLine="708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cs="Times New Roman" w:ascii="Times New Roman" w:hAnsi="Times New Roman"/>
          <w:sz w:val="24"/>
          <w:szCs w:val="24"/>
          <w:lang w:eastAsia="zh-CN"/>
        </w:rPr>
        <w:t xml:space="preserve">- поступление уведомления о смене статуса обращения и новых комментариев к нему </w:t>
        <w:br/>
        <w:t>на указанный Заказчиком адрес электронной почты;</w:t>
      </w:r>
    </w:p>
    <w:p>
      <w:pPr>
        <w:pStyle w:val="Normal"/>
        <w:ind w:firstLine="708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cs="Times New Roman" w:ascii="Times New Roman" w:hAnsi="Times New Roman"/>
          <w:sz w:val="24"/>
          <w:szCs w:val="24"/>
          <w:lang w:eastAsia="zh-CN"/>
        </w:rPr>
        <w:t>- возможность ответа на комментарии в созданном обращении напрямую из письма-уведомления на электронной почте;</w:t>
      </w:r>
    </w:p>
    <w:p>
      <w:pPr>
        <w:pStyle w:val="Normal"/>
        <w:ind w:firstLine="708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cs="Times New Roman" w:ascii="Times New Roman" w:hAnsi="Times New Roman"/>
          <w:sz w:val="24"/>
          <w:szCs w:val="24"/>
          <w:lang w:eastAsia="zh-CN"/>
        </w:rPr>
        <w:t>- каждому обращению должен присваиваться уникальный номер;</w:t>
      </w:r>
    </w:p>
    <w:p>
      <w:pPr>
        <w:pStyle w:val="Normal"/>
        <w:ind w:firstLine="708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cs="Times New Roman" w:ascii="Times New Roman" w:hAnsi="Times New Roman"/>
          <w:sz w:val="24"/>
          <w:szCs w:val="24"/>
          <w:lang w:eastAsia="zh-CN"/>
        </w:rPr>
        <w:t>- при организации доступа к электронной системе учета обращений через сеть Интернет должен использоваться протокол HTTPs;</w:t>
      </w:r>
    </w:p>
    <w:p>
      <w:pPr>
        <w:pStyle w:val="Normal"/>
        <w:ind w:firstLine="708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cs="Times New Roman" w:ascii="Times New Roman" w:hAnsi="Times New Roman"/>
          <w:sz w:val="24"/>
          <w:szCs w:val="24"/>
          <w:lang w:eastAsia="zh-CN"/>
        </w:rPr>
        <w:t>- корректная работа через мобильный браузер.</w:t>
      </w:r>
    </w:p>
    <w:p>
      <w:pPr>
        <w:pStyle w:val="Normal"/>
        <w:suppressAutoHyphens w:val="true"/>
        <w:ind w:firstLine="708"/>
        <w:rPr>
          <w:rFonts w:ascii="Times New Roman" w:hAnsi="Times New Roman" w:cs="Times New Roman"/>
          <w:b/>
          <w:sz w:val="24"/>
          <w:szCs w:val="24"/>
          <w:lang w:eastAsia="zh-CN"/>
        </w:rPr>
      </w:pPr>
      <w:r>
        <w:rPr>
          <w:rFonts w:cs="Times New Roman" w:ascii="Times New Roman" w:hAnsi="Times New Roman"/>
          <w:b/>
          <w:sz w:val="24"/>
          <w:szCs w:val="24"/>
          <w:lang w:eastAsia="zh-CN"/>
        </w:rPr>
      </w:r>
    </w:p>
    <w:p>
      <w:pPr>
        <w:pStyle w:val="Normal"/>
        <w:suppressAutoHyphens w:val="true"/>
        <w:ind w:firstLine="708"/>
        <w:rPr>
          <w:rFonts w:ascii="Times New Roman" w:hAnsi="Times New Roman" w:cs="Times New Roman"/>
          <w:b/>
          <w:sz w:val="24"/>
          <w:szCs w:val="24"/>
          <w:lang w:eastAsia="zh-CN"/>
        </w:rPr>
      </w:pPr>
      <w:r>
        <w:rPr>
          <w:rFonts w:cs="Times New Roman" w:ascii="Times New Roman" w:hAnsi="Times New Roman"/>
          <w:b/>
          <w:sz w:val="24"/>
          <w:szCs w:val="24"/>
          <w:lang w:eastAsia="zh-CN"/>
        </w:rPr>
        <w:t>9.2. Обработка обращений (заявок)</w:t>
      </w:r>
    </w:p>
    <w:p>
      <w:pPr>
        <w:pStyle w:val="Normal"/>
        <w:ind w:firstLine="708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cs="Times New Roman" w:ascii="Times New Roman" w:hAnsi="Times New Roman"/>
          <w:sz w:val="24"/>
          <w:szCs w:val="24"/>
          <w:lang w:eastAsia="zh-CN"/>
        </w:rPr>
        <w:t xml:space="preserve">Под обработкой обращений (заявок) подразумевается комплекс действий, направленный на обеспечение отработки обращений в установленные сроки, а также на информирование Заказчика о ходе выполнения работ в рамках обращения. </w:t>
      </w:r>
    </w:p>
    <w:p>
      <w:pPr>
        <w:pStyle w:val="Normal"/>
        <w:ind w:firstLine="708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cs="Times New Roman" w:ascii="Times New Roman" w:hAnsi="Times New Roman"/>
          <w:sz w:val="24"/>
          <w:szCs w:val="24"/>
          <w:lang w:eastAsia="zh-CN"/>
        </w:rPr>
        <w:t xml:space="preserve">В рамках данной услуги Исполнитель через систему технической поддержки: </w:t>
      </w:r>
    </w:p>
    <w:p>
      <w:pPr>
        <w:pStyle w:val="Normal"/>
        <w:ind w:firstLine="708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cs="Times New Roman" w:ascii="Times New Roman" w:hAnsi="Times New Roman"/>
          <w:sz w:val="24"/>
          <w:szCs w:val="24"/>
          <w:lang w:eastAsia="zh-CN"/>
        </w:rPr>
        <w:t>- извещает Заказчика о том, что его заявка зарегистрирована и принята в работу;</w:t>
      </w:r>
    </w:p>
    <w:p>
      <w:pPr>
        <w:pStyle w:val="Normal"/>
        <w:ind w:firstLine="708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cs="Times New Roman" w:ascii="Times New Roman" w:hAnsi="Times New Roman"/>
          <w:sz w:val="24"/>
          <w:szCs w:val="24"/>
          <w:lang w:eastAsia="zh-CN"/>
        </w:rPr>
        <w:t>- задает уточняющие вопросы Заказчику для выяснения сложившейся ситуации;</w:t>
      </w:r>
    </w:p>
    <w:p>
      <w:pPr>
        <w:pStyle w:val="Normal"/>
        <w:ind w:firstLine="708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cs="Times New Roman" w:ascii="Times New Roman" w:hAnsi="Times New Roman"/>
          <w:sz w:val="24"/>
          <w:szCs w:val="24"/>
          <w:lang w:eastAsia="zh-CN"/>
        </w:rPr>
        <w:t>- информирует Заказчика о ходе работ по выполнению обращения;</w:t>
      </w:r>
    </w:p>
    <w:p>
      <w:pPr>
        <w:pStyle w:val="Normal"/>
        <w:ind w:firstLine="708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cs="Times New Roman" w:ascii="Times New Roman" w:hAnsi="Times New Roman"/>
          <w:sz w:val="24"/>
          <w:szCs w:val="24"/>
          <w:lang w:eastAsia="zh-CN"/>
        </w:rPr>
        <w:t>- извещает Заказчика о завершении работ по обращению.</w:t>
      </w:r>
    </w:p>
    <w:p>
      <w:pPr>
        <w:pStyle w:val="Normal"/>
        <w:spacing w:before="0" w:after="240"/>
        <w:ind w:firstLine="708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cs="Times New Roman" w:ascii="Times New Roman" w:hAnsi="Times New Roman"/>
          <w:sz w:val="24"/>
          <w:szCs w:val="24"/>
          <w:lang w:eastAsia="zh-CN"/>
        </w:rPr>
        <w:t>Исполнитель должен обеспечить прием обращений от Заказчика и их регистрацию в систему регистрации обращений:</w:t>
      </w:r>
    </w:p>
    <w:tbl>
      <w:tblPr>
        <w:tblW w:w="9385" w:type="dxa"/>
        <w:jc w:val="start"/>
        <w:tblInd w:w="109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2439"/>
        <w:gridCol w:w="6946"/>
      </w:tblGrid>
      <w:tr>
        <w:trPr>
          <w:trHeight w:val="2542" w:hRule="atLeast"/>
        </w:trPr>
        <w:tc>
          <w:tcPr>
            <w:tcW w:w="243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cs="Times New Roman"/>
                <w:b/>
              </w:rPr>
            </w:pPr>
            <w:r>
              <w:rPr>
                <w:rFonts w:cs="Times New Roman" w:ascii="Times New Roman" w:hAnsi="Times New Roman"/>
                <w:b/>
              </w:rPr>
              <w:t>Критичный</w:t>
            </w:r>
          </w:p>
        </w:tc>
        <w:tc>
          <w:tcPr>
            <w:tcW w:w="694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Пропадание связи с серверным оборудованием вследствие:</w:t>
            </w:r>
          </w:p>
          <w:p>
            <w:pPr>
              <w:pStyle w:val="Normal"/>
              <w:ind w:start="708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- повреждения данных;</w:t>
            </w:r>
          </w:p>
          <w:p>
            <w:pPr>
              <w:pStyle w:val="BlockText"/>
              <w:tabs>
                <w:tab w:val="clear" w:pos="708"/>
                <w:tab w:val="left" w:pos="720" w:leader="none"/>
              </w:tabs>
              <w:spacing w:lineRule="auto" w:line="240"/>
              <w:ind w:hanging="0" w:start="708" w:end="0"/>
              <w:jc w:val="both"/>
              <w:rPr>
                <w:szCs w:val="22"/>
              </w:rPr>
            </w:pPr>
            <w:r>
              <w:rPr>
                <w:szCs w:val="22"/>
              </w:rPr>
              <w:t>- повреждения оборудования;</w:t>
            </w:r>
          </w:p>
          <w:p>
            <w:pPr>
              <w:pStyle w:val="BlockText"/>
              <w:spacing w:lineRule="auto" w:line="240"/>
              <w:ind w:hanging="0" w:start="708" w:end="0"/>
              <w:jc w:val="both"/>
              <w:rPr>
                <w:szCs w:val="22"/>
              </w:rPr>
            </w:pPr>
            <w:r>
              <w:rPr>
                <w:szCs w:val="22"/>
              </w:rPr>
              <w:t>- неправильных действий оператора.</w:t>
            </w:r>
          </w:p>
          <w:p>
            <w:pPr>
              <w:pStyle w:val="BlockText"/>
              <w:numPr>
                <w:ilvl w:val="0"/>
                <w:numId w:val="2"/>
              </w:numPr>
              <w:spacing w:lineRule="auto" w:line="240"/>
              <w:ind w:hanging="360" w:start="360" w:end="0"/>
              <w:jc w:val="both"/>
              <w:rPr>
                <w:szCs w:val="22"/>
              </w:rPr>
            </w:pPr>
            <w:r>
              <w:rPr>
                <w:szCs w:val="22"/>
              </w:rPr>
              <w:t>Не проходит вызов на «112» и невозможно соединение с оператором.</w:t>
            </w:r>
          </w:p>
          <w:p>
            <w:pPr>
              <w:pStyle w:val="BlockText"/>
              <w:numPr>
                <w:ilvl w:val="0"/>
                <w:numId w:val="2"/>
              </w:numPr>
              <w:spacing w:lineRule="auto" w:line="240"/>
              <w:ind w:hanging="360" w:start="360" w:end="0"/>
              <w:jc w:val="both"/>
              <w:rPr>
                <w:szCs w:val="22"/>
              </w:rPr>
            </w:pPr>
            <w:r>
              <w:rPr>
                <w:szCs w:val="22"/>
              </w:rPr>
              <w:t>Не работают 2 и более АРМов ЦОВ/ЕДДС и/или 1 и более АРМов ДДС/ЕДДС для приема звонка (не запускается ПО, нет связи с сервером в ЦОВ/ЕДДС/ДДС) при отсутствии возможности передать вызов альтернативным путем.</w:t>
            </w:r>
          </w:p>
        </w:tc>
      </w:tr>
      <w:tr>
        <w:trPr>
          <w:trHeight w:val="1407" w:hRule="atLeast"/>
        </w:trPr>
        <w:tc>
          <w:tcPr>
            <w:tcW w:w="243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</w:rPr>
              <w:t>Высокий</w:t>
            </w:r>
            <w:r>
              <w:rPr>
                <w:rFonts w:cs="Times New Roman" w:ascii="Times New Roman" w:hAnsi="Times New Roman"/>
                <w:lang w:val="en-US"/>
              </w:rPr>
              <w:br/>
            </w:r>
            <w:r>
              <w:rPr>
                <w:rFonts w:cs="Times New Roman" w:ascii="Times New Roman" w:hAnsi="Times New Roman"/>
              </w:rPr>
              <w:t>(степень приоритета 1)</w:t>
            </w:r>
          </w:p>
        </w:tc>
        <w:tc>
          <w:tcPr>
            <w:tcW w:w="694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Недоступность отдельных важных функций СПО-112, необходимых для выполнения основных функций Системы-112.</w:t>
            </w:r>
          </w:p>
          <w:p>
            <w:pPr>
              <w:pStyle w:val="Normal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Не работает АРМ ЦОВ/ЕДДС/ДДС (не запускается ПО, нет связи с сервером).</w:t>
            </w:r>
          </w:p>
          <w:p>
            <w:pPr>
              <w:pStyle w:val="Normal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Проблемы, связанные с частичной потерей трафика,  поступающего на номер «112».</w:t>
            </w:r>
          </w:p>
        </w:tc>
      </w:tr>
      <w:tr>
        <w:trPr>
          <w:trHeight w:val="1412" w:hRule="atLeast"/>
        </w:trPr>
        <w:tc>
          <w:tcPr>
            <w:tcW w:w="243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</w:rPr>
              <w:t>Обычный</w:t>
            </w:r>
            <w:r>
              <w:rPr>
                <w:rFonts w:cs="Times New Roman" w:ascii="Times New Roman" w:hAnsi="Times New Roman"/>
                <w:lang w:val="en-US"/>
              </w:rPr>
              <w:br/>
            </w:r>
            <w:r>
              <w:rPr>
                <w:rFonts w:cs="Times New Roman" w:ascii="Times New Roman" w:hAnsi="Times New Roman"/>
              </w:rPr>
              <w:t>(степень приоритета 2)</w:t>
            </w:r>
          </w:p>
        </w:tc>
        <w:tc>
          <w:tcPr>
            <w:tcW w:w="694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numPr>
                <w:ilvl w:val="0"/>
                <w:numId w:val="4"/>
              </w:numPr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Проблемы, связанные с некорректной работой дополнительного оборудования, не влияющего на работу Системы-112 в целом.</w:t>
            </w:r>
          </w:p>
          <w:p>
            <w:pPr>
              <w:pStyle w:val="Normal"/>
              <w:numPr>
                <w:ilvl w:val="0"/>
                <w:numId w:val="4"/>
              </w:numPr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Проблемы, связанные с некорректной работой модулей или функций СПО-112, не оказывающие влияния на выполнение основных функций Системы-112.</w:t>
            </w:r>
          </w:p>
        </w:tc>
      </w:tr>
      <w:tr>
        <w:trPr>
          <w:trHeight w:val="1121" w:hRule="atLeast"/>
        </w:trPr>
        <w:tc>
          <w:tcPr>
            <w:tcW w:w="243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</w:rPr>
              <w:t>Прочий</w:t>
            </w:r>
            <w:r>
              <w:rPr>
                <w:rFonts w:cs="Times New Roman" w:ascii="Times New Roman" w:hAnsi="Times New Roman"/>
                <w:lang w:val="en-US"/>
              </w:rPr>
              <w:br/>
            </w:r>
            <w:r>
              <w:rPr>
                <w:rFonts w:cs="Times New Roman" w:ascii="Times New Roman" w:hAnsi="Times New Roman"/>
              </w:rPr>
              <w:t>(степень приоритета 3)</w:t>
            </w:r>
          </w:p>
        </w:tc>
        <w:tc>
          <w:tcPr>
            <w:tcW w:w="694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Незначительные проблемы при выполнении администрирования и техобслуживания.</w:t>
            </w:r>
          </w:p>
          <w:p>
            <w:pPr>
              <w:pStyle w:val="Normal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Различные виды внутренних ошибок, не оказывающих влияния на работу СПО-112.</w:t>
            </w:r>
          </w:p>
        </w:tc>
      </w:tr>
    </w:tbl>
    <w:p>
      <w:pPr>
        <w:pStyle w:val="Normal"/>
        <w:suppressAutoHyphens w:val="true"/>
        <w:ind w:firstLine="708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cs="Times New Roman" w:ascii="Times New Roman" w:hAnsi="Times New Roman"/>
          <w:sz w:val="24"/>
          <w:szCs w:val="24"/>
          <w:lang w:eastAsia="zh-CN"/>
        </w:rPr>
      </w:r>
    </w:p>
    <w:p>
      <w:pPr>
        <w:pStyle w:val="Normal"/>
        <w:ind w:firstLine="709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cs="Times New Roman" w:ascii="Times New Roman" w:hAnsi="Times New Roman"/>
          <w:sz w:val="24"/>
          <w:szCs w:val="24"/>
          <w:lang w:eastAsia="zh-CN"/>
        </w:rPr>
        <w:t xml:space="preserve">Решение о присвоении типа обращений по критичности осуществляется Исполнителем в соответствии с описанием проблемы, полученным от Заказчика или самостоятельно Заказчиком, в случае фиксации обращения на сайте технической поддержки. </w:t>
      </w:r>
    </w:p>
    <w:p>
      <w:pPr>
        <w:pStyle w:val="Normal"/>
        <w:ind w:firstLine="708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cs="Times New Roman" w:ascii="Times New Roman" w:hAnsi="Times New Roman"/>
          <w:sz w:val="24"/>
          <w:szCs w:val="24"/>
          <w:lang w:eastAsia="zh-CN"/>
        </w:rPr>
        <w:t xml:space="preserve">По результатам проведения диагностики неисправности Исполнитель имеет право изменить тип обращения по критичности. </w:t>
      </w:r>
    </w:p>
    <w:p>
      <w:pPr>
        <w:pStyle w:val="Normal"/>
        <w:ind w:firstLine="708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cs="Times New Roman" w:ascii="Times New Roman" w:hAnsi="Times New Roman"/>
          <w:sz w:val="24"/>
          <w:szCs w:val="24"/>
          <w:lang w:eastAsia="zh-CN"/>
        </w:rPr>
        <w:t xml:space="preserve">Заказчик может запросить повышение приоритета обращения. </w:t>
      </w:r>
    </w:p>
    <w:p>
      <w:pPr>
        <w:pStyle w:val="Normal"/>
        <w:ind w:firstLine="709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В случае обращения с «критическим приоритетом» заявка должна дублироваться по телефону.</w:t>
      </w:r>
    </w:p>
    <w:p>
      <w:pPr>
        <w:pStyle w:val="Normal"/>
        <w:ind w:firstLine="708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cs="Times New Roman" w:ascii="Times New Roman" w:hAnsi="Times New Roman"/>
          <w:sz w:val="24"/>
          <w:szCs w:val="24"/>
          <w:lang w:eastAsia="zh-CN"/>
        </w:rPr>
        <w:t>В случае применения временного (обходного) решения проблемы, высокоприоритетный запрос может быть понижен, либо закрыт и при этом зарегистрирован новый с более низким приоритетом.</w:t>
      </w:r>
    </w:p>
    <w:p>
      <w:pPr>
        <w:pStyle w:val="Normal"/>
        <w:ind w:firstLine="708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cs="Times New Roman" w:ascii="Times New Roman" w:hAnsi="Times New Roman"/>
          <w:sz w:val="24"/>
          <w:szCs w:val="24"/>
          <w:lang w:eastAsia="zh-CN"/>
        </w:rPr>
        <w:t xml:space="preserve">В системе технической поддержки Заказчик должен иметь возможность отслеживать принятие обращения в работу, передачу обращения подразделениям Исполнителя, закрыть обращение по завершению. </w:t>
      </w:r>
    </w:p>
    <w:p>
      <w:pPr>
        <w:pStyle w:val="Normal"/>
        <w:ind w:firstLine="708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cs="Times New Roman" w:ascii="Times New Roman" w:hAnsi="Times New Roman"/>
          <w:sz w:val="24"/>
          <w:szCs w:val="24"/>
          <w:lang w:eastAsia="zh-CN"/>
        </w:rPr>
        <w:t>Дополнительно по наиболее важным этапам жизненного цикла обращения, Исполнителем выполняется информирование Заказчика.</w:t>
      </w:r>
    </w:p>
    <w:p>
      <w:pPr>
        <w:pStyle w:val="Normal"/>
        <w:ind w:firstLine="708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cs="Times New Roman" w:ascii="Times New Roman" w:hAnsi="Times New Roman"/>
          <w:sz w:val="24"/>
          <w:szCs w:val="24"/>
          <w:lang w:eastAsia="zh-CN"/>
        </w:rPr>
      </w:r>
    </w:p>
    <w:p>
      <w:pPr>
        <w:pStyle w:val="Normal"/>
        <w:spacing w:before="0" w:after="240"/>
        <w:ind w:firstLine="708"/>
        <w:rPr>
          <w:rFonts w:ascii="Times New Roman" w:hAnsi="Times New Roman" w:eastAsia="Calibri" w:cs="Times New Roman" w:eastAsiaTheme="minorHAnsi"/>
          <w:sz w:val="24"/>
          <w:szCs w:val="24"/>
          <w:lang w:eastAsia="zh-CN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zh-CN"/>
        </w:rPr>
        <w:t xml:space="preserve">9.3. Параметры предоставления услуги </w:t>
      </w:r>
    </w:p>
    <w:p>
      <w:pPr>
        <w:pStyle w:val="Style13"/>
        <w:spacing w:lineRule="auto" w:line="240" w:before="0" w:after="120"/>
        <w:ind w:firstLine="708" w:end="141"/>
        <w:jc w:val="start"/>
        <w:rPr>
          <w:sz w:val="24"/>
          <w:szCs w:val="24"/>
        </w:rPr>
      </w:pPr>
      <w:r>
        <w:rPr>
          <w:sz w:val="24"/>
          <w:szCs w:val="24"/>
        </w:rPr>
        <w:t>Таблица № 1. Общие параметры уровня технического сопровождения.</w:t>
      </w:r>
    </w:p>
    <w:tbl>
      <w:tblPr>
        <w:tblW w:w="9209" w:type="dxa"/>
        <w:jc w:val="center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4967"/>
        <w:gridCol w:w="4242"/>
      </w:tblGrid>
      <w:tr>
        <w:trPr/>
        <w:tc>
          <w:tcPr>
            <w:tcW w:w="496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hd w:val="clear" w:color="auto" w:fill="FFFFFF"/>
              <w:suppressAutoHyphens w:val="true"/>
              <w:jc w:val="center"/>
              <w:rPr>
                <w:rFonts w:ascii="Times New Roman" w:hAnsi="Times New Roman" w:eastAsia="MS Gothic" w:cs="Times New Roman"/>
                <w:b/>
                <w:bCs/>
                <w:cap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Характеристика</w:t>
            </w:r>
          </w:p>
        </w:tc>
        <w:tc>
          <w:tcPr>
            <w:tcW w:w="424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hd w:val="clear" w:color="auto" w:fill="FFFFFF"/>
              <w:suppressAutoHyphens w:val="true"/>
              <w:jc w:val="center"/>
              <w:rPr>
                <w:rFonts w:ascii="Times New Roman" w:hAnsi="Times New Roman" w:eastAsia="MS Gothic" w:cs="Times New Roman"/>
                <w:b/>
                <w:bCs/>
                <w:cap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Нормативное значение</w:t>
            </w:r>
          </w:p>
        </w:tc>
      </w:tr>
      <w:tr>
        <w:trPr/>
        <w:tc>
          <w:tcPr>
            <w:tcW w:w="496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hd w:val="clear" w:color="auto" w:fill="FFFFFF"/>
              <w:suppressAutoHyphens w:val="true"/>
              <w:jc w:val="start"/>
              <w:rPr>
                <w:rFonts w:ascii="Times New Roman" w:hAnsi="Times New Roman" w:eastAsia="MS Gothic" w:cs="Times New Roman"/>
                <w:b/>
                <w:bCs/>
                <w:cap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Доступность системы</w:t>
            </w:r>
          </w:p>
        </w:tc>
        <w:tc>
          <w:tcPr>
            <w:tcW w:w="424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hd w:val="clear" w:color="auto" w:fill="FFFFFF"/>
              <w:suppressAutoHyphens w:val="true"/>
              <w:rPr>
                <w:rFonts w:ascii="Times New Roman" w:hAnsi="Times New Roman" w:eastAsia="MS Gothic" w:cs="Times New Roman"/>
                <w:b/>
                <w:bCs/>
                <w:cap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24 часа в сутки, 7 дней в неделю</w:t>
            </w:r>
          </w:p>
        </w:tc>
      </w:tr>
      <w:tr>
        <w:trPr/>
        <w:tc>
          <w:tcPr>
            <w:tcW w:w="496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hd w:val="clear" w:color="auto" w:fill="FFFFFF"/>
              <w:suppressAutoHyphens w:val="true"/>
              <w:jc w:val="start"/>
              <w:rPr>
                <w:rFonts w:ascii="Times New Roman" w:hAnsi="Times New Roman" w:eastAsia="MS Gothic" w:cs="Times New Roman"/>
                <w:b/>
                <w:bCs/>
                <w:cap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График разрешения обращений </w:t>
              <w:br/>
              <w:t>с критичным приоритетом</w:t>
            </w:r>
          </w:p>
        </w:tc>
        <w:tc>
          <w:tcPr>
            <w:tcW w:w="424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hd w:val="clear" w:color="auto" w:fill="FFFFFF"/>
              <w:suppressAutoHyphens w:val="true"/>
              <w:rPr>
                <w:rFonts w:ascii="Times New Roman" w:hAnsi="Times New Roman" w:eastAsia="MS Gothic" w:cs="Times New Roman"/>
                <w:b/>
                <w:bCs/>
                <w:cap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Не более 1 дня</w:t>
            </w:r>
          </w:p>
        </w:tc>
      </w:tr>
      <w:tr>
        <w:trPr/>
        <w:tc>
          <w:tcPr>
            <w:tcW w:w="496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hd w:val="clear" w:color="auto" w:fill="FFFFFF"/>
              <w:suppressAutoHyphens w:val="true"/>
              <w:jc w:val="start"/>
              <w:rPr>
                <w:rFonts w:ascii="Times New Roman" w:hAnsi="Times New Roman" w:eastAsia="MS Gothic" w:cs="Times New Roman"/>
                <w:b/>
                <w:bCs/>
                <w:cap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График разрешения обращений </w:t>
              <w:br/>
              <w:t>с высоким приоритетом</w:t>
            </w:r>
          </w:p>
        </w:tc>
        <w:tc>
          <w:tcPr>
            <w:tcW w:w="424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hd w:val="clear" w:color="auto" w:fill="FFFFFF"/>
              <w:suppressAutoHyphens w:val="true"/>
              <w:rPr>
                <w:rFonts w:ascii="Times New Roman" w:hAnsi="Times New Roman" w:eastAsia="MS Gothic" w:cs="Times New Roman"/>
                <w:b/>
                <w:bCs/>
                <w:cap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Не более 72 часов</w:t>
            </w:r>
          </w:p>
        </w:tc>
      </w:tr>
      <w:tr>
        <w:trPr/>
        <w:tc>
          <w:tcPr>
            <w:tcW w:w="496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hd w:val="clear" w:color="auto" w:fill="FFFFFF"/>
              <w:suppressAutoHyphens w:val="true"/>
              <w:jc w:val="start"/>
              <w:rPr>
                <w:rFonts w:ascii="Times New Roman" w:hAnsi="Times New Roman" w:eastAsia="MS Gothic" w:cs="Times New Roman"/>
                <w:b/>
                <w:bCs/>
                <w:cap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График разрешения обращений </w:t>
              <w:br/>
              <w:t>с обычным приоритетом</w:t>
            </w:r>
          </w:p>
        </w:tc>
        <w:tc>
          <w:tcPr>
            <w:tcW w:w="424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hd w:val="clear" w:color="auto" w:fill="FFFFFF"/>
              <w:suppressAutoHyphens w:val="true"/>
              <w:rPr>
                <w:rFonts w:ascii="Times New Roman" w:hAnsi="Times New Roman" w:eastAsia="MS Gothic" w:cs="Times New Roman"/>
                <w:b/>
                <w:bCs/>
                <w:cap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Не более 60 рабочих дней</w:t>
            </w:r>
          </w:p>
        </w:tc>
      </w:tr>
      <w:tr>
        <w:trPr/>
        <w:tc>
          <w:tcPr>
            <w:tcW w:w="496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hd w:val="clear" w:color="auto" w:fill="FFFFFF"/>
              <w:suppressAutoHyphens w:val="true"/>
              <w:jc w:val="start"/>
              <w:rPr>
                <w:rFonts w:ascii="Times New Roman" w:hAnsi="Times New Roman" w:eastAsia="MS Gothic" w:cs="Times New Roman"/>
                <w:b/>
                <w:bCs/>
                <w:cap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График решения прочих обращений</w:t>
            </w:r>
          </w:p>
        </w:tc>
        <w:tc>
          <w:tcPr>
            <w:tcW w:w="424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hd w:val="clear" w:color="auto" w:fill="FFFFFF"/>
              <w:suppressAutoHyphens w:val="true"/>
              <w:rPr>
                <w:rFonts w:ascii="Times New Roman" w:hAnsi="Times New Roman" w:eastAsia="MS Gothic" w:cs="Times New Roman"/>
                <w:b/>
                <w:bCs/>
                <w:cap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По согласованию с Заказчиком, но не более 90 дней</w:t>
            </w:r>
          </w:p>
        </w:tc>
      </w:tr>
      <w:tr>
        <w:trPr/>
        <w:tc>
          <w:tcPr>
            <w:tcW w:w="496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hd w:val="clear" w:color="auto" w:fill="FFFFFF"/>
              <w:suppressAutoHyphens w:val="true"/>
              <w:jc w:val="start"/>
              <w:rPr>
                <w:rFonts w:ascii="Times New Roman" w:hAnsi="Times New Roman" w:eastAsia="MS Gothic" w:cs="Times New Roman"/>
                <w:b/>
                <w:bCs/>
                <w:cap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Минимальное время уведомления </w:t>
              <w:br/>
              <w:t>о регламентных работах</w:t>
            </w:r>
          </w:p>
        </w:tc>
        <w:tc>
          <w:tcPr>
            <w:tcW w:w="424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hd w:val="clear" w:color="auto" w:fill="FFFFFF"/>
              <w:suppressAutoHyphens w:val="true"/>
              <w:rPr>
                <w:rFonts w:ascii="Times New Roman" w:hAnsi="Times New Roman" w:eastAsia="MS Gothic" w:cs="Times New Roman"/>
                <w:b/>
                <w:bCs/>
                <w:cap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 рабочий день</w:t>
            </w:r>
          </w:p>
        </w:tc>
      </w:tr>
      <w:tr>
        <w:trPr/>
        <w:tc>
          <w:tcPr>
            <w:tcW w:w="496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hd w:val="clear" w:color="auto" w:fill="FFFFFF"/>
              <w:suppressAutoHyphens w:val="true"/>
              <w:jc w:val="start"/>
              <w:rPr>
                <w:rFonts w:ascii="Times New Roman" w:hAnsi="Times New Roman" w:eastAsia="MS Gothic" w:cs="Times New Roman"/>
                <w:b/>
                <w:bCs/>
                <w:cap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Минимальное время уведомления о неотложных аварийно-восстановительных работах</w:t>
            </w:r>
          </w:p>
        </w:tc>
        <w:tc>
          <w:tcPr>
            <w:tcW w:w="424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hd w:val="clear" w:color="auto" w:fill="FFFFFF"/>
              <w:suppressAutoHyphens w:val="true"/>
              <w:rPr>
                <w:rFonts w:ascii="Times New Roman" w:hAnsi="Times New Roman" w:eastAsia="MS Gothic" w:cs="Times New Roman"/>
                <w:b/>
                <w:bCs/>
                <w:cap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не менее 15 минут</w:t>
            </w:r>
          </w:p>
        </w:tc>
      </w:tr>
      <w:tr>
        <w:trPr/>
        <w:tc>
          <w:tcPr>
            <w:tcW w:w="496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hd w:val="clear" w:color="auto" w:fill="FFFFFF"/>
              <w:suppressAutoHyphens w:val="true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Временной режим регистрации обращений</w:t>
            </w:r>
          </w:p>
        </w:tc>
        <w:tc>
          <w:tcPr>
            <w:tcW w:w="424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hd w:val="clear" w:color="auto" w:fill="FFFFFF"/>
              <w:suppressAutoHyphens w:val="tru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24 часа в сутки, 7 дней в неделю для инцидентов с критичным и высоким приоритетом</w:t>
            </w:r>
          </w:p>
        </w:tc>
      </w:tr>
      <w:tr>
        <w:trPr>
          <w:trHeight w:val="297" w:hRule="atLeast"/>
        </w:trPr>
        <w:tc>
          <w:tcPr>
            <w:tcW w:w="496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hd w:val="clear" w:color="auto" w:fill="FFFFFF"/>
              <w:suppressAutoHyphens w:val="true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Срок ответа от Заказчика</w:t>
            </w:r>
          </w:p>
        </w:tc>
        <w:tc>
          <w:tcPr>
            <w:tcW w:w="424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hd w:val="clear" w:color="auto" w:fill="FFFFFF"/>
              <w:suppressAutoHyphens w:val="tru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Не более 5 дней</w:t>
            </w:r>
          </w:p>
        </w:tc>
      </w:tr>
    </w:tbl>
    <w:p>
      <w:pPr>
        <w:pStyle w:val="Normal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9.4. Требования к параметрам качества предоставляемых услуг</w:t>
      </w:r>
    </w:p>
    <w:p>
      <w:pPr>
        <w:pStyle w:val="Normal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tbl>
      <w:tblPr>
        <w:tblW w:w="4900" w:type="pct"/>
        <w:jc w:val="start"/>
        <w:tblInd w:w="109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6777"/>
        <w:gridCol w:w="2390"/>
      </w:tblGrid>
      <w:tr>
        <w:trPr>
          <w:cantSplit w:val="true"/>
        </w:trPr>
        <w:tc>
          <w:tcPr>
            <w:tcW w:w="6777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shd w:color="auto" w:fill="auto" w:val="clear"/>
            <w:vAlign w:val="center"/>
          </w:tcPr>
          <w:p>
            <w:pPr>
              <w:pStyle w:val="Style16"/>
              <w:jc w:val="center"/>
              <w:rPr>
                <w:rFonts w:ascii="Times New Roman" w:hAnsi="Times New Roman" w:eastAsia="Calibri"/>
                <w:b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eastAsia="Calibri" w:ascii="Times New Roman" w:hAnsi="Times New Roman"/>
                <w:b/>
                <w:color w:val="000000"/>
                <w:sz w:val="24"/>
                <w:szCs w:val="24"/>
                <w:lang w:val="ru-RU" w:eastAsia="ru-RU"/>
              </w:rPr>
              <w:t>Наименование показателя, единица измерения</w:t>
            </w:r>
          </w:p>
        </w:tc>
        <w:tc>
          <w:tcPr>
            <w:tcW w:w="2390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shd w:color="auto" w:fill="auto" w:val="clear"/>
          </w:tcPr>
          <w:p>
            <w:pPr>
              <w:pStyle w:val="Style16"/>
              <w:jc w:val="center"/>
              <w:rPr>
                <w:rFonts w:ascii="Times New Roman" w:hAnsi="Times New Roman" w:eastAsia="Calibri"/>
                <w:b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eastAsia="Calibri" w:ascii="Times New Roman" w:hAnsi="Times New Roman"/>
                <w:b/>
                <w:color w:val="000000"/>
                <w:sz w:val="24"/>
                <w:szCs w:val="24"/>
                <w:lang w:val="ru-RU" w:eastAsia="ru-RU"/>
              </w:rPr>
              <w:t>Целевое значение показателя</w:t>
              <w:br/>
            </w:r>
            <w:r>
              <w:rPr/>
              <w:drawing>
                <wp:inline distT="0" distB="0" distL="0" distR="0">
                  <wp:extent cx="200025" cy="257175"/>
                  <wp:effectExtent l="0" t="0" r="0" b="0"/>
                  <wp:docPr id="1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" cy="257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cantSplit w:val="true"/>
        </w:trPr>
        <w:tc>
          <w:tcPr>
            <w:tcW w:w="6777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shd w:color="auto" w:fill="FFFFFF" w:val="clear"/>
            <w:vAlign w:val="center"/>
          </w:tcPr>
          <w:p>
            <w:pPr>
              <w:pStyle w:val="Style16"/>
              <w:widowControl w:val="false"/>
              <w:tabs>
                <w:tab w:val="clear" w:pos="708"/>
                <w:tab w:val="center" w:pos="4153" w:leader="none"/>
                <w:tab w:val="right" w:pos="8306" w:leader="none"/>
              </w:tabs>
              <w:spacing w:lineRule="auto" w:line="276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  <w:t>Гарантируемый уровень доступности системы</w:t>
            </w:r>
          </w:p>
        </w:tc>
        <w:tc>
          <w:tcPr>
            <w:tcW w:w="2390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shd w:color="auto" w:fill="FFFFFF" w:val="clear"/>
            <w:vAlign w:val="center"/>
          </w:tcPr>
          <w:p>
            <w:pPr>
              <w:pStyle w:val="Style16"/>
              <w:widowControl w:val="false"/>
              <w:tabs>
                <w:tab w:val="clear" w:pos="708"/>
                <w:tab w:val="center" w:pos="4153" w:leader="none"/>
                <w:tab w:val="right" w:pos="8306" w:leader="none"/>
              </w:tabs>
              <w:spacing w:lineRule="auto" w:line="276"/>
              <w:jc w:val="center"/>
              <w:rPr>
                <w:rFonts w:ascii="Times New Roman" w:hAnsi="Times New Roman" w:eastAsia="Calibri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eastAsia="Calibri" w:ascii="Times New Roman" w:hAnsi="Times New Roman"/>
                <w:color w:val="000000"/>
                <w:sz w:val="24"/>
                <w:szCs w:val="24"/>
                <w:lang w:val="en-US" w:eastAsia="ru-RU"/>
              </w:rPr>
              <w:t>99,</w:t>
            </w:r>
            <w:r>
              <w:rPr>
                <w:rFonts w:eastAsia="Calibri" w:ascii="Times New Roman" w:hAnsi="Times New Roman"/>
                <w:color w:val="000000"/>
                <w:sz w:val="24"/>
                <w:szCs w:val="24"/>
                <w:lang w:val="ru-RU" w:eastAsia="ru-RU"/>
              </w:rPr>
              <w:t>99%</w:t>
            </w:r>
          </w:p>
        </w:tc>
      </w:tr>
      <w:tr>
        <w:trPr>
          <w:cantSplit w:val="true"/>
        </w:trPr>
        <w:tc>
          <w:tcPr>
            <w:tcW w:w="6777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shd w:color="auto" w:fill="FFFFFF" w:val="clear"/>
            <w:vAlign w:val="center"/>
          </w:tcPr>
          <w:p>
            <w:pPr>
              <w:pStyle w:val="Style16"/>
              <w:spacing w:lineRule="auto" w:line="276"/>
              <w:rPr>
                <w:rFonts w:ascii="Times New Roman" w:hAnsi="Times New Roman" w:eastAsia="Calibri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  <w:t>Доля (%) обращений критичного приоритета, отработанных в соответствии с уровнем оказания услуги (Таблица № 1)</w:t>
            </w:r>
          </w:p>
        </w:tc>
        <w:tc>
          <w:tcPr>
            <w:tcW w:w="2390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shd w:color="auto" w:fill="FFFFFF" w:val="clear"/>
            <w:vAlign w:val="center"/>
          </w:tcPr>
          <w:p>
            <w:pPr>
              <w:pStyle w:val="Style16"/>
              <w:spacing w:lineRule="auto" w:line="276"/>
              <w:jc w:val="center"/>
              <w:rPr>
                <w:rFonts w:ascii="Times New Roman" w:hAnsi="Times New Roman" w:eastAsia="Calibri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eastAsia="Calibri" w:ascii="Times New Roman" w:hAnsi="Times New Roman"/>
                <w:color w:val="000000"/>
                <w:sz w:val="24"/>
                <w:szCs w:val="24"/>
                <w:lang w:val="ru-RU" w:eastAsia="ru-RU"/>
              </w:rPr>
              <w:t>99%</w:t>
            </w:r>
          </w:p>
        </w:tc>
      </w:tr>
      <w:tr>
        <w:trPr>
          <w:cantSplit w:val="true"/>
        </w:trPr>
        <w:tc>
          <w:tcPr>
            <w:tcW w:w="6777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shd w:color="auto" w:fill="FFFFFF" w:val="clear"/>
            <w:vAlign w:val="center"/>
          </w:tcPr>
          <w:p>
            <w:pPr>
              <w:pStyle w:val="Style16"/>
              <w:spacing w:lineRule="auto" w:line="276"/>
              <w:rPr>
                <w:rFonts w:ascii="Times New Roman" w:hAnsi="Times New Roman" w:eastAsia="Calibri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  <w:t>Доля (%) обращений высокого приоритета, отработанных в соответствии с уровнем оказания услуги (Таблица № 1)</w:t>
            </w:r>
          </w:p>
        </w:tc>
        <w:tc>
          <w:tcPr>
            <w:tcW w:w="2390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shd w:color="auto" w:fill="FFFFFF" w:val="clear"/>
            <w:vAlign w:val="center"/>
          </w:tcPr>
          <w:p>
            <w:pPr>
              <w:pStyle w:val="Style16"/>
              <w:spacing w:lineRule="auto" w:line="276"/>
              <w:jc w:val="center"/>
              <w:rPr>
                <w:rFonts w:ascii="Times New Roman" w:hAnsi="Times New Roman" w:eastAsia="Calibri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eastAsia="Calibri" w:ascii="Times New Roman" w:hAnsi="Times New Roman"/>
                <w:color w:val="000000"/>
                <w:sz w:val="24"/>
                <w:szCs w:val="24"/>
                <w:lang w:val="ru-RU" w:eastAsia="ru-RU"/>
              </w:rPr>
              <w:t>95%</w:t>
            </w:r>
          </w:p>
        </w:tc>
      </w:tr>
      <w:tr>
        <w:trPr>
          <w:cantSplit w:val="true"/>
        </w:trPr>
        <w:tc>
          <w:tcPr>
            <w:tcW w:w="6777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shd w:color="auto" w:fill="FFFFFF" w:val="clear"/>
            <w:vAlign w:val="center"/>
          </w:tcPr>
          <w:p>
            <w:pPr>
              <w:pStyle w:val="Style16"/>
              <w:spacing w:lineRule="auto" w:line="276"/>
              <w:rPr>
                <w:rFonts w:ascii="Times New Roman" w:hAnsi="Times New Roman" w:eastAsia="Calibri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  <w:t>Доля (%) обращений обычного приоритета, отработанных в соответствии с уровнем оказания услуги (Таблица № 1)</w:t>
            </w:r>
          </w:p>
        </w:tc>
        <w:tc>
          <w:tcPr>
            <w:tcW w:w="2390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shd w:color="auto" w:fill="FFFFFF" w:val="clear"/>
            <w:vAlign w:val="center"/>
          </w:tcPr>
          <w:p>
            <w:pPr>
              <w:pStyle w:val="Style16"/>
              <w:spacing w:lineRule="auto" w:line="276"/>
              <w:jc w:val="center"/>
              <w:rPr>
                <w:rFonts w:ascii="Times New Roman" w:hAnsi="Times New Roman" w:eastAsia="Calibri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eastAsia="Calibri" w:ascii="Times New Roman" w:hAnsi="Times New Roman"/>
                <w:color w:val="000000"/>
                <w:sz w:val="24"/>
                <w:szCs w:val="24"/>
                <w:lang w:val="ru-RU" w:eastAsia="ru-RU"/>
              </w:rPr>
              <w:t>95%</w:t>
            </w:r>
          </w:p>
        </w:tc>
      </w:tr>
      <w:tr>
        <w:trPr>
          <w:cantSplit w:val="true"/>
        </w:trPr>
        <w:tc>
          <w:tcPr>
            <w:tcW w:w="6777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shd w:color="auto" w:fill="FFFFFF" w:val="clear"/>
            <w:vAlign w:val="center"/>
          </w:tcPr>
          <w:p>
            <w:pPr>
              <w:pStyle w:val="Style16"/>
              <w:spacing w:lineRule="auto" w:line="276"/>
              <w:rPr>
                <w:rFonts w:ascii="Times New Roman" w:hAnsi="Times New Roman" w:eastAsia="Calibri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  <w:t>Доля (%) Прочих обращений, отработанных в соответствии с уровнем оказания услуги (Таблица № 1)</w:t>
            </w:r>
          </w:p>
        </w:tc>
        <w:tc>
          <w:tcPr>
            <w:tcW w:w="2390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shd w:color="auto" w:fill="FFFFFF" w:val="clear"/>
            <w:vAlign w:val="center"/>
          </w:tcPr>
          <w:p>
            <w:pPr>
              <w:pStyle w:val="Style16"/>
              <w:spacing w:lineRule="auto" w:line="276"/>
              <w:jc w:val="center"/>
              <w:rPr>
                <w:rFonts w:ascii="Times New Roman" w:hAnsi="Times New Roman" w:eastAsia="Calibri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eastAsia="Calibri" w:ascii="Times New Roman" w:hAnsi="Times New Roman"/>
                <w:color w:val="000000"/>
                <w:sz w:val="24"/>
                <w:szCs w:val="24"/>
                <w:lang w:val="ru-RU" w:eastAsia="ru-RU"/>
              </w:rPr>
              <w:t>95%</w:t>
            </w:r>
          </w:p>
        </w:tc>
      </w:tr>
    </w:tbl>
    <w:p>
      <w:pPr>
        <w:pStyle w:val="Normal"/>
        <w:ind w:firstLine="425"/>
        <w:rPr>
          <w:rFonts w:ascii="Times New Roman" w:hAnsi="Times New Roman" w:eastAsia="Calibri" w:cs="Times New Roman"/>
          <w:color w:val="000000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ind w:firstLine="425"/>
        <w:rPr>
          <w:rFonts w:ascii="Times New Roman" w:hAnsi="Times New Roman" w:eastAsia="Calibri" w:cs="Times New Roman"/>
          <w:color w:val="000000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</w:rPr>
        <w:t>Гарантированный уровень доступности системы рассчитывается следующим образом:</w:t>
      </w:r>
    </w:p>
    <w:p>
      <w:pPr>
        <w:pStyle w:val="Normal"/>
        <w:tabs>
          <w:tab w:val="clear" w:pos="708"/>
          <w:tab w:val="left" w:pos="7388" w:leader="none"/>
        </w:tabs>
        <w:ind w:firstLine="425"/>
        <w:rPr>
          <w:rFonts w:ascii="Times New Roman" w:hAnsi="Times New Roman" w:eastAsia="Calibri" w:cs="Times New Roman"/>
          <w:color w:val="000000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</w:rPr>
        <w:t>Т=Т2/Т1*100%, где</w:t>
      </w:r>
    </w:p>
    <w:p>
      <w:pPr>
        <w:pStyle w:val="Normal"/>
        <w:ind w:firstLine="425"/>
        <w:rPr>
          <w:rFonts w:ascii="Times New Roman" w:hAnsi="Times New Roman" w:eastAsia="Calibri" w:cs="Times New Roman"/>
          <w:color w:val="000000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</w:rPr>
        <w:t>T – гарантированный уровень доступности:</w:t>
      </w:r>
    </w:p>
    <w:p>
      <w:pPr>
        <w:pStyle w:val="Normal"/>
        <w:ind w:firstLine="425"/>
        <w:rPr>
          <w:rFonts w:ascii="Times New Roman" w:hAnsi="Times New Roman" w:eastAsia="Calibri" w:cs="Times New Roman"/>
          <w:color w:val="000000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</w:rPr>
        <w:t>T1 – общее время в периоде в часах;</w:t>
      </w:r>
    </w:p>
    <w:p>
      <w:pPr>
        <w:pStyle w:val="Normal"/>
        <w:ind w:firstLine="425"/>
        <w:rPr>
          <w:rFonts w:ascii="Times New Roman" w:hAnsi="Times New Roman" w:eastAsia="Calibri" w:cs="Times New Roman"/>
          <w:color w:val="000000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</w:rPr>
        <w:t>Т2 – время фактической доступности Услуги в часах (время планового простоя системы на регламентное обслуживание учитывается как время доступности системы);</w:t>
      </w:r>
    </w:p>
    <w:p>
      <w:pPr>
        <w:pStyle w:val="Normal"/>
        <w:ind w:firstLine="425"/>
        <w:rPr>
          <w:rFonts w:ascii="Times New Roman" w:hAnsi="Times New Roman" w:eastAsia="Calibri" w:cs="Times New Roman"/>
          <w:color w:val="000000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</w:rPr>
        <w:t>Доля (%) обращений критичного приоритета, отработанные в соответствии с уровнем качества оказания услуги, рассчитывается следующим образом:</w:t>
      </w:r>
    </w:p>
    <w:p>
      <w:pPr>
        <w:pStyle w:val="Normal"/>
        <w:ind w:firstLine="425"/>
        <w:rPr>
          <w:rFonts w:ascii="Times New Roman" w:hAnsi="Times New Roman" w:eastAsia="Calibri" w:cs="Times New Roman"/>
          <w:color w:val="000000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</w:rPr>
        <w:t>Р = Р2/Р1*100%, где</w:t>
      </w:r>
    </w:p>
    <w:p>
      <w:pPr>
        <w:pStyle w:val="Normal"/>
        <w:ind w:firstLine="425"/>
        <w:rPr>
          <w:rFonts w:ascii="Times New Roman" w:hAnsi="Times New Roman" w:eastAsia="Calibri" w:cs="Times New Roman"/>
          <w:color w:val="000000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</w:rPr>
        <w:t>Р – доля (%) обращений критичного приоритета отработанная в соответствии с уровнем оказания услуги;</w:t>
      </w:r>
    </w:p>
    <w:p>
      <w:pPr>
        <w:pStyle w:val="Normal"/>
        <w:ind w:firstLine="425"/>
        <w:rPr>
          <w:rFonts w:ascii="Times New Roman" w:hAnsi="Times New Roman" w:eastAsia="Calibri" w:cs="Times New Roman"/>
          <w:color w:val="000000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</w:rPr>
        <w:t>Р1 – количество обращений критичного приоритета, зарегистрированных в отчетном периоде;</w:t>
      </w:r>
    </w:p>
    <w:p>
      <w:pPr>
        <w:pStyle w:val="Normal"/>
        <w:ind w:firstLine="425"/>
        <w:rPr>
          <w:rFonts w:ascii="Times New Roman" w:hAnsi="Times New Roman" w:eastAsia="Calibri" w:cs="Times New Roman"/>
          <w:color w:val="000000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</w:rPr>
        <w:t>Р2 – количество обращений критичного приоритета, отработанных в соответствии с требованиями, указанными в Таблице № 1;</w:t>
      </w:r>
    </w:p>
    <w:p>
      <w:pPr>
        <w:pStyle w:val="Normal"/>
        <w:ind w:firstLine="425"/>
        <w:rPr>
          <w:rFonts w:ascii="Times New Roman" w:hAnsi="Times New Roman" w:eastAsia="Calibri" w:cs="Times New Roman"/>
          <w:color w:val="000000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</w:rPr>
        <w:t>Доля (%) обращений высокого приоритета отработанная в соответствии с уровнем оказания услуги рассчитывается следующим образом:</w:t>
      </w:r>
    </w:p>
    <w:p>
      <w:pPr>
        <w:pStyle w:val="Normal"/>
        <w:ind w:firstLine="425"/>
        <w:rPr>
          <w:rFonts w:ascii="Times New Roman" w:hAnsi="Times New Roman" w:eastAsia="Calibri" w:cs="Times New Roman"/>
          <w:color w:val="000000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</w:rPr>
        <w:t>Р = Р2/Р1*100%, где</w:t>
      </w:r>
    </w:p>
    <w:p>
      <w:pPr>
        <w:pStyle w:val="Normal"/>
        <w:ind w:firstLine="425"/>
        <w:rPr>
          <w:rFonts w:ascii="Times New Roman" w:hAnsi="Times New Roman" w:eastAsia="Calibri" w:cs="Times New Roman"/>
          <w:color w:val="000000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</w:rPr>
        <w:t>Р – доля (%) обращений высокого приоритета, отработанных в соответствии с уровнем оказания услуги;</w:t>
      </w:r>
    </w:p>
    <w:p>
      <w:pPr>
        <w:pStyle w:val="Normal"/>
        <w:ind w:firstLine="425"/>
        <w:rPr>
          <w:rFonts w:ascii="Times New Roman" w:hAnsi="Times New Roman" w:eastAsia="Calibri" w:cs="Times New Roman"/>
          <w:color w:val="000000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</w:rPr>
        <w:t>Р1 – количество обращений высокого приоритета зарегистрированных в отчетном периоде;</w:t>
      </w:r>
    </w:p>
    <w:p>
      <w:pPr>
        <w:pStyle w:val="Normal"/>
        <w:ind w:firstLine="425"/>
        <w:rPr>
          <w:rFonts w:ascii="Times New Roman" w:hAnsi="Times New Roman" w:eastAsia="Calibri" w:cs="Times New Roman"/>
          <w:color w:val="000000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</w:rPr>
        <w:t>Р2 – количество обращений высокого приоритета отработанных в соответствии с требованиями, указанными в Таблице № 1;</w:t>
      </w:r>
    </w:p>
    <w:p>
      <w:pPr>
        <w:pStyle w:val="Normal"/>
        <w:ind w:firstLine="425"/>
        <w:rPr>
          <w:rFonts w:ascii="Times New Roman" w:hAnsi="Times New Roman" w:eastAsia="Calibri" w:cs="Times New Roman"/>
          <w:color w:val="000000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</w:rPr>
        <w:t>Доля (%) обращений высокого приоритета отработанная в соответствии с уровнем оказания услуги рассчитывается следующим образом:</w:t>
      </w:r>
    </w:p>
    <w:p>
      <w:pPr>
        <w:pStyle w:val="Normal"/>
        <w:ind w:firstLine="425"/>
        <w:rPr>
          <w:rFonts w:ascii="Times New Roman" w:hAnsi="Times New Roman" w:eastAsia="Calibri" w:cs="Times New Roman"/>
          <w:color w:val="000000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</w:rPr>
        <w:t>Р = Р2/Р1*100%, где</w:t>
      </w:r>
    </w:p>
    <w:p>
      <w:pPr>
        <w:pStyle w:val="Normal"/>
        <w:ind w:firstLine="425"/>
        <w:rPr>
          <w:rFonts w:ascii="Times New Roman" w:hAnsi="Times New Roman" w:eastAsia="Calibri" w:cs="Times New Roman"/>
          <w:color w:val="000000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</w:rPr>
        <w:t>Р – доля (%) обращений обычного приоритета отработанная в соответствии с уровнем оказания услуги;</w:t>
      </w:r>
    </w:p>
    <w:p>
      <w:pPr>
        <w:pStyle w:val="Normal"/>
        <w:ind w:firstLine="425"/>
        <w:rPr>
          <w:rFonts w:ascii="Times New Roman" w:hAnsi="Times New Roman" w:eastAsia="Calibri" w:cs="Times New Roman"/>
          <w:color w:val="000000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</w:rPr>
        <w:t>Р1 – количество обращений обычного приоритета зарегистрированных в отчетном периоде;</w:t>
      </w:r>
    </w:p>
    <w:p>
      <w:pPr>
        <w:pStyle w:val="Normal"/>
        <w:ind w:firstLine="425"/>
        <w:rPr>
          <w:rFonts w:ascii="Times New Roman" w:hAnsi="Times New Roman" w:eastAsia="Calibri" w:cs="Times New Roman"/>
          <w:color w:val="000000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</w:rPr>
        <w:t>Р2 – количество обращений обычного приоритета отработанных в соответствии с требованиями, указанными в Таблице № 1;</w:t>
      </w:r>
    </w:p>
    <w:p>
      <w:pPr>
        <w:pStyle w:val="Normal"/>
        <w:ind w:firstLine="425"/>
        <w:rPr>
          <w:rFonts w:ascii="Times New Roman" w:hAnsi="Times New Roman" w:eastAsia="Calibri" w:cs="Times New Roman"/>
          <w:color w:val="000000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</w:rPr>
        <w:t>Доля (%) обычных обращений отработанная в соответствии с уровнем оказания услуги рассчитывается следующим образом:</w:t>
      </w:r>
    </w:p>
    <w:p>
      <w:pPr>
        <w:pStyle w:val="Normal"/>
        <w:ind w:firstLine="425"/>
        <w:rPr>
          <w:rFonts w:ascii="Times New Roman" w:hAnsi="Times New Roman" w:eastAsia="Calibri" w:cs="Times New Roman"/>
          <w:color w:val="000000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</w:rPr>
        <w:t>Р = Р2/Р1*100%, где</w:t>
      </w:r>
    </w:p>
    <w:p>
      <w:pPr>
        <w:pStyle w:val="Normal"/>
        <w:ind w:firstLine="425"/>
        <w:rPr>
          <w:rFonts w:ascii="Times New Roman" w:hAnsi="Times New Roman" w:eastAsia="Calibri" w:cs="Times New Roman"/>
          <w:color w:val="000000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</w:rPr>
        <w:t>Р – доля (%) обычных обращений, отработанных в соответствии с уровнем оказания услуги;</w:t>
      </w:r>
    </w:p>
    <w:p>
      <w:pPr>
        <w:pStyle w:val="Normal"/>
        <w:ind w:firstLine="425"/>
        <w:rPr>
          <w:rFonts w:ascii="Times New Roman" w:hAnsi="Times New Roman" w:eastAsia="Calibri" w:cs="Times New Roman"/>
          <w:color w:val="000000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</w:rPr>
        <w:t>Р1 – количество обычных обращений, зарегистрированных в отчетном периоде;</w:t>
      </w:r>
    </w:p>
    <w:p>
      <w:pPr>
        <w:pStyle w:val="Normal"/>
        <w:spacing w:before="0" w:after="240"/>
        <w:ind w:firstLine="425"/>
        <w:rPr>
          <w:rFonts w:ascii="Times New Roman" w:hAnsi="Times New Roman" w:eastAsia="Calibri" w:cs="Times New Roman"/>
          <w:color w:val="000000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</w:rPr>
        <w:t>Р2 – количество обычных обращений, отработанных в соответствии с требованиями, указанными в Таблице № 1.</w:t>
      </w:r>
    </w:p>
    <w:p>
      <w:pPr>
        <w:pStyle w:val="Normal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Для обеспечения качества оказываемых услуг должны выполняться следующие требования:</w:t>
      </w:r>
    </w:p>
    <w:p>
      <w:pPr>
        <w:pStyle w:val="Normal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 привлекать к оказанию услуг по сопровождению СПО-112 только специалистов, имеющих соответствующий уровень квалификации;</w:t>
      </w:r>
    </w:p>
    <w:p>
      <w:pPr>
        <w:pStyle w:val="Normal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 обеспечить наличие у Исполнителя квалифицированного инженерного состава прошедшего обучение (соответствующие инструктажи) от разработчика СПО-112.</w:t>
      </w:r>
    </w:p>
    <w:p>
      <w:pPr>
        <w:pStyle w:val="Normal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zh-CN"/>
        </w:rPr>
        <w:t>Заказчик вправе затребовать документальное подтверждение данных компетенций, которое предоставляется Исполнителем в течение 3 (трех) рабочих дней с момента поступления соответствующего запроса.</w:t>
      </w:r>
    </w:p>
    <w:p>
      <w:pPr>
        <w:pStyle w:val="Normal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ind w:firstLine="708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cs="Times New Roman" w:ascii="Times New Roman" w:hAnsi="Times New Roman"/>
          <w:b/>
          <w:sz w:val="24"/>
          <w:szCs w:val="24"/>
          <w:lang w:eastAsia="zh-CN"/>
        </w:rPr>
        <w:t>9.5. Порядок подачи обращений</w:t>
      </w:r>
    </w:p>
    <w:p>
      <w:pPr>
        <w:pStyle w:val="Normal"/>
        <w:ind w:firstLine="708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cs="Times New Roman" w:ascii="Times New Roman" w:hAnsi="Times New Roman"/>
          <w:sz w:val="24"/>
          <w:szCs w:val="24"/>
          <w:lang w:eastAsia="zh-CN"/>
        </w:rPr>
        <w:t>При возникновении инцидентов (недоступность Системы-112 или отдельных её сервисов) или необходимости в получении консультации, Заказчик формирует обращение по инциденту или запрос на консультирование, которые направляются Исполнителю.</w:t>
      </w:r>
    </w:p>
    <w:p>
      <w:pPr>
        <w:pStyle w:val="Normal"/>
        <w:ind w:firstLine="708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cs="Times New Roman" w:ascii="Times New Roman" w:hAnsi="Times New Roman"/>
          <w:sz w:val="24"/>
          <w:szCs w:val="24"/>
          <w:lang w:eastAsia="zh-CN"/>
        </w:rPr>
        <w:t>Обращение Заказчика к Исполнителю может осуществляться с помощью:</w:t>
      </w:r>
    </w:p>
    <w:p>
      <w:pPr>
        <w:pStyle w:val="Normal"/>
        <w:ind w:firstLine="708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cs="Times New Roman" w:ascii="Times New Roman" w:hAnsi="Times New Roman"/>
          <w:sz w:val="24"/>
          <w:szCs w:val="24"/>
          <w:lang w:eastAsia="zh-CN"/>
        </w:rPr>
        <w:t>- электронной почты;</w:t>
      </w:r>
    </w:p>
    <w:p>
      <w:pPr>
        <w:pStyle w:val="Normal"/>
        <w:ind w:firstLine="708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cs="Times New Roman" w:ascii="Times New Roman" w:hAnsi="Times New Roman"/>
          <w:sz w:val="24"/>
          <w:szCs w:val="24"/>
          <w:lang w:eastAsia="zh-CN"/>
        </w:rPr>
        <w:t>- по телефону;</w:t>
      </w:r>
    </w:p>
    <w:p>
      <w:pPr>
        <w:pStyle w:val="Normal"/>
        <w:ind w:firstLine="708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cs="Times New Roman" w:ascii="Times New Roman" w:hAnsi="Times New Roman"/>
          <w:sz w:val="24"/>
          <w:szCs w:val="24"/>
          <w:lang w:eastAsia="zh-CN"/>
        </w:rPr>
        <w:t>- системы регистрации обращений (</w:t>
      </w:r>
      <w:r>
        <w:rPr>
          <w:rFonts w:cs="Times New Roman" w:ascii="Times New Roman" w:hAnsi="Times New Roman"/>
          <w:sz w:val="24"/>
          <w:szCs w:val="24"/>
          <w:lang w:val="en-US" w:eastAsia="zh-CN"/>
        </w:rPr>
        <w:t>CRM</w:t>
      </w:r>
      <w:r>
        <w:rPr>
          <w:rFonts w:cs="Times New Roman" w:ascii="Times New Roman" w:hAnsi="Times New Roman"/>
          <w:sz w:val="24"/>
          <w:szCs w:val="24"/>
          <w:lang w:eastAsia="zh-CN"/>
        </w:rPr>
        <w:t>);</w:t>
      </w:r>
    </w:p>
    <w:p>
      <w:pPr>
        <w:pStyle w:val="Normal"/>
        <w:ind w:firstLine="708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cs="Times New Roman" w:ascii="Times New Roman" w:hAnsi="Times New Roman"/>
          <w:sz w:val="24"/>
          <w:szCs w:val="24"/>
          <w:lang w:eastAsia="zh-CN"/>
        </w:rPr>
        <w:t>- иным средствам связи, удобным Заказчику и Исполнителю.</w:t>
      </w:r>
    </w:p>
    <w:p>
      <w:pPr>
        <w:pStyle w:val="Normal"/>
        <w:ind w:firstLine="708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cs="Times New Roman" w:ascii="Times New Roman" w:hAnsi="Times New Roman"/>
          <w:sz w:val="24"/>
          <w:szCs w:val="24"/>
          <w:lang w:eastAsia="zh-CN"/>
        </w:rPr>
        <w:t>Обращение должно содержать следующие сведения:</w:t>
      </w:r>
    </w:p>
    <w:p>
      <w:pPr>
        <w:pStyle w:val="Normal"/>
        <w:ind w:firstLine="708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cs="Times New Roman" w:ascii="Times New Roman" w:hAnsi="Times New Roman"/>
          <w:sz w:val="24"/>
          <w:szCs w:val="24"/>
          <w:lang w:eastAsia="zh-CN"/>
        </w:rPr>
        <w:t>- идентификационные и контактные сведения инициатора обращения: ФИО, контактный телефон и e-mail;</w:t>
      </w:r>
    </w:p>
    <w:p>
      <w:pPr>
        <w:pStyle w:val="Normal"/>
        <w:ind w:firstLine="708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cs="Times New Roman" w:ascii="Times New Roman" w:hAnsi="Times New Roman"/>
          <w:sz w:val="24"/>
          <w:szCs w:val="24"/>
          <w:lang w:eastAsia="zh-CN"/>
        </w:rPr>
        <w:t>- описание обращения;</w:t>
      </w:r>
    </w:p>
    <w:p>
      <w:pPr>
        <w:pStyle w:val="Normal"/>
        <w:ind w:firstLine="708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cs="Times New Roman" w:ascii="Times New Roman" w:hAnsi="Times New Roman"/>
          <w:sz w:val="24"/>
          <w:szCs w:val="24"/>
          <w:lang w:eastAsia="zh-CN"/>
        </w:rPr>
        <w:t>- скриншоты, лог-файлы, другую информацию, подтверждающую возникновение инцидента;</w:t>
      </w:r>
    </w:p>
    <w:p>
      <w:pPr>
        <w:pStyle w:val="Normal"/>
        <w:ind w:firstLine="708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cs="Times New Roman" w:ascii="Times New Roman" w:hAnsi="Times New Roman"/>
          <w:sz w:val="24"/>
          <w:szCs w:val="24"/>
          <w:lang w:eastAsia="zh-CN"/>
        </w:rPr>
        <w:t>- регистрационный номер первичной заявки в случае повторного обращения;</w:t>
      </w:r>
    </w:p>
    <w:p>
      <w:pPr>
        <w:pStyle w:val="Normal"/>
        <w:ind w:firstLine="708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cs="Times New Roman" w:ascii="Times New Roman" w:hAnsi="Times New Roman"/>
          <w:sz w:val="24"/>
          <w:szCs w:val="24"/>
          <w:lang w:eastAsia="zh-CN"/>
        </w:rPr>
        <w:t>- другую обязательную информацию или документы/приложения, если они требуются для выполнения данной заявки.</w:t>
      </w:r>
    </w:p>
    <w:p>
      <w:pPr>
        <w:pStyle w:val="Normal"/>
        <w:ind w:firstLine="708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cs="Times New Roman" w:ascii="Times New Roman" w:hAnsi="Times New Roman"/>
          <w:sz w:val="24"/>
          <w:szCs w:val="24"/>
          <w:lang w:eastAsia="zh-CN"/>
        </w:rPr>
        <w:t>В случае недостаточности информации в направленных Исполнителю данных, Исполнителем может быть запрошена дополнительная информация, необходимая для решения обращений.</w:t>
      </w:r>
    </w:p>
    <w:p>
      <w:pPr>
        <w:pStyle w:val="Normal"/>
        <w:ind w:firstLine="708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cs="Times New Roman" w:ascii="Times New Roman" w:hAnsi="Times New Roman"/>
          <w:sz w:val="24"/>
          <w:szCs w:val="24"/>
          <w:lang w:eastAsia="zh-CN"/>
        </w:rPr>
        <w:t>Исполнитель должен производить регистрацию обращения в максимально короткий срок. После регистрации обращение считается принятым.</w:t>
      </w:r>
    </w:p>
    <w:p>
      <w:pPr>
        <w:pStyle w:val="Normal"/>
        <w:ind w:firstLine="708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cs="Times New Roman" w:ascii="Times New Roman" w:hAnsi="Times New Roman"/>
          <w:sz w:val="24"/>
          <w:szCs w:val="24"/>
          <w:lang w:eastAsia="zh-CN"/>
        </w:rPr>
        <w:t>Ответ Исполнителя на обращение должен содержать следующую информацию:</w:t>
      </w:r>
    </w:p>
    <w:p>
      <w:pPr>
        <w:pStyle w:val="Normal"/>
        <w:ind w:firstLine="708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cs="Times New Roman" w:ascii="Times New Roman" w:hAnsi="Times New Roman"/>
          <w:sz w:val="24"/>
          <w:szCs w:val="24"/>
          <w:lang w:eastAsia="zh-CN"/>
        </w:rPr>
        <w:t>- регистрационный номер обращения;</w:t>
      </w:r>
    </w:p>
    <w:p>
      <w:pPr>
        <w:pStyle w:val="Normal"/>
        <w:ind w:firstLine="708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cs="Times New Roman" w:ascii="Times New Roman" w:hAnsi="Times New Roman"/>
          <w:sz w:val="24"/>
          <w:szCs w:val="24"/>
          <w:lang w:eastAsia="zh-CN"/>
        </w:rPr>
        <w:t>- содержание обращения;</w:t>
      </w:r>
    </w:p>
    <w:p>
      <w:pPr>
        <w:pStyle w:val="Normal"/>
        <w:ind w:firstLine="708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cs="Times New Roman" w:ascii="Times New Roman" w:hAnsi="Times New Roman"/>
          <w:sz w:val="24"/>
          <w:szCs w:val="24"/>
          <w:lang w:eastAsia="zh-CN"/>
        </w:rPr>
        <w:t>- ответ на обращение (ответ может содержать ссылки на документацию);</w:t>
      </w:r>
    </w:p>
    <w:p>
      <w:pPr>
        <w:pStyle w:val="Normal"/>
        <w:ind w:firstLine="708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cs="Times New Roman" w:ascii="Times New Roman" w:hAnsi="Times New Roman"/>
          <w:sz w:val="24"/>
          <w:szCs w:val="24"/>
          <w:lang w:eastAsia="zh-CN"/>
        </w:rPr>
        <w:t>- дату и время отправки ответа на обращение.</w:t>
      </w:r>
    </w:p>
    <w:p>
      <w:pPr>
        <w:pStyle w:val="Normal"/>
        <w:ind w:firstLine="708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cs="Times New Roman" w:ascii="Times New Roman" w:hAnsi="Times New Roman"/>
          <w:sz w:val="24"/>
          <w:szCs w:val="24"/>
          <w:lang w:eastAsia="zh-CN"/>
        </w:rPr>
        <w:t xml:space="preserve">Информирование о ходе выполнения работ по обращению осуществляет Исполнитель. </w:t>
      </w:r>
    </w:p>
    <w:p>
      <w:pPr>
        <w:pStyle w:val="Normal"/>
        <w:ind w:firstLine="708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cs="Times New Roman" w:ascii="Times New Roman" w:hAnsi="Times New Roman"/>
          <w:sz w:val="24"/>
          <w:szCs w:val="24"/>
          <w:lang w:eastAsia="zh-CN"/>
        </w:rPr>
        <w:t>В сообщении о ходе работ по обращению указывается:</w:t>
      </w:r>
    </w:p>
    <w:p>
      <w:pPr>
        <w:pStyle w:val="Normal"/>
        <w:ind w:firstLine="708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cs="Times New Roman" w:ascii="Times New Roman" w:hAnsi="Times New Roman"/>
          <w:sz w:val="24"/>
          <w:szCs w:val="24"/>
          <w:lang w:eastAsia="zh-CN"/>
        </w:rPr>
        <w:t>- регистрационный номер обращения;</w:t>
      </w:r>
    </w:p>
    <w:p>
      <w:pPr>
        <w:pStyle w:val="Normal"/>
        <w:ind w:firstLine="708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cs="Times New Roman" w:ascii="Times New Roman" w:hAnsi="Times New Roman"/>
          <w:sz w:val="24"/>
          <w:szCs w:val="24"/>
          <w:lang w:eastAsia="zh-CN"/>
        </w:rPr>
        <w:t>- информация о ходе выполнения работ по обращению.</w:t>
      </w:r>
    </w:p>
    <w:p>
      <w:pPr>
        <w:pStyle w:val="Normal"/>
        <w:ind w:firstLine="708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cs="Times New Roman" w:ascii="Times New Roman" w:hAnsi="Times New Roman"/>
          <w:sz w:val="24"/>
          <w:szCs w:val="24"/>
          <w:lang w:eastAsia="zh-CN"/>
        </w:rPr>
        <w:t xml:space="preserve">Ответ на обращение передается Заказчику по системе технической поддержки и/или электронной почте. </w:t>
      </w:r>
    </w:p>
    <w:p>
      <w:pPr>
        <w:pStyle w:val="Normal"/>
        <w:ind w:firstLine="708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cs="Times New Roman" w:ascii="Times New Roman" w:hAnsi="Times New Roman"/>
          <w:sz w:val="24"/>
          <w:szCs w:val="24"/>
          <w:lang w:eastAsia="zh-CN"/>
        </w:rPr>
        <w:t xml:space="preserve">В случае несогласия Заказчика с результатами обработки обращения или претензией по качеству, Заказчик должен сообщить об этом в течение 24 рабочих часов с момента завершения обработки обращения, после чего существующее обращение открывается заново, и его обработка продолжается. </w:t>
      </w:r>
    </w:p>
    <w:p>
      <w:pPr>
        <w:pStyle w:val="Normal"/>
        <w:ind w:firstLine="708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cs="Times New Roman" w:ascii="Times New Roman" w:hAnsi="Times New Roman"/>
          <w:sz w:val="24"/>
          <w:szCs w:val="24"/>
          <w:lang w:eastAsia="zh-CN"/>
        </w:rPr>
        <w:t>В случае отсутствия ответа Заказчика о несогласии по истечении 24 рабочих часов с момента завершения обработки обращения, обращение считается закрытым и открытию заново не подлежит, при этом Заказчик имеет право создать новое обращение для решения проблемы.</w:t>
      </w:r>
    </w:p>
    <w:p>
      <w:pPr>
        <w:pStyle w:val="Normal"/>
        <w:ind w:firstLine="708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cs="Times New Roman" w:ascii="Times New Roman" w:hAnsi="Times New Roman"/>
          <w:sz w:val="24"/>
          <w:szCs w:val="24"/>
          <w:lang w:eastAsia="zh-CN"/>
        </w:rPr>
      </w:r>
    </w:p>
    <w:p>
      <w:pPr>
        <w:pStyle w:val="Normal"/>
        <w:ind w:firstLine="708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cs="Times New Roman" w:ascii="Times New Roman" w:hAnsi="Times New Roman"/>
          <w:b/>
          <w:sz w:val="24"/>
          <w:szCs w:val="24"/>
          <w:lang w:eastAsia="zh-CN"/>
        </w:rPr>
        <w:t>9.6. Ограничения при решении обращений</w:t>
      </w:r>
    </w:p>
    <w:p>
      <w:pPr>
        <w:pStyle w:val="Normal"/>
        <w:ind w:firstLine="708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cs="Times New Roman" w:ascii="Times New Roman" w:hAnsi="Times New Roman"/>
          <w:sz w:val="24"/>
          <w:szCs w:val="24"/>
          <w:lang w:eastAsia="zh-CN"/>
        </w:rPr>
        <w:t>Решение обращений не может быть выполнено Исполнителем, если часть работ (ответственности) по решению обращения находится в зоне ответственности Заказчика. Примерами таких обращений являются:</w:t>
      </w:r>
    </w:p>
    <w:p>
      <w:pPr>
        <w:pStyle w:val="Normal"/>
        <w:ind w:firstLine="708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cs="Times New Roman" w:ascii="Times New Roman" w:hAnsi="Times New Roman"/>
          <w:sz w:val="24"/>
          <w:szCs w:val="24"/>
          <w:lang w:eastAsia="zh-CN"/>
        </w:rPr>
        <w:t xml:space="preserve">- неисправность на оборудовании или сетях Заказчика, если таковая выявлена Исполнителем в результате диагностики; </w:t>
      </w:r>
    </w:p>
    <w:p>
      <w:pPr>
        <w:pStyle w:val="Normal"/>
        <w:ind w:firstLine="708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cs="Times New Roman" w:ascii="Times New Roman" w:hAnsi="Times New Roman"/>
          <w:sz w:val="24"/>
          <w:szCs w:val="24"/>
          <w:lang w:eastAsia="zh-CN"/>
        </w:rPr>
        <w:t xml:space="preserve">- непредставление Заказчиком ответа на запрос Исполнителя о предоставлении дополнительной информации, влияющей на доступность Системы-112; </w:t>
      </w:r>
    </w:p>
    <w:p>
      <w:pPr>
        <w:pStyle w:val="Normal"/>
        <w:ind w:firstLine="708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cs="Times New Roman" w:ascii="Times New Roman" w:hAnsi="Times New Roman"/>
          <w:sz w:val="24"/>
          <w:szCs w:val="24"/>
          <w:lang w:eastAsia="zh-CN"/>
        </w:rPr>
        <w:t>- непредставление Исполнителю доступа к объектам Заказчика для устранения неисправности, находящихся в зоне ответственности Заказчика.</w:t>
      </w:r>
    </w:p>
    <w:p>
      <w:pPr>
        <w:pStyle w:val="13"/>
        <w:spacing w:before="0" w:after="0"/>
        <w:ind w:firstLine="700" w:start="0"/>
        <w:contextualSpacing w:val="false"/>
        <w:jc w:val="both"/>
        <w:rPr>
          <w:rFonts w:eastAsia="Calibri" w:eastAsiaTheme="minorHAnsi"/>
          <w:color w:val="auto"/>
          <w:kern w:val="0"/>
        </w:rPr>
      </w:pPr>
      <w:r>
        <w:rPr>
          <w:rFonts w:eastAsia="Calibri" w:eastAsiaTheme="minorHAnsi"/>
          <w:color w:val="auto"/>
          <w:kern w:val="0"/>
        </w:rPr>
        <w:t xml:space="preserve">Решение обращения может быть отложено по следующим основным причинам: </w:t>
      </w:r>
    </w:p>
    <w:p>
      <w:pPr>
        <w:pStyle w:val="13"/>
        <w:spacing w:before="0" w:after="0"/>
        <w:ind w:firstLine="700" w:start="0"/>
        <w:contextualSpacing w:val="false"/>
        <w:jc w:val="both"/>
        <w:rPr/>
      </w:pPr>
      <w:r>
        <w:rPr>
          <w:rFonts w:eastAsia="Calibri" w:eastAsiaTheme="minorHAnsi"/>
          <w:color w:val="auto"/>
          <w:kern w:val="0"/>
        </w:rPr>
        <w:t>- </w:t>
      </w:r>
      <w:r>
        <w:rPr/>
        <w:t xml:space="preserve">невозможно повторить описанную проблему на демонстрационной базовой конфигурации оборудования, имеющейся в распоряжении Исполнителя; </w:t>
      </w:r>
    </w:p>
    <w:p>
      <w:pPr>
        <w:pStyle w:val="13"/>
        <w:spacing w:before="0" w:after="0"/>
        <w:ind w:firstLine="700" w:start="0"/>
        <w:contextualSpacing w:val="false"/>
        <w:jc w:val="both"/>
        <w:rPr/>
      </w:pPr>
      <w:r>
        <w:rPr/>
        <w:t xml:space="preserve">- решение требует доработки функционала и/или выпуска обновления для программного продукта; </w:t>
      </w:r>
    </w:p>
    <w:p>
      <w:pPr>
        <w:pStyle w:val="13"/>
        <w:spacing w:before="0" w:after="0"/>
        <w:ind w:firstLine="700" w:start="0"/>
        <w:contextualSpacing w:val="false"/>
        <w:jc w:val="both"/>
        <w:rPr/>
      </w:pPr>
      <w:r>
        <w:rPr/>
        <w:t>- на клиентских рабочих местах используется нелицензионная копия программного продукта;</w:t>
      </w:r>
    </w:p>
    <w:p>
      <w:pPr>
        <w:pStyle w:val="13"/>
        <w:spacing w:before="0" w:after="0"/>
        <w:ind w:firstLine="700" w:start="0"/>
        <w:contextualSpacing w:val="false"/>
        <w:jc w:val="both"/>
        <w:rPr>
          <w:rFonts w:eastAsia="Calibri" w:eastAsiaTheme="minorHAnsi"/>
          <w:color w:val="auto"/>
          <w:kern w:val="0"/>
        </w:rPr>
      </w:pPr>
      <w:r>
        <w:rPr/>
        <w:t>- решение выходит за рамки Технического задания (не соответствует перечню основных операций по технической поддержке Системы-112).</w:t>
      </w:r>
    </w:p>
    <w:p>
      <w:pPr>
        <w:pStyle w:val="13"/>
        <w:spacing w:before="0" w:after="0"/>
        <w:ind w:firstLine="700" w:start="0"/>
        <w:contextualSpacing w:val="false"/>
        <w:jc w:val="both"/>
        <w:rPr>
          <w:rFonts w:eastAsia="Calibri" w:eastAsiaTheme="minorHAnsi"/>
          <w:color w:val="auto"/>
          <w:kern w:val="0"/>
        </w:rPr>
      </w:pPr>
      <w:r>
        <w:rPr>
          <w:rFonts w:eastAsia="Calibri" w:eastAsiaTheme="minorHAnsi"/>
          <w:color w:val="auto"/>
          <w:kern w:val="0"/>
        </w:rPr>
        <w:t xml:space="preserve">О факте приостановки работ по вышеуказанным причинам, Исполнитель информирует Заказчика с указанием подтверждающих фактов нахождения неисправности в зоне ответственности Заказчика и о предпринятых действиях по получению информации от представителей Заказчика. </w:t>
      </w:r>
    </w:p>
    <w:p>
      <w:pPr>
        <w:pStyle w:val="13"/>
        <w:spacing w:before="0" w:after="0"/>
        <w:ind w:firstLine="700" w:start="0"/>
        <w:contextualSpacing w:val="false"/>
        <w:jc w:val="both"/>
        <w:rPr>
          <w:rFonts w:eastAsia="Calibri" w:eastAsiaTheme="minorHAnsi"/>
          <w:color w:val="auto"/>
          <w:kern w:val="0"/>
        </w:rPr>
      </w:pPr>
      <w:r>
        <w:rPr>
          <w:rFonts w:eastAsia="Calibri" w:eastAsiaTheme="minorHAnsi"/>
          <w:color w:val="auto"/>
          <w:kern w:val="0"/>
        </w:rPr>
        <w:t>В информационном уведомлении должна содержаться следующая информация:</w:t>
      </w:r>
    </w:p>
    <w:p>
      <w:pPr>
        <w:pStyle w:val="13"/>
        <w:spacing w:before="0" w:after="0"/>
        <w:ind w:firstLine="700" w:start="0"/>
        <w:contextualSpacing w:val="false"/>
        <w:jc w:val="both"/>
        <w:rPr/>
      </w:pPr>
      <w:r>
        <w:rPr>
          <w:rFonts w:eastAsia="Calibri" w:eastAsiaTheme="minorHAnsi"/>
          <w:color w:val="auto"/>
          <w:kern w:val="0"/>
        </w:rPr>
        <w:t>- </w:t>
      </w:r>
      <w:r>
        <w:rPr/>
        <w:t>регистрационный номер обращения;</w:t>
      </w:r>
    </w:p>
    <w:p>
      <w:pPr>
        <w:pStyle w:val="13"/>
        <w:spacing w:before="0" w:after="0"/>
        <w:ind w:firstLine="700" w:start="0"/>
        <w:contextualSpacing w:val="false"/>
        <w:jc w:val="both"/>
        <w:rPr/>
      </w:pPr>
      <w:r>
        <w:rPr/>
        <w:t>- описание обращения;</w:t>
      </w:r>
    </w:p>
    <w:p>
      <w:pPr>
        <w:pStyle w:val="13"/>
        <w:spacing w:before="0" w:after="0"/>
        <w:ind w:firstLine="700" w:start="0"/>
        <w:contextualSpacing w:val="false"/>
        <w:jc w:val="both"/>
        <w:rPr/>
      </w:pPr>
      <w:r>
        <w:rPr/>
        <w:t>- предполагаемая причина возникновения обращения;</w:t>
      </w:r>
    </w:p>
    <w:p>
      <w:pPr>
        <w:pStyle w:val="13"/>
        <w:spacing w:before="0" w:after="0"/>
        <w:ind w:firstLine="700" w:start="0"/>
        <w:contextualSpacing w:val="false"/>
        <w:jc w:val="both"/>
        <w:rPr/>
      </w:pPr>
      <w:r>
        <w:rPr/>
        <w:t>- результаты диагностики Исполнителем;</w:t>
      </w:r>
    </w:p>
    <w:p>
      <w:pPr>
        <w:pStyle w:val="13"/>
        <w:spacing w:before="0" w:after="0"/>
        <w:ind w:firstLine="700" w:start="0"/>
        <w:contextualSpacing w:val="false"/>
        <w:jc w:val="both"/>
        <w:rPr>
          <w:rFonts w:eastAsia="Calibri" w:eastAsiaTheme="minorHAnsi"/>
          <w:color w:val="auto"/>
          <w:kern w:val="0"/>
        </w:rPr>
      </w:pPr>
      <w:r>
        <w:rPr/>
        <w:t>- дата и время создания или отправки ответа.</w:t>
      </w:r>
    </w:p>
    <w:p>
      <w:pPr>
        <w:pStyle w:val="13"/>
        <w:spacing w:before="0" w:after="0"/>
        <w:ind w:firstLine="700" w:start="0"/>
        <w:contextualSpacing w:val="false"/>
        <w:jc w:val="both"/>
        <w:rPr>
          <w:rFonts w:eastAsia="Calibri" w:eastAsiaTheme="minorHAnsi"/>
          <w:color w:val="auto"/>
          <w:kern w:val="0"/>
        </w:rPr>
      </w:pPr>
      <w:r>
        <w:rPr>
          <w:rFonts w:eastAsia="Calibri" w:eastAsiaTheme="minorHAnsi"/>
          <w:color w:val="auto"/>
          <w:kern w:val="0"/>
        </w:rPr>
        <w:t xml:space="preserve">В случаях, представленных в данном пункте, время приостановки работ не входит в учет продолжительности обработки обращений. </w:t>
      </w:r>
    </w:p>
    <w:p>
      <w:pPr>
        <w:pStyle w:val="13"/>
        <w:spacing w:before="0" w:after="0"/>
        <w:ind w:firstLine="700" w:start="0"/>
        <w:contextualSpacing w:val="false"/>
        <w:jc w:val="both"/>
        <w:rPr>
          <w:rFonts w:eastAsia="Calibri" w:eastAsiaTheme="minorHAnsi"/>
          <w:color w:val="auto"/>
          <w:kern w:val="0"/>
        </w:rPr>
      </w:pPr>
      <w:r>
        <w:rPr>
          <w:rFonts w:eastAsia="Calibri" w:eastAsiaTheme="minorHAnsi"/>
          <w:color w:val="auto"/>
          <w:kern w:val="0"/>
        </w:rPr>
        <w:t>При неполноте или некорректности сведений, представленной Заказчиком для исполнения обращения, срок исполнения обращения исчисляется с момента предоставления Заказчиком полной и корректной информации.</w:t>
      </w:r>
    </w:p>
    <w:p>
      <w:pPr>
        <w:pStyle w:val="13"/>
        <w:spacing w:before="0" w:after="0"/>
        <w:ind w:firstLine="700" w:start="0"/>
        <w:contextualSpacing w:val="false"/>
        <w:jc w:val="both"/>
        <w:rPr>
          <w:rFonts w:eastAsia="Calibri" w:eastAsiaTheme="minorHAnsi"/>
          <w:color w:val="auto"/>
          <w:kern w:val="0"/>
        </w:rPr>
      </w:pPr>
      <w:r>
        <w:rPr>
          <w:rFonts w:eastAsia="Calibri" w:eastAsiaTheme="minorHAnsi"/>
          <w:color w:val="auto"/>
          <w:kern w:val="0"/>
        </w:rPr>
      </w:r>
    </w:p>
    <w:p>
      <w:pPr>
        <w:pStyle w:val="ListParagraph"/>
        <w:tabs>
          <w:tab w:val="clear" w:pos="708"/>
          <w:tab w:val="left" w:pos="284" w:leader="none"/>
          <w:tab w:val="left" w:pos="709" w:leader="none"/>
        </w:tabs>
        <w:ind w:firstLine="709" w:start="0"/>
        <w:rPr>
          <w:rFonts w:ascii="Times New Roman" w:hAnsi="Times New Roman" w:eastAsia="Calibri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lang w:eastAsia="zh-CN"/>
        </w:rPr>
        <w:t>9.7. </w:t>
      </w:r>
      <w:r>
        <w:rPr>
          <w:rFonts w:eastAsia="Calibri" w:cs="Times New Roman" w:ascii="Times New Roman" w:hAnsi="Times New Roman"/>
          <w:b/>
          <w:sz w:val="24"/>
          <w:szCs w:val="24"/>
        </w:rPr>
        <w:t>Способ оказания услуги</w:t>
      </w:r>
    </w:p>
    <w:p>
      <w:pPr>
        <w:pStyle w:val="docdata"/>
        <w:spacing w:beforeAutospacing="0" w:before="0" w:afterAutospacing="0" w:after="0"/>
        <w:ind w:firstLine="708"/>
        <w:jc w:val="both"/>
        <w:rPr>
          <w:color w:val="000000"/>
        </w:rPr>
      </w:pPr>
      <w:r>
        <w:rPr>
          <w:color w:val="000000"/>
        </w:rPr>
        <w:t xml:space="preserve">Услуги осуществляются удаленно посредством предоставленной Заказчиком возможности удаленного доступа до объектов автоматизации Системы-112, указанных в Приложении А к настоящему Техническому заданию. </w:t>
      </w:r>
    </w:p>
    <w:p>
      <w:pPr>
        <w:pStyle w:val="docdata"/>
        <w:spacing w:beforeAutospacing="0" w:before="0" w:afterAutospacing="0" w:after="0"/>
        <w:ind w:firstLine="708"/>
        <w:jc w:val="both"/>
        <w:rPr/>
      </w:pPr>
      <w:r>
        <w:rPr>
          <w:color w:val="000000"/>
        </w:rPr>
        <w:t xml:space="preserve">Для оказания Услуг Исполнителем применяется ПТК УД. </w:t>
      </w:r>
    </w:p>
    <w:p>
      <w:pPr>
        <w:pStyle w:val="NormalWeb"/>
        <w:spacing w:beforeAutospacing="0" w:before="0" w:afterAutospacing="0" w:after="0"/>
        <w:ind w:firstLine="708"/>
        <w:jc w:val="both"/>
        <w:rPr/>
      </w:pPr>
      <w:r>
        <w:rPr>
          <w:color w:val="000000"/>
        </w:rPr>
        <w:t xml:space="preserve">Взаимодействие ПТК УД и Системы-112 должно осуществляться через технологию </w:t>
      </w:r>
      <w:r>
        <w:rPr>
          <w:color w:val="000000"/>
          <w:lang w:val="en-US"/>
        </w:rPr>
        <w:t>L</w:t>
      </w:r>
      <w:r>
        <w:rPr>
          <w:color w:val="000000"/>
        </w:rPr>
        <w:t xml:space="preserve">3 </w:t>
      </w:r>
      <w:r>
        <w:rPr>
          <w:color w:val="000000"/>
          <w:lang w:val="en-US"/>
        </w:rPr>
        <w:t>VPN</w:t>
      </w:r>
      <w:r>
        <w:rPr>
          <w:color w:val="000000"/>
        </w:rPr>
        <w:t xml:space="preserve"> либо через сеть Интернет (по согласованию</w:t>
      </w:r>
      <w:r>
        <w:rPr/>
        <w:t xml:space="preserve"> с Заказчиком</w:t>
      </w:r>
      <w:r>
        <w:rPr>
          <w:color w:val="000000"/>
        </w:rPr>
        <w:t xml:space="preserve">) с применением средств криптографической защиты информации как со стороны ПТК УД, так и со стороны Системы-112. </w:t>
      </w:r>
    </w:p>
    <w:p>
      <w:pPr>
        <w:pStyle w:val="NormalWeb"/>
        <w:spacing w:beforeAutospacing="0" w:before="0" w:afterAutospacing="0" w:after="0"/>
        <w:ind w:firstLine="708"/>
        <w:jc w:val="both"/>
        <w:rPr/>
      </w:pPr>
      <w:r>
        <w:rPr>
          <w:color w:val="000000"/>
        </w:rPr>
        <w:t>Криптографическая защита канала связи между ПТК УД и Системой-112 должна быть выполнена с использованием средств ViPNet, имеющих действующие сертификаты ФСБ на соответствие требованиям к средствам криптографической защиты информации, предназначенным для защиты информации, не содержащей сведений, составляющих государственную тайну, класса не ниже КС3.</w:t>
      </w:r>
    </w:p>
    <w:p>
      <w:pPr>
        <w:pStyle w:val="NormalWeb"/>
        <w:spacing w:beforeAutospacing="0" w:before="0" w:afterAutospacing="0" w:after="0"/>
        <w:ind w:firstLine="708"/>
        <w:jc w:val="both"/>
        <w:rPr>
          <w:color w:val="000000"/>
        </w:rPr>
      </w:pPr>
      <w:r>
        <w:rPr>
          <w:color w:val="000000"/>
        </w:rPr>
        <w:t>ПТК УД должен включать сертифицированные средства защиты от НСД, исключающие возможность изменения конфигурации ПТК УД без санкции системного администратора и администратора информационной безопасности системы удаленного доступа, сертифицированные средства антивирусной защиты информации.</w:t>
      </w:r>
    </w:p>
    <w:p>
      <w:pPr>
        <w:pStyle w:val="NormalWeb"/>
        <w:spacing w:beforeAutospacing="0" w:before="0" w:afterAutospacing="0" w:after="0"/>
        <w:ind w:firstLine="708"/>
        <w:jc w:val="both"/>
        <w:rPr>
          <w:color w:val="000000"/>
        </w:rPr>
      </w:pPr>
      <w:r>
        <w:rPr>
          <w:color w:val="000000"/>
        </w:rPr>
        <w:t>Применяемые на ПТК УД средства защиты информации должны получать своевременные базы знаний (обновления).</w:t>
      </w:r>
    </w:p>
    <w:p>
      <w:pPr>
        <w:pStyle w:val="NormalWeb"/>
        <w:spacing w:beforeAutospacing="0" w:before="0" w:afterAutospacing="0" w:after="0"/>
        <w:ind w:firstLine="708"/>
        <w:jc w:val="both"/>
        <w:rPr>
          <w:color w:val="000000"/>
        </w:rPr>
      </w:pPr>
      <w:r>
        <w:rPr>
          <w:color w:val="000000"/>
        </w:rPr>
        <w:t>На ПТК УД должны проводиться анализ и устранения уязвимостей.</w:t>
      </w:r>
    </w:p>
    <w:p>
      <w:pPr>
        <w:pStyle w:val="NormalWeb"/>
        <w:spacing w:beforeAutospacing="0" w:before="0" w:afterAutospacing="0" w:after="0"/>
        <w:ind w:firstLine="708"/>
        <w:jc w:val="both"/>
        <w:rPr/>
      </w:pPr>
      <w:r>
        <w:rPr/>
        <w:t>Требования к защите информации от несанкционированного доступа определены в разделе 13 настоящего Технического задания.</w:t>
      </w:r>
    </w:p>
    <w:p>
      <w:pPr>
        <w:pStyle w:val="13"/>
        <w:spacing w:before="0" w:after="0"/>
        <w:ind w:firstLine="700" w:start="0"/>
        <w:contextualSpacing w:val="false"/>
        <w:jc w:val="both"/>
        <w:rPr>
          <w:rFonts w:eastAsia="Calibri" w:eastAsiaTheme="minorHAnsi"/>
          <w:color w:val="auto"/>
          <w:kern w:val="0"/>
        </w:rPr>
      </w:pPr>
      <w:r>
        <w:rPr>
          <w:rFonts w:eastAsia="Calibri" w:eastAsiaTheme="minorHAnsi"/>
          <w:color w:val="auto"/>
          <w:kern w:val="0"/>
        </w:rPr>
      </w:r>
    </w:p>
    <w:p>
      <w:pPr>
        <w:pStyle w:val="13"/>
        <w:spacing w:before="0" w:after="0"/>
        <w:ind w:firstLine="700" w:start="0"/>
        <w:contextualSpacing w:val="false"/>
        <w:jc w:val="both"/>
        <w:rPr>
          <w:rFonts w:eastAsia="Calibri" w:eastAsiaTheme="minorHAnsi"/>
          <w:b/>
          <w:color w:val="auto"/>
          <w:kern w:val="0"/>
        </w:rPr>
      </w:pPr>
      <w:bookmarkStart w:id="20" w:name="_Toc177034222"/>
      <w:bookmarkStart w:id="21" w:name="_Toc476319058"/>
      <w:bookmarkStart w:id="22" w:name="_Toc476909152"/>
      <w:bookmarkStart w:id="23" w:name="_Toc474500454"/>
      <w:bookmarkStart w:id="24" w:name="_Toc474341652"/>
      <w:bookmarkStart w:id="25" w:name="_Toc57273893"/>
      <w:bookmarkEnd w:id="20"/>
      <w:bookmarkEnd w:id="21"/>
      <w:bookmarkEnd w:id="22"/>
      <w:bookmarkEnd w:id="23"/>
      <w:bookmarkEnd w:id="24"/>
      <w:bookmarkEnd w:id="25"/>
      <w:r>
        <w:rPr>
          <w:b/>
        </w:rPr>
        <w:t>10. Требования к программному обеспечению</w:t>
      </w:r>
    </w:p>
    <w:p>
      <w:pPr>
        <w:pStyle w:val="Normal"/>
        <w:ind w:firstLine="708"/>
        <w:rPr>
          <w:rFonts w:ascii="Times New Roman" w:hAnsi="Times New Roman" w:eastAsia="Calibri" w:cs="Times New Roman"/>
          <w:sz w:val="24"/>
          <w:szCs w:val="24"/>
        </w:rPr>
      </w:pPr>
      <w:bookmarkStart w:id="26" w:name="_Toc474341653"/>
      <w:bookmarkStart w:id="27" w:name="_Toc177034223"/>
      <w:bookmarkEnd w:id="26"/>
      <w:bookmarkEnd w:id="27"/>
      <w:r>
        <w:rPr>
          <w:rFonts w:eastAsia="Calibri" w:cs="Times New Roman" w:ascii="Times New Roman" w:hAnsi="Times New Roman"/>
          <w:color w:val="000000"/>
          <w:sz w:val="24"/>
          <w:szCs w:val="24"/>
        </w:rPr>
        <w:t>Исполнитель использует ПО предоставленное Заказчиком (СПО-112 и ПО необходимое для функционирования серверного и пользовательского сегментов).</w:t>
      </w:r>
    </w:p>
    <w:p>
      <w:pPr>
        <w:pStyle w:val="Normal"/>
        <w:ind w:firstLine="708"/>
        <w:rPr>
          <w:rFonts w:ascii="Times New Roman" w:hAnsi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ПО необходимое Исполнителю для обеспечения мониторинга работоспособности, отказоустойчивости и выполнения других работ для оказания услуги, Исполнитель приобретает за свой счет.</w:t>
      </w:r>
    </w:p>
    <w:p>
      <w:pPr>
        <w:pStyle w:val="Normal"/>
        <w:ind w:firstLine="708"/>
        <w:rPr>
          <w:rFonts w:ascii="Times New Roman" w:hAnsi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 xml:space="preserve">Не допускается использование ПО в нарушение авторских и лицензионных прав третьих лиц, а также используемое Исполнителем ПО должно соответствовать законодательству </w:t>
      </w:r>
      <w:r>
        <w:rPr>
          <w:rFonts w:ascii="Times New Roman" w:hAnsi="Times New Roman"/>
          <w:sz w:val="24"/>
          <w:szCs w:val="24"/>
        </w:rPr>
        <w:t>Российской Федерации.</w:t>
      </w:r>
    </w:p>
    <w:p>
      <w:pPr>
        <w:pStyle w:val="Normal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Исполнитель своевременно предоставляет корректные актуальные требования и рекомендации к техническому (программно-аппаратному) окружению ПО, а также к условиям и технологиям эксплуатации и обновления ПО.</w:t>
      </w:r>
    </w:p>
    <w:p>
      <w:pPr>
        <w:pStyle w:val="Normal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10.1. СПО Системы-112 </w:t>
      </w:r>
    </w:p>
    <w:p>
      <w:pPr>
        <w:pStyle w:val="Normal"/>
        <w:widowControl w:val="false"/>
        <w:tabs>
          <w:tab w:val="clear" w:pos="708"/>
          <w:tab w:val="left" w:pos="1134" w:leader="none"/>
        </w:tabs>
        <w:ind w:firstLine="567"/>
        <w:rPr>
          <w:rFonts w:ascii="Times New Roman" w:hAnsi="Times New Roman" w:eastAsia="DejaVu Sans" w:cs="Times New Roman"/>
          <w:sz w:val="24"/>
          <w:szCs w:val="24"/>
          <w:lang w:eastAsia="zh-CN" w:bidi="hi-IN"/>
        </w:rPr>
      </w:pPr>
      <w:r>
        <w:rPr>
          <w:rFonts w:eastAsia="Times New Roman" w:cs="Times New Roman" w:ascii="Times New Roman" w:hAnsi="Times New Roman"/>
          <w:color w:val="00000A"/>
          <w:sz w:val="24"/>
          <w:szCs w:val="24"/>
          <w:lang w:eastAsia="zh-CN"/>
        </w:rPr>
        <w:t>СПО Системы-112</w:t>
      </w:r>
      <w:r>
        <w:rPr>
          <w:rFonts w:eastAsia="DejaVu Sans" w:cs="Times New Roman" w:ascii="Times New Roman" w:hAnsi="Times New Roman"/>
          <w:sz w:val="24"/>
          <w:szCs w:val="24"/>
          <w:lang w:eastAsia="zh-CN" w:bidi="hi-IN"/>
        </w:rPr>
        <w:t xml:space="preserve"> обеспечивает следующий функционал:</w:t>
      </w:r>
    </w:p>
    <w:p>
      <w:pPr>
        <w:pStyle w:val="Normal"/>
        <w:widowControl w:val="false"/>
        <w:tabs>
          <w:tab w:val="clear" w:pos="708"/>
          <w:tab w:val="left" w:pos="1134" w:leader="none"/>
        </w:tabs>
        <w:ind w:firstLine="567"/>
        <w:rPr>
          <w:rFonts w:ascii="Times New Roman" w:hAnsi="Times New Roman" w:eastAsia="DejaVu Sans" w:cs="Times New Roman"/>
          <w:sz w:val="24"/>
          <w:szCs w:val="24"/>
          <w:lang w:eastAsia="zh-CN" w:bidi="hi-IN"/>
        </w:rPr>
      </w:pPr>
      <w:r>
        <w:rPr>
          <w:rFonts w:eastAsia="DejaVu Sans" w:cs="Times New Roman" w:ascii="Times New Roman" w:hAnsi="Times New Roman"/>
          <w:sz w:val="24"/>
          <w:szCs w:val="24"/>
          <w:lang w:eastAsia="zh-CN" w:bidi="hi-IN"/>
        </w:rPr>
        <w:t>- прием и обработку вызовов в Системе-112 с возможностью их передачи в диспетчерские службы (ЕДДС, ДДС ЭОС);</w:t>
      </w:r>
    </w:p>
    <w:p>
      <w:pPr>
        <w:pStyle w:val="Normal"/>
        <w:widowControl w:val="false"/>
        <w:tabs>
          <w:tab w:val="clear" w:pos="708"/>
          <w:tab w:val="left" w:pos="1134" w:leader="none"/>
        </w:tabs>
        <w:ind w:firstLine="567"/>
        <w:rPr>
          <w:rFonts w:ascii="Times New Roman" w:hAnsi="Times New Roman" w:eastAsia="DejaVu Sans" w:cs="Times New Roman"/>
          <w:sz w:val="24"/>
          <w:szCs w:val="24"/>
          <w:lang w:eastAsia="zh-CN" w:bidi="hi-IN"/>
        </w:rPr>
      </w:pPr>
      <w:r>
        <w:rPr>
          <w:rFonts w:eastAsia="DejaVu Sans" w:cs="Times New Roman" w:ascii="Times New Roman" w:hAnsi="Times New Roman"/>
          <w:sz w:val="24"/>
          <w:szCs w:val="24"/>
          <w:lang w:eastAsia="zh-CN" w:bidi="hi-IN"/>
        </w:rPr>
        <w:t>- формирование УКИО с возможностью заполнения основных характеристик происшествия или чрезвычайной ситуации (о начале, завершении и об основных результатах реагирования) в соответствующих информационных полях.</w:t>
      </w:r>
    </w:p>
    <w:p>
      <w:pPr>
        <w:pStyle w:val="Normal"/>
        <w:widowControl w:val="false"/>
        <w:tabs>
          <w:tab w:val="clear" w:pos="708"/>
          <w:tab w:val="left" w:pos="1134" w:leader="none"/>
        </w:tabs>
        <w:ind w:firstLine="567"/>
        <w:rPr>
          <w:rFonts w:ascii="Times New Roman" w:hAnsi="Times New Roman" w:eastAsia="DejaVu Sans" w:cs="Times New Roman"/>
          <w:sz w:val="24"/>
          <w:szCs w:val="24"/>
          <w:lang w:eastAsia="zh-CN" w:bidi="hi-IN"/>
        </w:rPr>
      </w:pPr>
      <w:r>
        <w:rPr>
          <w:rFonts w:eastAsia="DejaVu Sans" w:cs="Times New Roman" w:ascii="Times New Roman" w:hAnsi="Times New Roman"/>
          <w:sz w:val="24"/>
          <w:szCs w:val="24"/>
          <w:lang w:eastAsia="zh-CN" w:bidi="hi-IN"/>
        </w:rPr>
        <w:t>WEB-интерфейс состоит из приложения «Рабочее место центра обслуживания вызовов», предназначенного для автоматизации деятельности операторов (далее по тексту — РМ Оператора, РМО) при обслуживании вызовов.</w:t>
      </w:r>
    </w:p>
    <w:p>
      <w:pPr>
        <w:pStyle w:val="Normal"/>
        <w:widowControl w:val="false"/>
        <w:tabs>
          <w:tab w:val="clear" w:pos="708"/>
          <w:tab w:val="left" w:pos="1134" w:leader="none"/>
        </w:tabs>
        <w:ind w:firstLine="567"/>
        <w:rPr>
          <w:rFonts w:ascii="Times New Roman" w:hAnsi="Times New Roman" w:eastAsia="DejaVu Sans" w:cs="Times New Roman"/>
          <w:sz w:val="24"/>
          <w:szCs w:val="24"/>
          <w:lang w:eastAsia="zh-CN" w:bidi="hi-IN"/>
        </w:rPr>
      </w:pPr>
      <w:r>
        <w:rPr>
          <w:rFonts w:eastAsia="DejaVu Sans" w:cs="Times New Roman" w:ascii="Times New Roman" w:hAnsi="Times New Roman"/>
          <w:sz w:val="24"/>
          <w:szCs w:val="24"/>
          <w:lang w:eastAsia="zh-CN" w:bidi="hi-IN"/>
        </w:rPr>
        <w:t>РМО обладает следующими функциональными возможностями:</w:t>
      </w:r>
    </w:p>
    <w:p>
      <w:pPr>
        <w:pStyle w:val="Normal"/>
        <w:widowControl w:val="false"/>
        <w:tabs>
          <w:tab w:val="clear" w:pos="708"/>
          <w:tab w:val="left" w:pos="1134" w:leader="none"/>
        </w:tabs>
        <w:ind w:firstLine="567"/>
        <w:rPr>
          <w:rFonts w:ascii="Times New Roman" w:hAnsi="Times New Roman" w:eastAsia="DejaVu Sans" w:cs="Times New Roman"/>
          <w:sz w:val="24"/>
          <w:szCs w:val="24"/>
          <w:lang w:eastAsia="zh-CN" w:bidi="hi-IN"/>
        </w:rPr>
      </w:pPr>
      <w:r>
        <w:rPr>
          <w:rFonts w:eastAsia="DejaVu Sans" w:cs="Times New Roman" w:ascii="Times New Roman" w:hAnsi="Times New Roman"/>
          <w:sz w:val="24"/>
          <w:szCs w:val="24"/>
          <w:lang w:eastAsia="zh-CN" w:bidi="hi-IN"/>
        </w:rPr>
        <w:t xml:space="preserve">- осуществлять обслуживание поступающих на систему вызовов, в том числе и от старшего оператора; </w:t>
      </w:r>
    </w:p>
    <w:p>
      <w:pPr>
        <w:pStyle w:val="Normal"/>
        <w:widowControl w:val="false"/>
        <w:tabs>
          <w:tab w:val="clear" w:pos="708"/>
          <w:tab w:val="left" w:pos="1134" w:leader="none"/>
        </w:tabs>
        <w:ind w:firstLine="567"/>
        <w:rPr>
          <w:rFonts w:ascii="Times New Roman" w:hAnsi="Times New Roman" w:eastAsia="DejaVu Sans" w:cs="Times New Roman"/>
          <w:sz w:val="24"/>
          <w:szCs w:val="24"/>
          <w:lang w:eastAsia="zh-CN" w:bidi="hi-IN"/>
        </w:rPr>
      </w:pPr>
      <w:r>
        <w:rPr>
          <w:rFonts w:eastAsia="DejaVu Sans" w:cs="Times New Roman" w:ascii="Times New Roman" w:hAnsi="Times New Roman"/>
          <w:sz w:val="24"/>
          <w:szCs w:val="24"/>
          <w:lang w:eastAsia="zh-CN" w:bidi="hi-IN"/>
        </w:rPr>
        <w:t xml:space="preserve">- совершать исходящие вызовы на службу, группу, другого оператора или ТФОП; </w:t>
      </w:r>
    </w:p>
    <w:p>
      <w:pPr>
        <w:pStyle w:val="Normal"/>
        <w:widowControl w:val="false"/>
        <w:tabs>
          <w:tab w:val="clear" w:pos="708"/>
          <w:tab w:val="left" w:pos="1134" w:leader="none"/>
        </w:tabs>
        <w:ind w:firstLine="567"/>
        <w:rPr>
          <w:rFonts w:ascii="Times New Roman" w:hAnsi="Times New Roman" w:eastAsia="DejaVu Sans" w:cs="Times New Roman"/>
          <w:sz w:val="24"/>
          <w:szCs w:val="24"/>
          <w:lang w:eastAsia="zh-CN" w:bidi="hi-IN"/>
        </w:rPr>
      </w:pPr>
      <w:r>
        <w:rPr>
          <w:rFonts w:eastAsia="DejaVu Sans" w:cs="Times New Roman" w:ascii="Times New Roman" w:hAnsi="Times New Roman"/>
          <w:sz w:val="24"/>
          <w:szCs w:val="24"/>
          <w:lang w:eastAsia="zh-CN" w:bidi="hi-IN"/>
        </w:rPr>
        <w:t xml:space="preserve">- создавать конференции; </w:t>
      </w:r>
    </w:p>
    <w:p>
      <w:pPr>
        <w:pStyle w:val="Normal"/>
        <w:widowControl w:val="false"/>
        <w:tabs>
          <w:tab w:val="clear" w:pos="708"/>
          <w:tab w:val="left" w:pos="1134" w:leader="none"/>
        </w:tabs>
        <w:ind w:firstLine="567"/>
        <w:rPr>
          <w:rFonts w:ascii="Times New Roman" w:hAnsi="Times New Roman" w:eastAsia="DejaVu Sans" w:cs="Times New Roman"/>
          <w:sz w:val="24"/>
          <w:szCs w:val="24"/>
          <w:lang w:eastAsia="zh-CN" w:bidi="hi-IN"/>
        </w:rPr>
      </w:pPr>
      <w:r>
        <w:rPr>
          <w:rFonts w:eastAsia="DejaVu Sans" w:cs="Times New Roman" w:ascii="Times New Roman" w:hAnsi="Times New Roman"/>
          <w:sz w:val="24"/>
          <w:szCs w:val="24"/>
          <w:lang w:eastAsia="zh-CN" w:bidi="hi-IN"/>
        </w:rPr>
        <w:t xml:space="preserve">- получать консультации во время обслуживания вызова; </w:t>
      </w:r>
    </w:p>
    <w:p>
      <w:pPr>
        <w:pStyle w:val="Normal"/>
        <w:widowControl w:val="false"/>
        <w:tabs>
          <w:tab w:val="clear" w:pos="708"/>
          <w:tab w:val="left" w:pos="1134" w:leader="none"/>
        </w:tabs>
        <w:ind w:firstLine="567"/>
        <w:rPr>
          <w:rFonts w:ascii="Times New Roman" w:hAnsi="Times New Roman" w:eastAsia="DejaVu Sans" w:cs="Times New Roman"/>
          <w:sz w:val="24"/>
          <w:szCs w:val="24"/>
          <w:lang w:eastAsia="zh-CN" w:bidi="hi-IN"/>
        </w:rPr>
      </w:pPr>
      <w:r>
        <w:rPr>
          <w:rFonts w:eastAsia="DejaVu Sans" w:cs="Times New Roman" w:ascii="Times New Roman" w:hAnsi="Times New Roman"/>
          <w:sz w:val="24"/>
          <w:szCs w:val="24"/>
          <w:lang w:eastAsia="zh-CN" w:bidi="hi-IN"/>
        </w:rPr>
        <w:t xml:space="preserve">- выполнять постановку абонента на удержание; </w:t>
      </w:r>
    </w:p>
    <w:p>
      <w:pPr>
        <w:pStyle w:val="Normal"/>
        <w:widowControl w:val="false"/>
        <w:tabs>
          <w:tab w:val="clear" w:pos="708"/>
          <w:tab w:val="left" w:pos="1134" w:leader="none"/>
        </w:tabs>
        <w:ind w:firstLine="567"/>
        <w:rPr>
          <w:rFonts w:ascii="Times New Roman" w:hAnsi="Times New Roman" w:eastAsia="DejaVu Sans" w:cs="Times New Roman"/>
          <w:sz w:val="24"/>
          <w:szCs w:val="24"/>
          <w:lang w:eastAsia="zh-CN" w:bidi="hi-IN"/>
        </w:rPr>
      </w:pPr>
      <w:r>
        <w:rPr>
          <w:rFonts w:eastAsia="DejaVu Sans" w:cs="Times New Roman" w:ascii="Times New Roman" w:hAnsi="Times New Roman"/>
          <w:sz w:val="24"/>
          <w:szCs w:val="24"/>
          <w:lang w:eastAsia="zh-CN" w:bidi="hi-IN"/>
        </w:rPr>
        <w:t>- осуществлять блокирование/разблокирование рабочего места.</w:t>
      </w:r>
    </w:p>
    <w:p>
      <w:pPr>
        <w:pStyle w:val="Normal"/>
        <w:widowControl w:val="false"/>
        <w:tabs>
          <w:tab w:val="clear" w:pos="708"/>
          <w:tab w:val="left" w:pos="1134" w:leader="none"/>
        </w:tabs>
        <w:ind w:firstLine="567"/>
        <w:rPr>
          <w:rFonts w:ascii="Times New Roman" w:hAnsi="Times New Roman" w:eastAsia="DejaVu Sans" w:cs="Times New Roman"/>
          <w:sz w:val="24"/>
          <w:szCs w:val="24"/>
          <w:lang w:eastAsia="zh-CN" w:bidi="hi-IN"/>
        </w:rPr>
      </w:pPr>
      <w:r>
        <w:rPr>
          <w:rFonts w:eastAsia="DejaVu Sans" w:cs="Times New Roman" w:ascii="Times New Roman" w:hAnsi="Times New Roman"/>
          <w:sz w:val="24"/>
          <w:szCs w:val="24"/>
          <w:lang w:eastAsia="zh-CN" w:bidi="hi-IN"/>
        </w:rPr>
      </w:r>
    </w:p>
    <w:p>
      <w:pPr>
        <w:pStyle w:val="Normal"/>
        <w:widowControl w:val="false"/>
        <w:tabs>
          <w:tab w:val="clear" w:pos="708"/>
          <w:tab w:val="left" w:pos="1134" w:leader="none"/>
        </w:tabs>
        <w:ind w:firstLine="567"/>
        <w:rPr>
          <w:rFonts w:ascii="Times New Roman" w:hAnsi="Times New Roman" w:eastAsia="DejaVu Sans" w:cs="Times New Roman"/>
          <w:sz w:val="24"/>
          <w:szCs w:val="24"/>
          <w:lang w:eastAsia="zh-CN" w:bidi="hi-IN"/>
        </w:rPr>
      </w:pPr>
      <w:r>
        <w:rPr>
          <w:rFonts w:eastAsia="DejaVu Sans" w:cs="Times New Roman" w:ascii="Times New Roman" w:hAnsi="Times New Roman"/>
          <w:sz w:val="24"/>
          <w:szCs w:val="24"/>
          <w:lang w:eastAsia="zh-CN" w:bidi="hi-IN"/>
        </w:rPr>
        <w:t xml:space="preserve">Рабочее окно WEB-интерфейса разделено на две логические части: </w:t>
      </w:r>
    </w:p>
    <w:p>
      <w:pPr>
        <w:pStyle w:val="Normal"/>
        <w:widowControl w:val="false"/>
        <w:tabs>
          <w:tab w:val="clear" w:pos="708"/>
          <w:tab w:val="left" w:pos="1134" w:leader="none"/>
        </w:tabs>
        <w:ind w:firstLine="567"/>
        <w:rPr>
          <w:rFonts w:ascii="Times New Roman" w:hAnsi="Times New Roman" w:eastAsia="DejaVu Sans" w:cs="Times New Roman"/>
          <w:sz w:val="24"/>
          <w:szCs w:val="24"/>
          <w:lang w:eastAsia="zh-CN" w:bidi="hi-IN"/>
        </w:rPr>
      </w:pPr>
      <w:r>
        <w:rPr>
          <w:rFonts w:eastAsia="DejaVu Sans" w:cs="Times New Roman" w:ascii="Times New Roman" w:hAnsi="Times New Roman"/>
          <w:sz w:val="24"/>
          <w:szCs w:val="24"/>
          <w:lang w:eastAsia="zh-CN" w:bidi="hi-IN"/>
        </w:rPr>
        <w:t>- панель управления (расположена в верхней строке интерфейса);</w:t>
      </w:r>
    </w:p>
    <w:p>
      <w:pPr>
        <w:pStyle w:val="Normal"/>
        <w:widowControl w:val="false"/>
        <w:tabs>
          <w:tab w:val="clear" w:pos="708"/>
          <w:tab w:val="left" w:pos="1134" w:leader="none"/>
        </w:tabs>
        <w:ind w:firstLine="567"/>
        <w:rPr>
          <w:rFonts w:ascii="Times New Roman" w:hAnsi="Times New Roman" w:eastAsia="DejaVu Sans" w:cs="Times New Roman"/>
          <w:sz w:val="24"/>
          <w:szCs w:val="24"/>
          <w:lang w:eastAsia="zh-CN" w:bidi="hi-IN"/>
        </w:rPr>
      </w:pPr>
      <w:r>
        <w:rPr>
          <w:rFonts w:eastAsia="DejaVu Sans" w:cs="Times New Roman" w:ascii="Times New Roman" w:hAnsi="Times New Roman"/>
          <w:sz w:val="24"/>
          <w:szCs w:val="24"/>
          <w:lang w:eastAsia="zh-CN" w:bidi="hi-IN"/>
        </w:rPr>
        <w:t>- область работы с виджетами (расположена в нижней части интерфейса).</w:t>
      </w:r>
    </w:p>
    <w:p>
      <w:pPr>
        <w:pStyle w:val="Normal"/>
        <w:widowControl w:val="false"/>
        <w:tabs>
          <w:tab w:val="clear" w:pos="708"/>
          <w:tab w:val="left" w:pos="1134" w:leader="none"/>
        </w:tabs>
        <w:ind w:firstLine="567"/>
        <w:rPr>
          <w:rFonts w:ascii="Times New Roman" w:hAnsi="Times New Roman" w:eastAsia="DejaVu Sans" w:cs="Times New Roman"/>
          <w:sz w:val="24"/>
          <w:szCs w:val="24"/>
          <w:lang w:eastAsia="zh-CN" w:bidi="hi-IN"/>
        </w:rPr>
      </w:pPr>
      <w:r>
        <w:rPr>
          <w:rFonts w:eastAsia="DejaVu Sans" w:cs="Times New Roman" w:ascii="Times New Roman" w:hAnsi="Times New Roman"/>
          <w:sz w:val="24"/>
          <w:szCs w:val="24"/>
          <w:lang w:eastAsia="zh-CN" w:bidi="hi-IN"/>
        </w:rPr>
      </w:r>
    </w:p>
    <w:p>
      <w:pPr>
        <w:pStyle w:val="Normal"/>
        <w:widowControl w:val="false"/>
        <w:tabs>
          <w:tab w:val="clear" w:pos="708"/>
          <w:tab w:val="left" w:pos="1134" w:leader="none"/>
        </w:tabs>
        <w:ind w:firstLine="567"/>
        <w:rPr>
          <w:rFonts w:ascii="Times New Roman" w:hAnsi="Times New Roman" w:eastAsia="DejaVu Sans" w:cs="Times New Roman"/>
          <w:sz w:val="24"/>
          <w:szCs w:val="24"/>
          <w:lang w:eastAsia="zh-CN" w:bidi="hi-IN"/>
        </w:rPr>
      </w:pPr>
      <w:r>
        <w:rPr>
          <w:rFonts w:eastAsia="DejaVu Sans" w:cs="Times New Roman" w:ascii="Times New Roman" w:hAnsi="Times New Roman"/>
          <w:sz w:val="24"/>
          <w:szCs w:val="24"/>
          <w:lang w:eastAsia="zh-CN" w:bidi="hi-IN"/>
        </w:rPr>
        <w:t>На панели управления WEB-интерфейсом располагаются следующие функциональные элементы:</w:t>
      </w:r>
    </w:p>
    <w:p>
      <w:pPr>
        <w:pStyle w:val="Normal"/>
        <w:widowControl w:val="false"/>
        <w:tabs>
          <w:tab w:val="clear" w:pos="708"/>
          <w:tab w:val="left" w:pos="1134" w:leader="none"/>
        </w:tabs>
        <w:ind w:firstLine="567"/>
        <w:rPr>
          <w:rFonts w:ascii="Times New Roman" w:hAnsi="Times New Roman" w:eastAsia="DejaVu Sans" w:cs="Times New Roman"/>
          <w:sz w:val="24"/>
          <w:szCs w:val="24"/>
          <w:lang w:eastAsia="zh-CN" w:bidi="hi-IN"/>
        </w:rPr>
      </w:pPr>
      <w:r>
        <w:rPr>
          <w:rFonts w:eastAsia="DejaVu Sans" w:cs="Times New Roman" w:ascii="Times New Roman" w:hAnsi="Times New Roman"/>
          <w:sz w:val="24"/>
          <w:szCs w:val="24"/>
          <w:lang w:eastAsia="zh-CN" w:bidi="hi-IN"/>
        </w:rPr>
        <w:t>- кнопка, отображающая состояние оператора;</w:t>
      </w:r>
    </w:p>
    <w:p>
      <w:pPr>
        <w:pStyle w:val="Normal"/>
        <w:widowControl w:val="false"/>
        <w:tabs>
          <w:tab w:val="clear" w:pos="708"/>
          <w:tab w:val="left" w:pos="1134" w:leader="none"/>
        </w:tabs>
        <w:ind w:firstLine="567"/>
        <w:rPr>
          <w:rFonts w:ascii="Times New Roman" w:hAnsi="Times New Roman" w:eastAsia="DejaVu Sans" w:cs="Times New Roman"/>
          <w:sz w:val="24"/>
          <w:szCs w:val="24"/>
          <w:lang w:eastAsia="zh-CN" w:bidi="hi-IN"/>
        </w:rPr>
      </w:pPr>
      <w:r>
        <w:rPr>
          <w:rFonts w:eastAsia="DejaVu Sans" w:cs="Times New Roman" w:ascii="Times New Roman" w:hAnsi="Times New Roman"/>
          <w:sz w:val="24"/>
          <w:szCs w:val="24"/>
          <w:lang w:eastAsia="zh-CN" w:bidi="hi-IN"/>
        </w:rPr>
        <w:t>- вкладки рабочих столов — позволяют осуществлять быструю навигацию между рабочими столами оператора;</w:t>
      </w:r>
    </w:p>
    <w:p>
      <w:pPr>
        <w:pStyle w:val="Normal"/>
        <w:widowControl w:val="false"/>
        <w:tabs>
          <w:tab w:val="clear" w:pos="708"/>
          <w:tab w:val="left" w:pos="1134" w:leader="none"/>
        </w:tabs>
        <w:ind w:firstLine="567"/>
        <w:rPr>
          <w:rFonts w:ascii="Times New Roman" w:hAnsi="Times New Roman" w:eastAsia="DejaVu Sans" w:cs="Times New Roman"/>
          <w:sz w:val="24"/>
          <w:szCs w:val="24"/>
          <w:lang w:eastAsia="zh-CN" w:bidi="hi-IN"/>
        </w:rPr>
      </w:pPr>
      <w:r>
        <w:rPr>
          <w:rFonts w:eastAsia="DejaVu Sans" w:cs="Times New Roman" w:ascii="Times New Roman" w:hAnsi="Times New Roman"/>
          <w:sz w:val="24"/>
          <w:szCs w:val="24"/>
          <w:lang w:eastAsia="zh-CN" w:bidi="hi-IN"/>
        </w:rPr>
        <w:t xml:space="preserve">- экранная кнопка, которая позволяет открыть окно с внутренними чатами оператора; </w:t>
      </w:r>
    </w:p>
    <w:p>
      <w:pPr>
        <w:pStyle w:val="Normal"/>
        <w:widowControl w:val="false"/>
        <w:tabs>
          <w:tab w:val="clear" w:pos="708"/>
          <w:tab w:val="left" w:pos="1134" w:leader="none"/>
        </w:tabs>
        <w:ind w:firstLine="567"/>
        <w:rPr>
          <w:rFonts w:ascii="Times New Roman" w:hAnsi="Times New Roman" w:eastAsia="DejaVu Sans" w:cs="Times New Roman"/>
          <w:sz w:val="24"/>
          <w:szCs w:val="24"/>
          <w:lang w:eastAsia="zh-CN" w:bidi="hi-IN"/>
        </w:rPr>
      </w:pPr>
      <w:r>
        <w:rPr>
          <w:rFonts w:eastAsia="DejaVu Sans" w:cs="Times New Roman" w:ascii="Times New Roman" w:hAnsi="Times New Roman"/>
          <w:sz w:val="24"/>
          <w:szCs w:val="24"/>
          <w:lang w:eastAsia="zh-CN" w:bidi="hi-IN"/>
        </w:rPr>
        <w:t>- экранная кнопка, которая позволяет включить/выключить микрофон во время разговора;</w:t>
      </w:r>
    </w:p>
    <w:p>
      <w:pPr>
        <w:pStyle w:val="Normal"/>
        <w:widowControl w:val="false"/>
        <w:tabs>
          <w:tab w:val="clear" w:pos="708"/>
          <w:tab w:val="left" w:pos="1134" w:leader="none"/>
        </w:tabs>
        <w:ind w:firstLine="567"/>
        <w:rPr>
          <w:rFonts w:ascii="Times New Roman" w:hAnsi="Times New Roman" w:eastAsia="DejaVu Sans" w:cs="Times New Roman"/>
          <w:sz w:val="24"/>
          <w:szCs w:val="24"/>
          <w:lang w:eastAsia="zh-CN" w:bidi="hi-IN"/>
        </w:rPr>
      </w:pPr>
      <w:r>
        <w:rPr>
          <w:rFonts w:eastAsia="DejaVu Sans" w:cs="Times New Roman" w:ascii="Times New Roman" w:hAnsi="Times New Roman"/>
          <w:sz w:val="24"/>
          <w:szCs w:val="24"/>
          <w:lang w:eastAsia="zh-CN" w:bidi="hi-IN"/>
        </w:rPr>
        <w:t>- строка-логин с иконкой и номером учетной записи пользователя в системе, предоставляющая возможность оператору открыть меню.</w:t>
      </w:r>
    </w:p>
    <w:p>
      <w:pPr>
        <w:pStyle w:val="Normal"/>
        <w:widowControl w:val="false"/>
        <w:tabs>
          <w:tab w:val="clear" w:pos="708"/>
          <w:tab w:val="left" w:pos="1134" w:leader="none"/>
        </w:tabs>
        <w:ind w:firstLine="567"/>
        <w:rPr>
          <w:rFonts w:ascii="Times New Roman" w:hAnsi="Times New Roman" w:eastAsia="DejaVu Sans" w:cs="Times New Roman"/>
          <w:sz w:val="24"/>
          <w:szCs w:val="24"/>
          <w:lang w:eastAsia="zh-CN" w:bidi="hi-IN"/>
        </w:rPr>
      </w:pPr>
      <w:r>
        <w:rPr>
          <w:rFonts w:eastAsia="DejaVu Sans" w:cs="Times New Roman" w:ascii="Times New Roman" w:hAnsi="Times New Roman"/>
          <w:sz w:val="24"/>
          <w:szCs w:val="24"/>
          <w:lang w:eastAsia="zh-CN" w:bidi="hi-IN"/>
        </w:rPr>
        <w:t>Меню содержит активные ссылки для перехода к следующим разделам:</w:t>
      </w:r>
    </w:p>
    <w:p>
      <w:pPr>
        <w:pStyle w:val="Normal"/>
        <w:widowControl w:val="false"/>
        <w:tabs>
          <w:tab w:val="clear" w:pos="708"/>
          <w:tab w:val="left" w:pos="1134" w:leader="none"/>
        </w:tabs>
        <w:ind w:firstLine="567"/>
        <w:rPr>
          <w:rFonts w:ascii="Times New Roman" w:hAnsi="Times New Roman" w:eastAsia="DejaVu Sans" w:cs="Times New Roman"/>
          <w:sz w:val="24"/>
          <w:szCs w:val="24"/>
          <w:lang w:eastAsia="zh-CN" w:bidi="hi-IN"/>
        </w:rPr>
      </w:pPr>
      <w:r>
        <w:rPr>
          <w:rFonts w:eastAsia="DejaVu Sans" w:cs="Times New Roman" w:ascii="Times New Roman" w:hAnsi="Times New Roman"/>
          <w:sz w:val="24"/>
          <w:szCs w:val="24"/>
          <w:lang w:eastAsia="zh-CN" w:bidi="hi-IN"/>
        </w:rPr>
        <w:t xml:space="preserve">- Включить/Отключить редактор — переход в раздел настройки рабочих столов; </w:t>
      </w:r>
    </w:p>
    <w:p>
      <w:pPr>
        <w:pStyle w:val="Normal"/>
        <w:widowControl w:val="false"/>
        <w:tabs>
          <w:tab w:val="clear" w:pos="708"/>
          <w:tab w:val="left" w:pos="1134" w:leader="none"/>
        </w:tabs>
        <w:ind w:firstLine="567"/>
        <w:rPr>
          <w:rFonts w:ascii="Times New Roman" w:hAnsi="Times New Roman" w:eastAsia="DejaVu Sans" w:cs="Times New Roman"/>
          <w:sz w:val="24"/>
          <w:szCs w:val="24"/>
          <w:lang w:eastAsia="zh-CN" w:bidi="hi-IN"/>
        </w:rPr>
      </w:pPr>
      <w:r>
        <w:rPr>
          <w:rFonts w:eastAsia="DejaVu Sans" w:cs="Times New Roman" w:ascii="Times New Roman" w:hAnsi="Times New Roman"/>
          <w:sz w:val="24"/>
          <w:szCs w:val="24"/>
          <w:lang w:eastAsia="zh-CN" w:bidi="hi-IN"/>
        </w:rPr>
        <w:t xml:space="preserve">- Горячие клавиши — открывает окно, в котором можно произвести настройку и посмотреть информацию о сочетании клавиш клавиатуры, позволяющих осуществлять быстрый доступ к основным функциям системы; </w:t>
      </w:r>
    </w:p>
    <w:p>
      <w:pPr>
        <w:pStyle w:val="Normal"/>
        <w:widowControl w:val="false"/>
        <w:tabs>
          <w:tab w:val="clear" w:pos="708"/>
          <w:tab w:val="left" w:pos="1134" w:leader="none"/>
        </w:tabs>
        <w:ind w:firstLine="567"/>
        <w:rPr>
          <w:rFonts w:ascii="Times New Roman" w:hAnsi="Times New Roman" w:eastAsia="DejaVu Sans" w:cs="Times New Roman"/>
          <w:sz w:val="24"/>
          <w:szCs w:val="24"/>
          <w:lang w:eastAsia="zh-CN" w:bidi="hi-IN"/>
        </w:rPr>
      </w:pPr>
      <w:r>
        <w:rPr>
          <w:rFonts w:eastAsia="DejaVu Sans" w:cs="Times New Roman" w:ascii="Times New Roman" w:hAnsi="Times New Roman"/>
          <w:sz w:val="24"/>
          <w:szCs w:val="24"/>
          <w:lang w:eastAsia="zh-CN" w:bidi="hi-IN"/>
        </w:rPr>
        <w:t xml:space="preserve">- Информация о РМО — открывает окно, в котором можно посмотреть полную справочную информацию о рабочем месте оператора; </w:t>
      </w:r>
    </w:p>
    <w:p>
      <w:pPr>
        <w:pStyle w:val="Normal"/>
        <w:widowControl w:val="false"/>
        <w:tabs>
          <w:tab w:val="clear" w:pos="708"/>
          <w:tab w:val="left" w:pos="1134" w:leader="none"/>
        </w:tabs>
        <w:ind w:firstLine="567"/>
        <w:rPr>
          <w:rFonts w:ascii="Times New Roman" w:hAnsi="Times New Roman" w:eastAsia="DejaVu Sans" w:cs="Times New Roman"/>
          <w:sz w:val="24"/>
          <w:szCs w:val="24"/>
          <w:lang w:eastAsia="zh-CN" w:bidi="hi-IN"/>
        </w:rPr>
      </w:pPr>
      <w:r>
        <w:rPr>
          <w:rFonts w:eastAsia="DejaVu Sans" w:cs="Times New Roman" w:ascii="Times New Roman" w:hAnsi="Times New Roman"/>
          <w:sz w:val="24"/>
          <w:szCs w:val="24"/>
          <w:lang w:eastAsia="zh-CN" w:bidi="hi-IN"/>
        </w:rPr>
        <w:t>- Выйти из системы — выход из учётной записи пользователя, завершение сеанса и переход на страницу авторизации.</w:t>
      </w:r>
    </w:p>
    <w:p>
      <w:pPr>
        <w:pStyle w:val="Normal"/>
        <w:widowControl w:val="false"/>
        <w:tabs>
          <w:tab w:val="clear" w:pos="708"/>
          <w:tab w:val="left" w:pos="1134" w:leader="none"/>
        </w:tabs>
        <w:ind w:firstLine="567"/>
        <w:rPr>
          <w:rFonts w:ascii="Times New Roman" w:hAnsi="Times New Roman" w:eastAsia="DejaVu Sans" w:cs="Times New Roman"/>
          <w:sz w:val="24"/>
          <w:szCs w:val="24"/>
          <w:lang w:eastAsia="zh-CN" w:bidi="hi-IN"/>
        </w:rPr>
      </w:pPr>
      <w:r>
        <w:rPr>
          <w:rFonts w:eastAsia="DejaVu Sans" w:cs="Times New Roman" w:ascii="Times New Roman" w:hAnsi="Times New Roman"/>
          <w:sz w:val="24"/>
          <w:szCs w:val="24"/>
          <w:lang w:eastAsia="zh-CN" w:bidi="hi-IN"/>
        </w:rPr>
      </w:r>
    </w:p>
    <w:p>
      <w:pPr>
        <w:pStyle w:val="Normal"/>
        <w:widowControl w:val="false"/>
        <w:tabs>
          <w:tab w:val="clear" w:pos="708"/>
          <w:tab w:val="left" w:pos="1134" w:leader="none"/>
        </w:tabs>
        <w:ind w:firstLine="567"/>
        <w:rPr>
          <w:rFonts w:ascii="Times New Roman" w:hAnsi="Times New Roman" w:eastAsia="DejaVu Sans" w:cs="Times New Roman"/>
          <w:sz w:val="24"/>
          <w:szCs w:val="24"/>
          <w:lang w:eastAsia="zh-CN" w:bidi="hi-IN"/>
        </w:rPr>
      </w:pPr>
      <w:r>
        <w:rPr>
          <w:rFonts w:eastAsia="DejaVu Sans" w:cs="Times New Roman" w:ascii="Times New Roman" w:hAnsi="Times New Roman"/>
          <w:sz w:val="24"/>
          <w:szCs w:val="24"/>
          <w:lang w:eastAsia="zh-CN" w:bidi="hi-IN"/>
        </w:rPr>
        <w:t>WEB-интерфейсом содержит следующие виджеты:</w:t>
      </w:r>
    </w:p>
    <w:p>
      <w:pPr>
        <w:pStyle w:val="Normal"/>
        <w:widowControl w:val="false"/>
        <w:tabs>
          <w:tab w:val="clear" w:pos="708"/>
          <w:tab w:val="left" w:pos="1134" w:leader="none"/>
        </w:tabs>
        <w:ind w:firstLine="567"/>
        <w:rPr>
          <w:rFonts w:ascii="Times New Roman" w:hAnsi="Times New Roman" w:eastAsia="DejaVu Sans" w:cs="Times New Roman"/>
          <w:sz w:val="24"/>
          <w:szCs w:val="24"/>
          <w:lang w:eastAsia="zh-CN" w:bidi="hi-IN"/>
        </w:rPr>
      </w:pPr>
      <w:r>
        <w:rPr>
          <w:rFonts w:eastAsia="DejaVu Sans" w:cs="Times New Roman" w:ascii="Times New Roman" w:hAnsi="Times New Roman"/>
          <w:sz w:val="24"/>
          <w:szCs w:val="24"/>
          <w:lang w:eastAsia="zh-CN" w:bidi="hi-IN"/>
        </w:rPr>
        <w:t>- Виджет «Управление активностями»;</w:t>
      </w:r>
    </w:p>
    <w:p>
      <w:pPr>
        <w:pStyle w:val="Normal"/>
        <w:widowControl w:val="false"/>
        <w:tabs>
          <w:tab w:val="clear" w:pos="708"/>
          <w:tab w:val="left" w:pos="1134" w:leader="none"/>
        </w:tabs>
        <w:ind w:firstLine="567"/>
        <w:rPr>
          <w:rFonts w:ascii="Times New Roman" w:hAnsi="Times New Roman" w:eastAsia="DejaVu Sans" w:cs="Times New Roman"/>
          <w:sz w:val="24"/>
          <w:szCs w:val="24"/>
          <w:lang w:eastAsia="zh-CN" w:bidi="hi-IN"/>
        </w:rPr>
      </w:pPr>
      <w:r>
        <w:rPr>
          <w:rFonts w:eastAsia="DejaVu Sans" w:cs="Times New Roman" w:ascii="Times New Roman" w:hAnsi="Times New Roman"/>
          <w:sz w:val="24"/>
          <w:szCs w:val="24"/>
          <w:lang w:eastAsia="zh-CN" w:bidi="hi-IN"/>
        </w:rPr>
        <w:t>- Виджет «Работы с УКИО».</w:t>
      </w:r>
    </w:p>
    <w:p>
      <w:pPr>
        <w:pStyle w:val="Normal"/>
        <w:widowControl w:val="false"/>
        <w:tabs>
          <w:tab w:val="clear" w:pos="708"/>
          <w:tab w:val="left" w:pos="1134" w:leader="none"/>
        </w:tabs>
        <w:ind w:firstLine="567"/>
        <w:rPr>
          <w:rFonts w:ascii="Times New Roman" w:hAnsi="Times New Roman" w:eastAsia="DejaVu Sans" w:cs="Times New Roman"/>
          <w:sz w:val="24"/>
          <w:szCs w:val="24"/>
          <w:lang w:eastAsia="zh-CN" w:bidi="hi-IN"/>
        </w:rPr>
      </w:pPr>
      <w:r>
        <w:rPr>
          <w:rFonts w:eastAsia="DejaVu Sans" w:cs="Times New Roman" w:ascii="Times New Roman" w:hAnsi="Times New Roman"/>
          <w:sz w:val="24"/>
          <w:szCs w:val="24"/>
          <w:lang w:eastAsia="zh-CN" w:bidi="hi-IN"/>
        </w:rPr>
        <w:t>Виджет «Управление активностями» обеспечивает возможность обработки вызовов: прием входящего вызова, отклонение вызова, перенаправление вызова, приостановка вызова, получение консультации и организация конференции.</w:t>
      </w:r>
    </w:p>
    <w:p>
      <w:pPr>
        <w:pStyle w:val="Normal"/>
        <w:widowControl w:val="false"/>
        <w:tabs>
          <w:tab w:val="clear" w:pos="708"/>
          <w:tab w:val="left" w:pos="1134" w:leader="none"/>
        </w:tabs>
        <w:ind w:firstLine="567"/>
        <w:rPr>
          <w:rFonts w:ascii="Times New Roman" w:hAnsi="Times New Roman" w:eastAsia="DejaVu Sans" w:cs="Times New Roman"/>
          <w:sz w:val="24"/>
          <w:szCs w:val="24"/>
          <w:lang w:eastAsia="zh-CN" w:bidi="hi-IN"/>
        </w:rPr>
      </w:pPr>
      <w:r>
        <w:rPr>
          <w:rFonts w:eastAsia="DejaVu Sans" w:cs="Times New Roman" w:ascii="Times New Roman" w:hAnsi="Times New Roman"/>
          <w:sz w:val="24"/>
          <w:szCs w:val="24"/>
          <w:lang w:eastAsia="zh-CN" w:bidi="hi-IN"/>
        </w:rPr>
        <w:t xml:space="preserve">Виджет «Управление активностями» содержит следующие области: </w:t>
      </w:r>
    </w:p>
    <w:p>
      <w:pPr>
        <w:pStyle w:val="Normal"/>
        <w:widowControl w:val="false"/>
        <w:tabs>
          <w:tab w:val="clear" w:pos="708"/>
          <w:tab w:val="left" w:pos="1134" w:leader="none"/>
        </w:tabs>
        <w:ind w:firstLine="567"/>
        <w:rPr>
          <w:rFonts w:ascii="Times New Roman" w:hAnsi="Times New Roman" w:eastAsia="DejaVu Sans" w:cs="Times New Roman"/>
          <w:sz w:val="24"/>
          <w:szCs w:val="24"/>
          <w:lang w:eastAsia="zh-CN" w:bidi="hi-IN"/>
        </w:rPr>
      </w:pPr>
      <w:r>
        <w:rPr>
          <w:rFonts w:eastAsia="DejaVu Sans" w:cs="Times New Roman" w:ascii="Times New Roman" w:hAnsi="Times New Roman"/>
          <w:sz w:val="24"/>
          <w:szCs w:val="24"/>
          <w:lang w:eastAsia="zh-CN" w:bidi="hi-IN"/>
        </w:rPr>
        <w:t>- Статус оператора;</w:t>
      </w:r>
    </w:p>
    <w:p>
      <w:pPr>
        <w:pStyle w:val="Normal"/>
        <w:widowControl w:val="false"/>
        <w:tabs>
          <w:tab w:val="clear" w:pos="708"/>
          <w:tab w:val="left" w:pos="1134" w:leader="none"/>
        </w:tabs>
        <w:ind w:firstLine="567"/>
        <w:rPr>
          <w:rFonts w:ascii="Times New Roman" w:hAnsi="Times New Roman" w:eastAsia="DejaVu Sans" w:cs="Times New Roman"/>
          <w:sz w:val="24"/>
          <w:szCs w:val="24"/>
          <w:lang w:eastAsia="zh-CN" w:bidi="hi-IN"/>
        </w:rPr>
      </w:pPr>
      <w:r>
        <w:rPr>
          <w:rFonts w:eastAsia="DejaVu Sans" w:cs="Times New Roman" w:ascii="Times New Roman" w:hAnsi="Times New Roman"/>
          <w:sz w:val="24"/>
          <w:szCs w:val="24"/>
          <w:lang w:eastAsia="zh-CN" w:bidi="hi-IN"/>
        </w:rPr>
        <w:t xml:space="preserve">- Абонент — информация о номере вызываемой/вызывающей стороны, группе операторов и услуге; </w:t>
      </w:r>
    </w:p>
    <w:p>
      <w:pPr>
        <w:pStyle w:val="Normal"/>
        <w:widowControl w:val="false"/>
        <w:tabs>
          <w:tab w:val="clear" w:pos="708"/>
          <w:tab w:val="left" w:pos="1134" w:leader="none"/>
        </w:tabs>
        <w:ind w:firstLine="567"/>
        <w:rPr>
          <w:rFonts w:ascii="Times New Roman" w:hAnsi="Times New Roman" w:eastAsia="DejaVu Sans" w:cs="Times New Roman"/>
          <w:sz w:val="24"/>
          <w:szCs w:val="24"/>
          <w:lang w:eastAsia="zh-CN" w:bidi="hi-IN"/>
        </w:rPr>
      </w:pPr>
      <w:r>
        <w:rPr>
          <w:rFonts w:eastAsia="DejaVu Sans" w:cs="Times New Roman" w:ascii="Times New Roman" w:hAnsi="Times New Roman"/>
          <w:sz w:val="24"/>
          <w:szCs w:val="24"/>
          <w:lang w:eastAsia="zh-CN" w:bidi="hi-IN"/>
        </w:rPr>
        <w:t>- Управление вызовами — управление входящими и исходящими вызовами.</w:t>
      </w:r>
    </w:p>
    <w:p>
      <w:pPr>
        <w:pStyle w:val="Normal"/>
        <w:widowControl w:val="false"/>
        <w:tabs>
          <w:tab w:val="clear" w:pos="708"/>
          <w:tab w:val="left" w:pos="1134" w:leader="none"/>
        </w:tabs>
        <w:ind w:firstLine="567"/>
        <w:rPr>
          <w:rFonts w:ascii="Times New Roman" w:hAnsi="Times New Roman" w:eastAsia="DejaVu Sans" w:cs="Times New Roman"/>
          <w:sz w:val="24"/>
          <w:szCs w:val="24"/>
          <w:lang w:eastAsia="zh-CN" w:bidi="hi-IN"/>
        </w:rPr>
      </w:pPr>
      <w:r>
        <w:rPr>
          <w:rFonts w:eastAsia="DejaVu Sans" w:cs="Times New Roman" w:ascii="Times New Roman" w:hAnsi="Times New Roman"/>
          <w:sz w:val="24"/>
          <w:szCs w:val="24"/>
          <w:lang w:eastAsia="zh-CN" w:bidi="hi-IN"/>
        </w:rPr>
        <w:t>Виджет «Работы с УКИО» отображает информацию для просмотра и работы с УКИО, содержит список всех обращений, элементы для сортировки и экранные кнопки для настройки.</w:t>
      </w:r>
    </w:p>
    <w:p>
      <w:pPr>
        <w:pStyle w:val="Normal"/>
        <w:widowControl w:val="false"/>
        <w:tabs>
          <w:tab w:val="clear" w:pos="708"/>
          <w:tab w:val="left" w:pos="1134" w:leader="none"/>
        </w:tabs>
        <w:ind w:firstLine="425" w:start="142"/>
        <w:rPr>
          <w:rFonts w:ascii="Times New Roman" w:hAnsi="Times New Roman" w:eastAsia="DejaVu Sans" w:cs="Times New Roman"/>
          <w:sz w:val="24"/>
          <w:szCs w:val="24"/>
          <w:lang w:eastAsia="zh-CN" w:bidi="hi-IN"/>
        </w:rPr>
      </w:pPr>
      <w:r>
        <w:rPr>
          <w:rFonts w:eastAsia="DejaVu Sans" w:cs="Times New Roman" w:ascii="Times New Roman" w:hAnsi="Times New Roman"/>
          <w:sz w:val="24"/>
          <w:szCs w:val="24"/>
          <w:lang w:eastAsia="zh-CN" w:bidi="hi-IN"/>
        </w:rPr>
        <w:t>УКИО имеет единую для всех диспетчерских служб общую информационную часть, включающую в том числе данные от ЭРА-ГЛОНАСС и специальную часть для организации межведомственного информационного обмена с каждой экстренной оперативной службой с учетом специфики привлекаемых сил и обрабатываемых запросов.</w:t>
      </w:r>
    </w:p>
    <w:p>
      <w:pPr>
        <w:pStyle w:val="Normal"/>
        <w:widowControl w:val="false"/>
        <w:tabs>
          <w:tab w:val="clear" w:pos="708"/>
          <w:tab w:val="left" w:pos="1134" w:leader="none"/>
        </w:tabs>
        <w:ind w:firstLine="425" w:start="142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DejaVu Sans" w:cs="Times New Roman" w:ascii="Times New Roman" w:hAnsi="Times New Roman"/>
          <w:sz w:val="24"/>
          <w:szCs w:val="24"/>
          <w:lang w:eastAsia="zh-CN" w:bidi="hi-IN"/>
        </w:rPr>
        <w:t>Информационные поля УКИО соответствуют требованиям законодательства Российской Федерации.</w:t>
      </w:r>
    </w:p>
    <w:p>
      <w:pPr>
        <w:pStyle w:val="Normal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  <w:bookmarkStart w:id="28" w:name="_Toc474341653_Копия_1"/>
      <w:bookmarkStart w:id="29" w:name="_Toc177034223_Копия_1"/>
      <w:bookmarkStart w:id="30" w:name="_Toc177034222_Копия_1"/>
      <w:bookmarkStart w:id="31" w:name="_Toc476319058_Копия_1"/>
      <w:bookmarkStart w:id="32" w:name="_Toc476909152_Копия_1"/>
      <w:bookmarkStart w:id="33" w:name="_Toc474500454_Копия_1"/>
      <w:bookmarkStart w:id="34" w:name="_Toc474341652_Копия_1"/>
      <w:bookmarkStart w:id="35" w:name="_Toc57273893_Копия_1"/>
      <w:bookmarkStart w:id="36" w:name="_Toc474341653_Копия_1"/>
      <w:bookmarkStart w:id="37" w:name="_Toc177034223_Копия_1"/>
      <w:bookmarkStart w:id="38" w:name="_Toc177034222_Копия_1"/>
      <w:bookmarkStart w:id="39" w:name="_Toc476319058_Копия_1"/>
      <w:bookmarkStart w:id="40" w:name="_Toc476909152_Копия_1"/>
      <w:bookmarkStart w:id="41" w:name="_Toc474500454_Копия_1"/>
      <w:bookmarkStart w:id="42" w:name="_Toc474341652_Копия_1"/>
      <w:bookmarkStart w:id="43" w:name="_Toc57273893_Копия_1"/>
      <w:bookmarkEnd w:id="36"/>
      <w:bookmarkEnd w:id="37"/>
      <w:bookmarkEnd w:id="38"/>
      <w:bookmarkEnd w:id="39"/>
      <w:bookmarkEnd w:id="40"/>
      <w:bookmarkEnd w:id="41"/>
      <w:bookmarkEnd w:id="42"/>
      <w:bookmarkEnd w:id="43"/>
    </w:p>
    <w:p>
      <w:pPr>
        <w:pStyle w:val="Normal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10.2. </w:t>
      </w: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Предоставление модифицированных версий СПО-112</w:t>
      </w:r>
    </w:p>
    <w:p>
      <w:pPr>
        <w:pStyle w:val="Normal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Под данным видом услуги понимается предоставление Заказчику модифицированной версии СПО-112, включающей исправления дефектов функциональности («скрытых» ошибок) и/или реализованные Исполнителем по его инициативе дополнения/совершенствования функциональности Системы-112:</w:t>
      </w:r>
    </w:p>
    <w:p>
      <w:pPr>
        <w:pStyle w:val="Normal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- Исполнитель обязан предоставлять Заказчику модифицированные версии СПО-112 по факту их выпуска (по мере определения необходимости выпуска);</w:t>
      </w:r>
    </w:p>
    <w:p>
      <w:pPr>
        <w:pStyle w:val="Normal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 xml:space="preserve">- Заказчик предоставляет доступ к серверам и АРМ для установки обновлений; </w:t>
      </w:r>
    </w:p>
    <w:p>
      <w:pPr>
        <w:pStyle w:val="Normal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- Исполнитель производит установку обновлений на серверах и АРМ Заказчика;</w:t>
      </w:r>
    </w:p>
    <w:p>
      <w:pPr>
        <w:pStyle w:val="Normal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- Исполнитель обязан предоставлять пакет обновленной эксплуатационной документации в составе модифицированной версии, при её наличии;</w:t>
      </w:r>
    </w:p>
    <w:p>
      <w:pPr>
        <w:pStyle w:val="NormalWeb"/>
        <w:spacing w:beforeAutospacing="0" w:before="0" w:afterAutospacing="0" w:after="0"/>
        <w:ind w:firstLine="708"/>
        <w:jc w:val="both"/>
        <w:rPr/>
      </w:pPr>
      <w:r>
        <w:rPr/>
        <w:t>- </w:t>
      </w:r>
      <w:r>
        <w:rPr>
          <w:color w:val="000000"/>
        </w:rPr>
        <w:t>Исполнитель</w:t>
      </w:r>
      <w:r>
        <w:rPr/>
        <w:t xml:space="preserve"> </w:t>
      </w:r>
      <w:r>
        <w:rPr>
          <w:color w:val="000000"/>
        </w:rPr>
        <w:t>обязан</w:t>
      </w:r>
      <w:r>
        <w:rPr/>
        <w:t xml:space="preserve"> провести для операторского и диспетчерского персонала инструктаж о новых функциональных возможностях (дополнениях/совершенствованиях) в работе СПО (порядок и сроки проведения инструктажа согласуются с Заказчиком).</w:t>
      </w:r>
    </w:p>
    <w:p>
      <w:pPr>
        <w:pStyle w:val="Normal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Доступ обеспечивается с использованием криптографических средств защиты информации;</w:t>
      </w:r>
    </w:p>
    <w:p>
      <w:pPr>
        <w:pStyle w:val="Normal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Исполнитель обязан уведомлять Заказчика о выпуске модифицированной версии СПО-112 по предусмотренным договором каналам связи.</w:t>
      </w:r>
    </w:p>
    <w:p>
      <w:pPr>
        <w:pStyle w:val="Normal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10.2.1. </w:t>
      </w: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Предоставление плановых модифицированных версий СПО-112</w:t>
      </w:r>
    </w:p>
    <w:p>
      <w:pPr>
        <w:pStyle w:val="NormalWeb"/>
        <w:spacing w:beforeAutospacing="0" w:before="0" w:afterAutospacing="0" w:after="0"/>
        <w:ind w:firstLine="720"/>
        <w:jc w:val="both"/>
        <w:rPr/>
      </w:pPr>
      <w:r>
        <w:rPr/>
        <w:t>Модификация СПО в целях обеспечения цикла полного технического сопровождения должна быть реализована с учетом существующей архитектуры СПО и в рамках ограничений, установленных структурой программного продукта.</w:t>
      </w:r>
    </w:p>
    <w:p>
      <w:pPr>
        <w:pStyle w:val="NormalWeb"/>
        <w:spacing w:beforeAutospacing="0" w:before="0" w:afterAutospacing="0" w:after="0"/>
        <w:ind w:firstLine="720"/>
        <w:jc w:val="both"/>
        <w:rPr/>
      </w:pPr>
      <w:r>
        <w:rPr/>
        <w:t>С целью надлежащего оказания данного вида услуг Исполнитель или привлекаемый им соисполнитель должен (ы) выполнять следующие действия:</w:t>
      </w:r>
    </w:p>
    <w:p>
      <w:pPr>
        <w:pStyle w:val="NormalWeb"/>
        <w:spacing w:beforeAutospacing="0" w:before="0" w:afterAutospacing="0" w:after="0"/>
        <w:ind w:firstLine="708"/>
        <w:jc w:val="both"/>
        <w:rPr/>
      </w:pPr>
      <w:r>
        <w:rPr/>
        <w:t>- организовать взаимодействие с производителями СПО по вопросам относительно планов выпуска плановых модифицированных версий СПО не реже одного раза в месяц (срок может быть изменен по согласованию с Заказчиком);</w:t>
      </w:r>
    </w:p>
    <w:p>
      <w:pPr>
        <w:pStyle w:val="NormalWeb"/>
        <w:spacing w:beforeAutospacing="0" w:before="0" w:afterAutospacing="0" w:after="0"/>
        <w:ind w:firstLine="708"/>
        <w:jc w:val="both"/>
        <w:rPr/>
      </w:pPr>
      <w:r>
        <w:rPr/>
        <w:t>- провести оценку совместимости плановой модифицированной версии СПО с текущей программной средой и аппаратным обеспечением Системы-112;</w:t>
      </w:r>
    </w:p>
    <w:p>
      <w:pPr>
        <w:pStyle w:val="NormalWeb"/>
        <w:spacing w:beforeAutospacing="0" w:before="0" w:afterAutospacing="0" w:after="0"/>
        <w:ind w:firstLine="708"/>
        <w:jc w:val="both"/>
        <w:rPr/>
      </w:pPr>
      <w:r>
        <w:rPr/>
        <w:t>- обеспечить за свой счет приобретение плановых модифицированных версий СПО в течение 30 (тридцати пяти) календарных дней с момента получения от производителя СПО информации о выпуске плановой модифицированной версии СПО.</w:t>
      </w:r>
    </w:p>
    <w:p>
      <w:pPr>
        <w:pStyle w:val="NormalWeb"/>
        <w:spacing w:beforeAutospacing="0" w:before="0" w:afterAutospacing="0" w:after="0"/>
        <w:ind w:firstLine="720"/>
        <w:jc w:val="both"/>
        <w:rPr/>
      </w:pPr>
      <w:r>
        <w:rPr/>
        <w:t>В случае, если информация о выпуске плановой модифицированной версии СПО получена Исполнителем в течение исполнения последнего отчетного периода по Договору, то Исполнитель обязан обеспечить её приобретение и установку (в т.ч. исполнение мероприятий, предусмотренных в нижеперечисленных пунктах настоящего раздела) в сроки, не превышающие сроки оказания услуг по отчетному периоду, а также выполнить следующие мероприятия:</w:t>
      </w:r>
    </w:p>
    <w:p>
      <w:pPr>
        <w:pStyle w:val="Normal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 организовать для Заказчика демонстрацию функционирования плановых модифицированных версий СПО в порядке;</w:t>
      </w:r>
    </w:p>
    <w:p>
      <w:pPr>
        <w:pStyle w:val="NormalWeb"/>
        <w:spacing w:beforeAutospacing="0" w:before="0" w:afterAutospacing="0" w:after="0"/>
        <w:ind w:firstLine="708"/>
        <w:jc w:val="both"/>
        <w:rPr/>
      </w:pPr>
      <w:r>
        <w:rPr/>
        <w:t>- разработать и направить на согласование Заказчику План внедрения плановой модифицированной версии СПО (далее – План);</w:t>
      </w:r>
    </w:p>
    <w:p>
      <w:pPr>
        <w:pStyle w:val="NormalWeb"/>
        <w:spacing w:beforeAutospacing="0" w:before="0" w:afterAutospacing="0" w:after="0"/>
        <w:ind w:firstLine="708"/>
        <w:jc w:val="both"/>
        <w:rPr/>
      </w:pPr>
      <w:r>
        <w:rPr/>
        <w:t>- осуществить установку плановой модифицированной версии в соответствии с согласованным Сторонами Планом.</w:t>
      </w:r>
    </w:p>
    <w:p>
      <w:pPr>
        <w:pStyle w:val="Normal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10.2.2. </w:t>
      </w: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Предоставление внеплановых модифицированных версий СПО-112</w:t>
      </w:r>
    </w:p>
    <w:p>
      <w:pPr>
        <w:pStyle w:val="Normal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Модифицированные версии СПО формируются Исполнителем или привлекаемый им соисполнителем по результатам рассмотрения обращений о проблемах в работе СПО, созданным Заказчиком с использованием одного из трех каналом связи (электронная почта, телефон, </w:t>
      </w:r>
      <w:r>
        <w:rPr>
          <w:rFonts w:cs="Times New Roman" w:ascii="Times New Roman" w:hAnsi="Times New Roman"/>
          <w:sz w:val="24"/>
          <w:szCs w:val="24"/>
          <w:lang w:val="en-US"/>
        </w:rPr>
        <w:t>CRM</w:t>
      </w:r>
      <w:r>
        <w:rPr>
          <w:rFonts w:cs="Times New Roman" w:ascii="Times New Roman" w:hAnsi="Times New Roman"/>
          <w:sz w:val="24"/>
          <w:szCs w:val="24"/>
        </w:rPr>
        <w:t>-система).</w:t>
      </w:r>
    </w:p>
    <w:p>
      <w:pPr>
        <w:pStyle w:val="Normal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При формировании модифицированной версии СПО Исполнитель или привлекаемый им соисполнитель должен (ы) самостоятельно оценить объем и трудоемкость модификации, а также определить влияние вносимых изменений на целостность и бесперебойность функционирования программных компонентов СПО, в том числе его интеграционных модулей.</w:t>
      </w:r>
    </w:p>
    <w:p>
      <w:pPr>
        <w:pStyle w:val="ListParagraph"/>
        <w:ind w:firstLine="720" w:start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Количество модификаций, предоставляемых Исполнителем не ограничено и зависит от результатов, проведенного им анализа обращений Заказчика о проблеме(ах) в работе СПО.</w:t>
      </w:r>
    </w:p>
    <w:p>
      <w:pPr>
        <w:pStyle w:val="ListParagraph"/>
        <w:ind w:firstLine="720" w:start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Сроки выпуска модифицированных версий СПО устанавливаются в зависимости от </w:t>
      </w:r>
      <w:bookmarkStart w:id="44" w:name="_Hlk189058858"/>
      <w:r>
        <w:rPr>
          <w:rFonts w:cs="Times New Roman" w:ascii="Times New Roman" w:hAnsi="Times New Roman"/>
          <w:sz w:val="24"/>
          <w:szCs w:val="24"/>
        </w:rPr>
        <w:t>степени приоритета обращения согласно параметрам, установленным в пункте 9.2 настоящего Технического задания.</w:t>
      </w:r>
      <w:bookmarkEnd w:id="44"/>
    </w:p>
    <w:p>
      <w:pPr>
        <w:pStyle w:val="StandardWW"/>
        <w:spacing w:before="0" w:after="0"/>
        <w:ind w:firstLine="72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Этапы процесса предоставления внеплановых модифицированных версий СПО:</w:t>
      </w:r>
    </w:p>
    <w:tbl>
      <w:tblPr>
        <w:tblW w:w="9351" w:type="dxa"/>
        <w:jc w:val="start"/>
        <w:tblInd w:w="103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2262"/>
        <w:gridCol w:w="4394"/>
        <w:gridCol w:w="2695"/>
      </w:tblGrid>
      <w:tr>
        <w:trPr/>
        <w:tc>
          <w:tcPr>
            <w:tcW w:w="226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StandardWW"/>
              <w:spacing w:before="0" w:after="0"/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Вводные данные</w:t>
            </w:r>
          </w:p>
        </w:tc>
        <w:tc>
          <w:tcPr>
            <w:tcW w:w="439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StandardWW"/>
              <w:spacing w:before="0" w:after="0"/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Действия, совершаемые Исполнителем</w:t>
            </w:r>
          </w:p>
        </w:tc>
        <w:tc>
          <w:tcPr>
            <w:tcW w:w="269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StandardWW"/>
              <w:spacing w:before="0" w:after="0"/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Выходные данные</w:t>
            </w:r>
          </w:p>
        </w:tc>
      </w:tr>
      <w:tr>
        <w:trPr/>
        <w:tc>
          <w:tcPr>
            <w:tcW w:w="226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StandardWW"/>
              <w:spacing w:before="0" w:after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Обращение о проблеме в работе СПО. Обращение создается Заказчиком с использованием одного из трех каналов связи (электронная почта, телефон, </w:t>
            </w:r>
            <w:r>
              <w:rPr>
                <w:rFonts w:cs="Times New Roman"/>
                <w:sz w:val="20"/>
                <w:szCs w:val="20"/>
                <w:lang w:val="en-US"/>
              </w:rPr>
              <w:t>CRM</w:t>
            </w:r>
            <w:r>
              <w:rPr>
                <w:rFonts w:cs="Times New Roman"/>
                <w:sz w:val="20"/>
                <w:szCs w:val="20"/>
              </w:rPr>
              <w:t>-система)</w:t>
            </w:r>
          </w:p>
        </w:tc>
        <w:tc>
          <w:tcPr>
            <w:tcW w:w="439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StandardWW"/>
              <w:spacing w:before="0" w:after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Анализ дефектов (ошибок, сбоев) в работе СПО.</w:t>
            </w:r>
          </w:p>
          <w:p>
            <w:pPr>
              <w:pStyle w:val="StandardWW"/>
              <w:spacing w:before="0" w:after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Исполнитель в рамках анализа дефекта (ошибки, сбоя) должен:</w:t>
            </w:r>
          </w:p>
          <w:p>
            <w:pPr>
              <w:pStyle w:val="StandardWW"/>
              <w:spacing w:before="0" w:after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- Проверить наличие дефекта (ошибки, сбоя), при необходимости продублировать её на тестовой среде (рабочий базовый комплект);</w:t>
            </w:r>
          </w:p>
          <w:p>
            <w:pPr>
              <w:pStyle w:val="StandardWW"/>
              <w:spacing w:before="0" w:after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- Разработать вариант(ы) реализации модификации СПО;</w:t>
            </w:r>
          </w:p>
          <w:p>
            <w:pPr>
              <w:pStyle w:val="StandardWW"/>
              <w:spacing w:before="0" w:after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- Провести ведомственное согласование внутри структурных подразделений Исполнителя, Соисполнителя (при наличии) вариант(ов) модификации и утвердить итоговый вариант.</w:t>
            </w:r>
          </w:p>
        </w:tc>
        <w:tc>
          <w:tcPr>
            <w:tcW w:w="269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StandardWW"/>
              <w:spacing w:before="0" w:after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Подтверждение (не подтверждение) ошибки или дефекта.</w:t>
            </w:r>
          </w:p>
          <w:p>
            <w:pPr>
              <w:pStyle w:val="StandardWW"/>
              <w:spacing w:before="0" w:after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</w:r>
          </w:p>
          <w:p>
            <w:pPr>
              <w:pStyle w:val="StandardWW"/>
              <w:spacing w:before="0" w:after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При подтверждении – выбор итогового варианта модификации СПО.</w:t>
            </w:r>
          </w:p>
        </w:tc>
      </w:tr>
      <w:tr>
        <w:trPr/>
        <w:tc>
          <w:tcPr>
            <w:tcW w:w="226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StandardWW"/>
              <w:spacing w:before="0" w:after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Принятые предложения о модификации СПО</w:t>
            </w:r>
          </w:p>
        </w:tc>
        <w:tc>
          <w:tcPr>
            <w:tcW w:w="439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StandardWW"/>
              <w:spacing w:before="0" w:after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Реализация модификации СПО.</w:t>
            </w:r>
          </w:p>
          <w:p>
            <w:pPr>
              <w:pStyle w:val="StandardWW"/>
              <w:spacing w:before="0" w:after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При выполнении действий по модификации СПО Исполнитель, соисполнитель (при наличии) разрабатывает и тестирует конкретную(ые) модификацию(и) СПО.</w:t>
            </w:r>
          </w:p>
          <w:p>
            <w:pPr>
              <w:pStyle w:val="StandardWW"/>
              <w:spacing w:before="0" w:after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Тестирование модификации осуществляется Исполнителем с использование рабочего базового комплекта.</w:t>
            </w:r>
          </w:p>
        </w:tc>
        <w:tc>
          <w:tcPr>
            <w:tcW w:w="269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StandardWW"/>
              <w:spacing w:before="0" w:after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Реализованные и задокументированные изменения (при необходимости внесения данных изменений в эксплуатационную документацию)</w:t>
            </w:r>
          </w:p>
        </w:tc>
      </w:tr>
      <w:tr>
        <w:trPr/>
        <w:tc>
          <w:tcPr>
            <w:tcW w:w="226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StandardWW"/>
              <w:spacing w:before="0" w:after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Проведенные модификации СПО, их документирование</w:t>
            </w:r>
          </w:p>
        </w:tc>
        <w:tc>
          <w:tcPr>
            <w:tcW w:w="439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StandardWW"/>
              <w:spacing w:before="0" w:after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Завершение тестирования модификации(й) СПО и подтверждение его(их) соответствия по устранению дефекта (ошибки, сбоя)</w:t>
            </w:r>
          </w:p>
        </w:tc>
        <w:tc>
          <w:tcPr>
            <w:tcW w:w="269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StandardWW"/>
              <w:spacing w:before="0" w:after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Информирование Заказчика о выпуске внеплановой модифицированной версии СПО</w:t>
            </w:r>
          </w:p>
        </w:tc>
      </w:tr>
      <w:tr>
        <w:trPr/>
        <w:tc>
          <w:tcPr>
            <w:tcW w:w="226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StandardWW"/>
              <w:spacing w:before="0" w:after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Установка модифицированной версии</w:t>
            </w:r>
          </w:p>
        </w:tc>
        <w:tc>
          <w:tcPr>
            <w:tcW w:w="439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StandardWW"/>
              <w:spacing w:before="0" w:after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Исполнитель производит установку модифицированных версий СПО на серверах и АРМ Заказчика, также Исполнитель может предоставить дистрибутив и инструкции для обновления СПО АРМ силами и средствами Заказчика. Заказчик предоставляет доступ к серверам для установки модифицированных версий СПО. Доступ обеспечивается с использованием криптографических средств защиты информации.</w:t>
            </w:r>
          </w:p>
          <w:p>
            <w:pPr>
              <w:pStyle w:val="StandardWW"/>
              <w:spacing w:before="0" w:after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</w:r>
          </w:p>
          <w:p>
            <w:pPr>
              <w:pStyle w:val="StandardWW"/>
              <w:spacing w:before="0" w:after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При необходимости Исполнитель дополнительно разрабатывает Миграционный план для обеспечения бесперебойного функционирования СПО.</w:t>
            </w:r>
          </w:p>
        </w:tc>
        <w:tc>
          <w:tcPr>
            <w:tcW w:w="269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StandardWW"/>
              <w:spacing w:before="0" w:after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Информирование Заказчика об устранении дефекта (ошибки, сбоя) в работе СПО.</w:t>
            </w:r>
          </w:p>
          <w:p>
            <w:pPr>
              <w:pStyle w:val="StandardWW"/>
              <w:spacing w:before="0" w:after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Предоставление обновленной эксплуатационной документации в составе модифицированной версии СПО (при необходимости).</w:t>
            </w:r>
          </w:p>
        </w:tc>
      </w:tr>
      <w:tr>
        <w:trPr/>
        <w:tc>
          <w:tcPr>
            <w:tcW w:w="226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StandardWW"/>
              <w:spacing w:before="0" w:after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Техническое сопровождение модифицированной версии СПО</w:t>
            </w:r>
          </w:p>
        </w:tc>
        <w:tc>
          <w:tcPr>
            <w:tcW w:w="439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StandardWW"/>
              <w:spacing w:before="0" w:after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Исполнитель в течение общего срока оказания услуг осуществляет техническое сопровождение сервисов и компонентов СПО, в которых используются установленные им внеплановые модифицированные версии СПО</w:t>
            </w:r>
          </w:p>
        </w:tc>
        <w:tc>
          <w:tcPr>
            <w:tcW w:w="269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StandardWW"/>
              <w:spacing w:before="0" w:after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Оказание Заказчику услуги полного технического сопровождения в порядке, предусмотренном настоящим Техническим заданием</w:t>
            </w:r>
          </w:p>
        </w:tc>
      </w:tr>
    </w:tbl>
    <w:p>
      <w:pPr>
        <w:pStyle w:val="Normal"/>
        <w:rPr>
          <w:rFonts w:ascii="Times New Roman" w:hAnsi="Times New Roman" w:cs="Times New Roman"/>
          <w:bCs/>
        </w:rPr>
      </w:pPr>
      <w:r>
        <w:rPr>
          <w:rFonts w:cs="Times New Roman" w:ascii="Times New Roman" w:hAnsi="Times New Roman"/>
          <w:bCs/>
        </w:rPr>
      </w:r>
    </w:p>
    <w:p>
      <w:pPr>
        <w:pStyle w:val="13"/>
        <w:spacing w:before="0" w:after="0"/>
        <w:ind w:firstLine="700" w:start="0"/>
        <w:contextualSpacing w:val="false"/>
        <w:jc w:val="both"/>
        <w:rPr>
          <w:rFonts w:eastAsia="Calibri" w:eastAsiaTheme="minorHAnsi"/>
          <w:color w:val="auto"/>
          <w:kern w:val="0"/>
        </w:rPr>
      </w:pPr>
      <w:r>
        <w:rPr>
          <w:rFonts w:eastAsia="Calibri" w:eastAsiaTheme="minorHAnsi"/>
          <w:b/>
          <w:color w:val="auto"/>
          <w:kern w:val="0"/>
        </w:rPr>
        <w:t>11. </w:t>
      </w:r>
      <w:r>
        <w:rPr>
          <w:b/>
        </w:rPr>
        <w:t>Требование к проведению планово-профилактических работ</w:t>
      </w:r>
    </w:p>
    <w:p>
      <w:pPr>
        <w:pStyle w:val="Normal"/>
        <w:ind w:firstLine="709"/>
        <w:rPr>
          <w:rFonts w:ascii="Times New Roman" w:hAnsi="Times New Roman" w:eastAsia="Calibri" w:cs="Times New Roman"/>
          <w:color w:val="000000"/>
          <w:sz w:val="24"/>
          <w:szCs w:val="24"/>
        </w:rPr>
      </w:pPr>
      <w:r>
        <w:rPr>
          <w:rFonts w:eastAsia="Calibri" w:cs="Times New Roman" w:ascii="Times New Roman" w:hAnsi="Times New Roman" w:eastAsiaTheme="minorHAnsi"/>
          <w:sz w:val="24"/>
          <w:szCs w:val="24"/>
        </w:rPr>
        <w:t xml:space="preserve">Под </w:t>
      </w:r>
      <w:r>
        <w:rPr>
          <w:rFonts w:cs="Times New Roman" w:ascii="Times New Roman" w:hAnsi="Times New Roman"/>
          <w:sz w:val="24"/>
          <w:szCs w:val="24"/>
        </w:rPr>
        <w:t xml:space="preserve">планово-профилактическими работами понимается </w:t>
      </w:r>
      <w:r>
        <w:rPr>
          <w:rFonts w:eastAsia="Calibri" w:cs="Times New Roman" w:ascii="Times New Roman" w:hAnsi="Times New Roman"/>
          <w:color w:val="000000"/>
          <w:sz w:val="24"/>
          <w:szCs w:val="24"/>
        </w:rPr>
        <w:t>оценка работоспособности оборудования и ПО Системы-112, а также выявление, ликвидация и предотвращение возможных сбоев в работе Системы-112 для устойчивого функционирования СПО-112.</w:t>
      </w:r>
    </w:p>
    <w:p>
      <w:pPr>
        <w:pStyle w:val="13"/>
        <w:spacing w:before="0" w:after="0"/>
        <w:ind w:firstLine="700" w:start="0"/>
        <w:contextualSpacing w:val="false"/>
        <w:jc w:val="both"/>
        <w:rPr>
          <w:rFonts w:eastAsia="Calibri"/>
          <w:color w:val="000000"/>
        </w:rPr>
      </w:pPr>
      <w:r>
        <w:rPr/>
        <w:t>Исполнитель обеспечивает проведение планово-профилактических работ по поддержанию Системы-112 в актуальном рабочем состоянии (</w:t>
      </w:r>
      <w:r>
        <w:rPr>
          <w:color w:val="000000"/>
          <w:kern w:val="2"/>
        </w:rPr>
        <w:t>диагностика и мониторинг с целью установления фактов ошибок в работе Системы-112, с последующим их устранением).</w:t>
      </w:r>
    </w:p>
    <w:p>
      <w:pPr>
        <w:pStyle w:val="13"/>
        <w:spacing w:before="0" w:after="0"/>
        <w:ind w:firstLine="700" w:start="0"/>
        <w:contextualSpacing w:val="false"/>
        <w:jc w:val="both"/>
        <w:rPr>
          <w:rFonts w:eastAsia="Calibri"/>
          <w:color w:val="000000"/>
        </w:rPr>
      </w:pPr>
      <w:r>
        <w:rPr>
          <w:kern w:val="2"/>
        </w:rPr>
        <w:t xml:space="preserve">Исполнитель осуществляет периодический (удаленный или очный) контроль работоспособности </w:t>
      </w:r>
      <w:r>
        <w:rPr>
          <w:rFonts w:eastAsia="Calibri"/>
          <w:color w:val="000000"/>
        </w:rPr>
        <w:t>оборудования и ПО Системы-112</w:t>
      </w:r>
      <w:r>
        <w:rPr/>
        <w:t>, в том числе</w:t>
      </w:r>
      <w:r>
        <w:rPr>
          <w:rFonts w:eastAsia="Calibri"/>
          <w:color w:val="000000"/>
        </w:rPr>
        <w:t xml:space="preserve"> контроль функционирования подсистем Системы-112.</w:t>
      </w:r>
    </w:p>
    <w:p>
      <w:pPr>
        <w:pStyle w:val="13"/>
        <w:spacing w:before="0" w:after="0"/>
        <w:ind w:firstLine="700" w:start="0"/>
        <w:contextualSpacing w:val="false"/>
        <w:jc w:val="both"/>
        <w:rPr>
          <w:rFonts w:eastAsia="Calibri" w:eastAsiaTheme="minorHAnsi"/>
          <w:color w:val="auto"/>
          <w:kern w:val="0"/>
        </w:rPr>
      </w:pPr>
      <w:r>
        <w:rPr>
          <w:rFonts w:eastAsia="Calibri" w:eastAsiaTheme="minorHAnsi"/>
          <w:color w:val="auto"/>
          <w:kern w:val="0"/>
        </w:rPr>
        <w:t xml:space="preserve">При проведении планово-профилактических работ по поддержанию Системы-112 в рабочем состоянии в рабочее время Исполнитель проводит с согласия Заказчика, при этом выполнение этих работ не должно нарушать работоспособность Системы-112. </w:t>
      </w:r>
    </w:p>
    <w:p>
      <w:pPr>
        <w:pStyle w:val="13"/>
        <w:spacing w:before="0" w:after="0"/>
        <w:ind w:firstLine="700" w:start="0"/>
        <w:contextualSpacing w:val="false"/>
        <w:jc w:val="both"/>
        <w:rPr>
          <w:rFonts w:eastAsia="Calibri" w:eastAsiaTheme="minorHAnsi"/>
          <w:color w:val="auto"/>
          <w:kern w:val="0"/>
        </w:rPr>
      </w:pPr>
      <w:r>
        <w:rPr>
          <w:rFonts w:eastAsia="Calibri" w:eastAsiaTheme="minorHAnsi"/>
          <w:color w:val="auto"/>
          <w:kern w:val="0"/>
        </w:rPr>
        <w:t>При необходимости проведения профилактических работ, связанных с прерыванием работоспособности Системы-112, время и срок выполнения таких работ заблаговременно согласовывается с Заказчиком.</w:t>
      </w:r>
    </w:p>
    <w:p>
      <w:pPr>
        <w:pStyle w:val="13"/>
        <w:spacing w:before="0" w:after="0"/>
        <w:ind w:firstLine="700" w:start="0"/>
        <w:contextualSpacing w:val="false"/>
        <w:jc w:val="both"/>
        <w:rPr>
          <w:rFonts w:eastAsia="Calibri" w:eastAsiaTheme="minorHAnsi"/>
          <w:color w:val="auto"/>
          <w:kern w:val="0"/>
        </w:rPr>
      </w:pPr>
      <w:r>
        <w:rPr>
          <w:rFonts w:eastAsia="Calibri" w:eastAsiaTheme="minorHAnsi"/>
          <w:color w:val="auto"/>
          <w:kern w:val="0"/>
        </w:rPr>
        <w:t>Стороны обязуются уведомлять друг друга о проведении регламентных работ, находящихся в их зоне ответственности, не менее чем за 24 часа.</w:t>
      </w:r>
    </w:p>
    <w:p>
      <w:pPr>
        <w:pStyle w:val="Normal"/>
        <w:ind w:firstLine="709"/>
        <w:rPr>
          <w:rFonts w:ascii="Times New Roman" w:hAnsi="Times New Roman" w:eastAsia="Calibri" w:cs="Times New Roman"/>
          <w:color w:val="000000"/>
          <w:sz w:val="24"/>
          <w:szCs w:val="24"/>
        </w:rPr>
      </w:pPr>
      <w:r>
        <w:rPr>
          <w:rFonts w:eastAsia="Calibri" w:cs="Times New Roman" w:ascii="Times New Roman" w:hAnsi="Times New Roman" w:eastAsiaTheme="minorHAnsi"/>
          <w:sz w:val="24"/>
          <w:szCs w:val="24"/>
        </w:rPr>
        <w:t xml:space="preserve">Планово-профилактические работы </w:t>
      </w:r>
      <w:r>
        <w:rPr>
          <w:rFonts w:eastAsia="Calibri" w:cs="Times New Roman" w:ascii="Times New Roman" w:hAnsi="Times New Roman"/>
          <w:color w:val="000000"/>
          <w:sz w:val="24"/>
          <w:szCs w:val="24"/>
        </w:rPr>
        <w:t xml:space="preserve">проводятся по предварительно согласованному графику не реже 1 раза в 3 месяца, а также срочным – при возникновении критической неполадки или аварийной ситуации, требующей срочного профессионального вмешательства. </w:t>
      </w:r>
    </w:p>
    <w:p>
      <w:pPr>
        <w:pStyle w:val="13"/>
        <w:spacing w:before="0" w:after="0"/>
        <w:ind w:firstLine="700" w:start="0"/>
        <w:contextualSpacing w:val="false"/>
        <w:jc w:val="both"/>
        <w:rPr>
          <w:rFonts w:eastAsia="Calibri" w:eastAsiaTheme="minorHAnsi"/>
          <w:color w:val="auto"/>
          <w:kern w:val="0"/>
        </w:rPr>
      </w:pPr>
      <w:r>
        <w:rPr>
          <w:rFonts w:eastAsia="Calibri" w:eastAsiaTheme="minorHAnsi"/>
          <w:color w:val="auto"/>
          <w:kern w:val="0"/>
        </w:rPr>
        <w:t>Обслуживание и ремонт оборудования (технических средств) Системы-112 осуществляется за счёт Заказчика, за исключением гарантийных случаев, а также если оборудование (технические средства) участвующие в работе Системы-112 состоят на балансе Исполнителя или третьей Стороны.</w:t>
      </w:r>
    </w:p>
    <w:p>
      <w:pPr>
        <w:pStyle w:val="13"/>
        <w:spacing w:before="0" w:after="0"/>
        <w:ind w:firstLine="700" w:start="0"/>
        <w:contextualSpacing w:val="false"/>
        <w:jc w:val="both"/>
        <w:rPr>
          <w:rFonts w:eastAsia="Calibri" w:eastAsiaTheme="minorHAnsi"/>
          <w:color w:val="auto"/>
          <w:kern w:val="0"/>
        </w:rPr>
      </w:pPr>
      <w:r>
        <w:rPr>
          <w:rFonts w:eastAsia="Calibri" w:eastAsiaTheme="minorHAnsi"/>
          <w:color w:val="auto"/>
          <w:kern w:val="0"/>
        </w:rPr>
      </w:r>
    </w:p>
    <w:p>
      <w:pPr>
        <w:pStyle w:val="13"/>
        <w:spacing w:before="0" w:after="0"/>
        <w:ind w:firstLine="700" w:start="0"/>
        <w:contextualSpacing w:val="false"/>
        <w:jc w:val="both"/>
        <w:rPr>
          <w:rFonts w:eastAsia="Calibri" w:eastAsiaTheme="minorHAnsi"/>
          <w:color w:val="auto"/>
          <w:kern w:val="0"/>
        </w:rPr>
      </w:pPr>
      <w:r>
        <w:rPr>
          <w:b/>
          <w:color w:val="auto"/>
        </w:rPr>
        <w:t xml:space="preserve">11.1. Требования к проведению неотложных аварийных работ, проводимых Исполнителем </w:t>
      </w:r>
      <w:r>
        <w:rPr>
          <w:b/>
        </w:rPr>
        <w:t>или Заказчиком</w:t>
      </w:r>
    </w:p>
    <w:p>
      <w:pPr>
        <w:pStyle w:val="Normal"/>
        <w:ind w:firstLine="708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cs="Times New Roman" w:ascii="Times New Roman" w:hAnsi="Times New Roman"/>
          <w:sz w:val="24"/>
          <w:szCs w:val="24"/>
          <w:lang w:eastAsia="zh-CN"/>
        </w:rPr>
        <w:t>Стороны обязуются уведомлять друг друга о проведении неотложных ремонтных работ, находящихся в их зоне ответственности, не менее чем за 1 час.</w:t>
      </w:r>
    </w:p>
    <w:p>
      <w:pPr>
        <w:pStyle w:val="Normal"/>
        <w:ind w:firstLine="708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cs="Times New Roman" w:ascii="Times New Roman" w:hAnsi="Times New Roman"/>
          <w:sz w:val="24"/>
          <w:szCs w:val="24"/>
          <w:lang w:eastAsia="zh-CN"/>
        </w:rPr>
        <w:t>В уведомлении, указывается:</w:t>
      </w:r>
    </w:p>
    <w:p>
      <w:pPr>
        <w:pStyle w:val="Normal"/>
        <w:ind w:firstLine="708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cs="Times New Roman" w:ascii="Times New Roman" w:hAnsi="Times New Roman"/>
          <w:sz w:val="24"/>
          <w:szCs w:val="24"/>
          <w:lang w:eastAsia="zh-CN"/>
        </w:rPr>
        <w:t>- время, дата и продолжительность проведения плановых регламентных работ;</w:t>
      </w:r>
    </w:p>
    <w:p>
      <w:pPr>
        <w:pStyle w:val="Normal"/>
        <w:ind w:firstLine="708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cs="Times New Roman" w:ascii="Times New Roman" w:hAnsi="Times New Roman"/>
          <w:sz w:val="24"/>
          <w:szCs w:val="24"/>
          <w:lang w:eastAsia="zh-CN"/>
        </w:rPr>
        <w:t>- предполагаемая продолжительность недоступности Услуги или ее составляющих;</w:t>
      </w:r>
    </w:p>
    <w:p>
      <w:pPr>
        <w:pStyle w:val="Normal"/>
        <w:ind w:firstLine="708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cs="Times New Roman" w:ascii="Times New Roman" w:hAnsi="Times New Roman"/>
          <w:sz w:val="24"/>
          <w:szCs w:val="24"/>
          <w:lang w:eastAsia="zh-CN"/>
        </w:rPr>
        <w:t>- контактные данные лица, ответственного за предоставление информации о проводимых работах.</w:t>
      </w:r>
    </w:p>
    <w:p>
      <w:pPr>
        <w:pStyle w:val="13"/>
        <w:spacing w:before="0" w:after="0"/>
        <w:ind w:firstLine="700" w:start="0"/>
        <w:contextualSpacing w:val="false"/>
        <w:jc w:val="both"/>
        <w:rPr>
          <w:rFonts w:eastAsia="Calibri" w:eastAsiaTheme="minorHAnsi"/>
          <w:color w:val="auto"/>
          <w:kern w:val="0"/>
        </w:rPr>
      </w:pPr>
      <w:r>
        <w:rPr>
          <w:rFonts w:eastAsia="Calibri" w:eastAsiaTheme="minorHAnsi"/>
          <w:color w:val="auto"/>
          <w:kern w:val="0"/>
        </w:rPr>
      </w:r>
      <w:bookmarkStart w:id="45" w:name="_Toc500340031"/>
      <w:bookmarkStart w:id="46" w:name="_Toc500340031"/>
      <w:bookmarkEnd w:id="46"/>
    </w:p>
    <w:p>
      <w:pPr>
        <w:pStyle w:val="Normal"/>
        <w:ind w:firstLine="709"/>
        <w:rPr>
          <w:rFonts w:ascii="Times New Roman" w:hAnsi="Times New Roman" w:eastAsia="Calibri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12. Требования по сохранности информации при авариях</w:t>
      </w:r>
    </w:p>
    <w:p>
      <w:pPr>
        <w:pStyle w:val="Normal"/>
        <w:ind w:firstLine="709"/>
        <w:rPr>
          <w:rFonts w:ascii="Times New Roman" w:hAnsi="Times New Roman" w:eastAsia="Calibri" w:cs="Times New Roman"/>
          <w:color w:val="000000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</w:rPr>
        <w:t xml:space="preserve">При предоставлении услуги, должна быть обеспечена сохранность информации при возникновении аварийных ситуаций. </w:t>
      </w:r>
    </w:p>
    <w:p>
      <w:pPr>
        <w:pStyle w:val="Normal"/>
        <w:ind w:firstLine="709"/>
        <w:rPr>
          <w:rFonts w:ascii="Times New Roman" w:hAnsi="Times New Roman" w:eastAsia="Calibri" w:cs="Times New Roman"/>
          <w:color w:val="000000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</w:rPr>
        <w:t>В случае возникновения аварии или сбоя в процессе выполнения пользовательских задач должно быть обеспечено восстановление базы данных до состояния, актуального на момент последней завершенной транзакции.</w:t>
      </w:r>
    </w:p>
    <w:p>
      <w:pPr>
        <w:pStyle w:val="Normal"/>
        <w:ind w:firstLine="709"/>
        <w:rPr>
          <w:rFonts w:ascii="Times New Roman" w:hAnsi="Times New Roman" w:eastAsia="Calibri" w:cs="Times New Roman"/>
          <w:color w:val="000000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</w:rPr>
        <w:t xml:space="preserve">В случае повреждения журналов транзакций </w:t>
      </w:r>
      <w:r>
        <w:rPr>
          <w:rFonts w:cs="Times New Roman" w:ascii="Times New Roman" w:hAnsi="Times New Roman"/>
          <w:spacing w:val="-1"/>
          <w:sz w:val="24"/>
          <w:szCs w:val="24"/>
        </w:rPr>
        <w:t>системы управления базами данных</w:t>
      </w:r>
      <w:r>
        <w:rPr>
          <w:rFonts w:eastAsia="Calibri" w:cs="Times New Roman" w:ascii="Times New Roman" w:hAnsi="Times New Roman"/>
          <w:color w:val="000000"/>
          <w:sz w:val="24"/>
          <w:szCs w:val="24"/>
        </w:rPr>
        <w:t xml:space="preserve"> должно обеспечиваться восстановление состояния баз данных на момент создания последней резервной копии данных, но не менее чем за сутки до момента сбоя.</w:t>
      </w:r>
    </w:p>
    <w:p>
      <w:pPr>
        <w:pStyle w:val="Normal"/>
        <w:ind w:firstLine="709"/>
        <w:rPr>
          <w:rFonts w:ascii="Times New Roman" w:hAnsi="Times New Roman" w:eastAsia="Calibri" w:cs="Times New Roman"/>
          <w:color w:val="000000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</w:rPr>
        <w:t>Для сохранности данных при предоставлении услуги должны быть предусмотрены специальные средства сопровождения баз данных, которые обеспечивают:</w:t>
      </w:r>
    </w:p>
    <w:p>
      <w:pPr>
        <w:pStyle w:val="Normal"/>
        <w:ind w:firstLine="709"/>
        <w:rPr>
          <w:rFonts w:ascii="Times New Roman" w:hAnsi="Times New Roman" w:eastAsia="Calibri" w:cs="Times New Roman"/>
          <w:color w:val="000000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</w:rPr>
        <w:t>- </w:t>
      </w:r>
      <w:r>
        <w:rPr>
          <w:rFonts w:eastAsia="Calibri" w:cs="Times New Roman" w:ascii="Times New Roman" w:hAnsi="Times New Roman"/>
          <w:sz w:val="24"/>
          <w:szCs w:val="24"/>
        </w:rPr>
        <w:t>создание резервных копий данных;</w:t>
      </w:r>
    </w:p>
    <w:p>
      <w:pPr>
        <w:pStyle w:val="Normal"/>
        <w:ind w:firstLine="709"/>
        <w:rPr>
          <w:rFonts w:ascii="Times New Roman" w:hAnsi="Times New Roman" w:eastAsia="Calibri" w:cs="Times New Roman"/>
          <w:color w:val="000000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</w:rPr>
        <w:t>- </w:t>
      </w:r>
      <w:r>
        <w:rPr>
          <w:rFonts w:eastAsia="Calibri" w:cs="Times New Roman" w:ascii="Times New Roman" w:hAnsi="Times New Roman"/>
          <w:sz w:val="24"/>
          <w:szCs w:val="24"/>
        </w:rPr>
        <w:t>восстановление данных в целостное состояние посредством резервной копии;</w:t>
      </w:r>
    </w:p>
    <w:p>
      <w:pPr>
        <w:pStyle w:val="Normal"/>
        <w:ind w:firstLine="709"/>
        <w:rPr>
          <w:rFonts w:ascii="Times New Roman" w:hAnsi="Times New Roman" w:eastAsia="Calibri" w:cs="Times New Roman"/>
          <w:color w:val="000000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</w:rPr>
        <w:t>- </w:t>
      </w:r>
      <w:r>
        <w:rPr>
          <w:rFonts w:eastAsia="Calibri" w:cs="Times New Roman" w:ascii="Times New Roman" w:hAnsi="Times New Roman"/>
          <w:sz w:val="24"/>
          <w:szCs w:val="24"/>
        </w:rPr>
        <w:t>создание архива данных;</w:t>
      </w:r>
    </w:p>
    <w:p>
      <w:pPr>
        <w:pStyle w:val="Normal"/>
        <w:ind w:firstLine="709"/>
        <w:rPr>
          <w:rFonts w:ascii="Times New Roman" w:hAnsi="Times New Roman" w:eastAsia="Calibri" w:cs="Times New Roman"/>
          <w:color w:val="000000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</w:rPr>
        <w:t>- </w:t>
      </w:r>
      <w:r>
        <w:rPr>
          <w:rFonts w:eastAsia="Calibri" w:cs="Times New Roman" w:ascii="Times New Roman" w:hAnsi="Times New Roman"/>
          <w:sz w:val="24"/>
          <w:szCs w:val="24"/>
        </w:rPr>
        <w:t>восстановление архива данных.</w:t>
      </w:r>
    </w:p>
    <w:p>
      <w:pPr>
        <w:pStyle w:val="13"/>
        <w:spacing w:before="0" w:after="0"/>
        <w:ind w:firstLine="700" w:start="0"/>
        <w:contextualSpacing w:val="false"/>
        <w:jc w:val="both"/>
        <w:rPr>
          <w:rFonts w:eastAsia="Calibri" w:eastAsiaTheme="minorHAnsi"/>
          <w:color w:val="auto"/>
          <w:kern w:val="0"/>
        </w:rPr>
      </w:pPr>
      <w:r>
        <w:rPr>
          <w:rFonts w:eastAsia="Calibri" w:eastAsiaTheme="minorHAnsi"/>
          <w:color w:val="auto"/>
          <w:kern w:val="0"/>
        </w:rPr>
      </w:r>
    </w:p>
    <w:p>
      <w:pPr>
        <w:pStyle w:val="Normal"/>
        <w:ind w:firstLine="708"/>
        <w:rPr>
          <w:rFonts w:ascii="Times New Roman" w:hAnsi="Times New Roman" w:cs="Times New Roman"/>
          <w:b/>
          <w:sz w:val="24"/>
          <w:szCs w:val="24"/>
          <w:lang w:eastAsia="zh-CN"/>
        </w:rPr>
      </w:pPr>
      <w:bookmarkStart w:id="47" w:name="_Toc57273886"/>
      <w:r>
        <w:rPr>
          <w:rFonts w:cs="Times New Roman" w:ascii="Times New Roman" w:hAnsi="Times New Roman"/>
          <w:b/>
          <w:sz w:val="24"/>
          <w:szCs w:val="24"/>
        </w:rPr>
        <w:t>13. Требования к защите информации от несанкционированного доступа</w:t>
      </w:r>
    </w:p>
    <w:p>
      <w:pPr>
        <w:pStyle w:val="Normal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 осуществлении информационного взаимодействия в рамках предоставления услуги Стороны выполняют необходимые мероприятия по защите информации в соответствии с законодательством Российской Федерации.</w:t>
      </w:r>
    </w:p>
    <w:p>
      <w:pPr>
        <w:pStyle w:val="Normal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Стороны обеспечивают доверенный канал, маршрут между </w:t>
      </w:r>
      <w:r>
        <w:rPr>
          <w:rFonts w:cs="Times New Roman" w:ascii="Times New Roman" w:hAnsi="Times New Roman"/>
          <w:sz w:val="24"/>
          <w:szCs w:val="24"/>
        </w:rPr>
        <w:t>разрешёнными</w:t>
      </w:r>
      <w:r>
        <w:rPr>
          <w:rFonts w:ascii="Times New Roman" w:hAnsi="Times New Roman"/>
          <w:sz w:val="24"/>
          <w:szCs w:val="24"/>
        </w:rPr>
        <w:t xml:space="preserve"> администраторами, пользователями и </w:t>
      </w:r>
      <w:r>
        <w:rPr>
          <w:rFonts w:cs="Times New Roman" w:ascii="Times New Roman" w:hAnsi="Times New Roman"/>
          <w:sz w:val="24"/>
          <w:szCs w:val="24"/>
        </w:rPr>
        <w:t xml:space="preserve">узлами сетей </w:t>
      </w:r>
      <w:r>
        <w:rPr>
          <w:rFonts w:cs="Times New Roman" w:ascii="Times New Roman" w:hAnsi="Times New Roman"/>
          <w:sz w:val="24"/>
          <w:szCs w:val="24"/>
          <w:lang w:val="en-US"/>
        </w:rPr>
        <w:t>ViPNet</w:t>
      </w:r>
      <w:r>
        <w:rPr>
          <w:rFonts w:cs="Times New Roman" w:ascii="Times New Roman" w:hAnsi="Times New Roman"/>
          <w:sz w:val="24"/>
          <w:szCs w:val="24"/>
        </w:rPr>
        <w:t xml:space="preserve"> с </w:t>
      </w:r>
      <w:r>
        <w:rPr>
          <w:rFonts w:eastAsia="Calibri" w:cs="Times New Roman" w:ascii="Times New Roman" w:hAnsi="Times New Roman"/>
          <w:sz w:val="24"/>
          <w:szCs w:val="24"/>
        </w:rPr>
        <w:t xml:space="preserve">использованием </w:t>
      </w:r>
      <w:r>
        <w:rPr>
          <w:rFonts w:eastAsia="MS Mincho" w:cs="Times New Roman" w:ascii="Times New Roman" w:hAnsi="Times New Roman"/>
          <w:sz w:val="24"/>
          <w:szCs w:val="24"/>
        </w:rPr>
        <w:t>средств криптографической защиты информации</w:t>
      </w:r>
      <w:r>
        <w:rPr>
          <w:rFonts w:ascii="Times New Roman" w:hAnsi="Times New Roman"/>
          <w:sz w:val="24"/>
          <w:szCs w:val="24"/>
        </w:rPr>
        <w:t>.</w:t>
      </w:r>
    </w:p>
    <w:p>
      <w:pPr>
        <w:pStyle w:val="Normal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Стороны устанавливают межсетевое взаимодействия в целях обеспечения защищенного обмена информацией между сетями </w:t>
      </w:r>
      <w:r>
        <w:rPr>
          <w:rFonts w:cs="Times New Roman" w:ascii="Times New Roman" w:hAnsi="Times New Roman"/>
          <w:sz w:val="24"/>
          <w:szCs w:val="24"/>
          <w:lang w:val="en-US"/>
        </w:rPr>
        <w:t>ViPNet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rmal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Стороны разрабатывают и утверждают:</w:t>
      </w:r>
    </w:p>
    <w:p>
      <w:pPr>
        <w:pStyle w:val="Normal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соглашение об установлении межсетевого взаимодействия между Сторонами;</w:t>
      </w:r>
    </w:p>
    <w:p>
      <w:pPr>
        <w:pStyle w:val="Normal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схему межсетевого взаимодействия между Сторонами.</w:t>
      </w:r>
    </w:p>
    <w:p>
      <w:pPr>
        <w:pStyle w:val="Normal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случае получения любой из Сторон от уполномоченного органа государственной власти Российской Федерации информации о выявленных нарушениях обработки и/или передачи информации (данных), подлежащей защите в соответствии с положениями законодательства Российской Федерации, при осуществлении информационного взаимодействия в рамках данной услуги другая Сторона должна быть извещена о данном факте с указанием выявленных нарушений.</w:t>
      </w:r>
    </w:p>
    <w:p>
      <w:pPr>
        <w:pStyle w:val="Normal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Стороны обеспечивают поддержание в работоспособном состоянии аппаратных, программных и телекоммуникационных средств сети </w:t>
      </w:r>
      <w:r>
        <w:rPr>
          <w:rFonts w:cs="Times New Roman" w:ascii="Times New Roman" w:hAnsi="Times New Roman"/>
          <w:sz w:val="24"/>
          <w:szCs w:val="24"/>
          <w:lang w:val="en-US"/>
        </w:rPr>
        <w:t>ViPNet</w:t>
      </w:r>
      <w:r>
        <w:rPr>
          <w:rFonts w:cs="Times New Roman" w:ascii="Times New Roman" w:hAnsi="Times New Roman"/>
          <w:sz w:val="24"/>
          <w:szCs w:val="24"/>
        </w:rPr>
        <w:t xml:space="preserve"> в границах своей зоны ответственности.</w:t>
      </w:r>
      <w:bookmarkEnd w:id="47"/>
    </w:p>
    <w:p>
      <w:pPr>
        <w:pStyle w:val="Normal"/>
        <w:ind w:firstLine="709"/>
        <w:rPr>
          <w:rFonts w:ascii="Times New Roman" w:hAnsi="Times New Roman" w:eastAsia="MS Mincho" w:cs="Times New Roman"/>
          <w:sz w:val="24"/>
          <w:szCs w:val="24"/>
        </w:rPr>
      </w:pPr>
      <w:r>
        <w:rPr>
          <w:rFonts w:eastAsia="MS Mincho" w:cs="Times New Roman" w:ascii="Times New Roman" w:hAnsi="Times New Roman"/>
          <w:sz w:val="24"/>
          <w:szCs w:val="24"/>
        </w:rPr>
        <w:t>Техническую поддержку подсистемы информационной безопасности Системы-112 обеспечивает Заказчик.</w:t>
      </w:r>
      <w:bookmarkStart w:id="48" w:name="_Toc476909157"/>
      <w:bookmarkStart w:id="49" w:name="_Toc443509001"/>
      <w:bookmarkStart w:id="50" w:name="_Toc443510651"/>
      <w:bookmarkStart w:id="51" w:name="_Toc474500458"/>
      <w:bookmarkStart w:id="52" w:name="_Toc471834444"/>
      <w:bookmarkStart w:id="53" w:name="_Toc476319062"/>
      <w:bookmarkStart w:id="54" w:name="_Toc57273896"/>
      <w:bookmarkStart w:id="55" w:name="_Toc442791147"/>
    </w:p>
    <w:p>
      <w:pPr>
        <w:pStyle w:val="Normal"/>
        <w:ind w:firstLine="709"/>
        <w:rPr>
          <w:rFonts w:ascii="Times New Roman" w:hAnsi="Times New Roman" w:eastAsia="MS Mincho" w:cs="Times New Roman"/>
          <w:sz w:val="24"/>
          <w:szCs w:val="24"/>
        </w:rPr>
      </w:pPr>
      <w:r>
        <w:rPr>
          <w:rFonts w:eastAsia="MS Mincho" w:cs="Times New Roman" w:ascii="Times New Roman" w:hAnsi="Times New Roman"/>
          <w:sz w:val="24"/>
          <w:szCs w:val="24"/>
        </w:rPr>
      </w:r>
    </w:p>
    <w:p>
      <w:pPr>
        <w:pStyle w:val="Normal"/>
        <w:ind w:firstLine="709"/>
        <w:rPr>
          <w:rFonts w:ascii="Times New Roman" w:hAnsi="Times New Roman" w:eastAsia="Calibri" w:cs="Times New Roman" w:eastAsiaTheme="minorHAnsi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zh-CN"/>
        </w:rPr>
        <w:t>14. Требования к исполнителю</w:t>
      </w:r>
    </w:p>
    <w:p>
      <w:pPr>
        <w:pStyle w:val="Normal"/>
        <w:ind w:firstLine="708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cs="Times New Roman" w:ascii="Times New Roman" w:hAnsi="Times New Roman"/>
          <w:sz w:val="24"/>
          <w:szCs w:val="24"/>
          <w:lang w:eastAsia="zh-CN"/>
        </w:rPr>
        <w:t>Исполнитель обязан иметь:</w:t>
      </w:r>
    </w:p>
    <w:p>
      <w:pPr>
        <w:pStyle w:val="Normal"/>
        <w:ind w:firstLine="708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cs="Times New Roman" w:ascii="Times New Roman" w:hAnsi="Times New Roman"/>
          <w:sz w:val="24"/>
          <w:szCs w:val="24"/>
          <w:lang w:eastAsia="zh-CN"/>
        </w:rPr>
        <w:t>- круглосуточную службу технической поддержки, доступную для Заказчика не менее чем по трем каналам связи;</w:t>
      </w:r>
    </w:p>
    <w:p>
      <w:pPr>
        <w:pStyle w:val="Normal"/>
        <w:ind w:firstLine="708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cs="Times New Roman" w:ascii="Times New Roman" w:hAnsi="Times New Roman"/>
          <w:sz w:val="24"/>
          <w:szCs w:val="24"/>
          <w:lang w:eastAsia="zh-CN"/>
        </w:rPr>
        <w:t>- круглосуточную службу расследования инцидентов – для определения причин возникновения проблем в ходе эксплуатации программно-технических средств Системы-112;</w:t>
      </w:r>
    </w:p>
    <w:p>
      <w:pPr>
        <w:pStyle w:val="Normal"/>
        <w:ind w:firstLine="708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cs="Times New Roman" w:ascii="Times New Roman" w:hAnsi="Times New Roman"/>
          <w:sz w:val="24"/>
          <w:szCs w:val="24"/>
          <w:lang w:eastAsia="zh-CN"/>
        </w:rPr>
        <w:t>- рабочий базовый комплект оборудования с установленным на нем СПО-112 либо круглосуточный неограниченный доступ к такому комплекту для моделирования возникших проблем и неисправностей, поиска путей их решения;</w:t>
      </w:r>
    </w:p>
    <w:p>
      <w:pPr>
        <w:pStyle w:val="Normal"/>
        <w:ind w:firstLine="708"/>
        <w:rPr>
          <w:rFonts w:ascii="Times New Roman" w:hAnsi="Times New Roman" w:cs="Times New Roman"/>
          <w:lang w:eastAsia="zh-CN"/>
        </w:rPr>
      </w:pPr>
      <w:r>
        <w:rPr>
          <w:rFonts w:cs="Times New Roman" w:ascii="Times New Roman" w:hAnsi="Times New Roman"/>
          <w:lang w:eastAsia="zh-CN"/>
        </w:rPr>
        <w:t>- ПТК УД, который соответствует требованиям, установленным в разделе 9.7 настоящего Технического задания;</w:t>
      </w:r>
    </w:p>
    <w:p>
      <w:pPr>
        <w:pStyle w:val="Normal"/>
        <w:ind w:firstLine="708"/>
        <w:rPr>
          <w:rFonts w:ascii="Times New Roman" w:hAnsi="Times New Roman" w:cs="Times New Roman"/>
          <w:lang w:eastAsia="zh-CN"/>
        </w:rPr>
      </w:pPr>
      <w:r>
        <w:rPr>
          <w:rFonts w:cs="Times New Roman" w:ascii="Times New Roman" w:hAnsi="Times New Roman"/>
          <w:lang w:eastAsia="zh-CN"/>
        </w:rPr>
        <w:t xml:space="preserve">- </w:t>
      </w:r>
      <w:r>
        <w:rPr>
          <w:rFonts w:cs="Times New Roman" w:ascii="Times New Roman" w:hAnsi="Times New Roman"/>
          <w:lang w:val="en-US" w:eastAsia="zh-CN"/>
        </w:rPr>
        <w:t>CRM</w:t>
      </w:r>
      <w:r>
        <w:rPr>
          <w:rFonts w:cs="Times New Roman" w:ascii="Times New Roman" w:hAnsi="Times New Roman"/>
          <w:lang w:eastAsia="zh-CN"/>
        </w:rPr>
        <w:t>-систему, которая соответствует требованиям, установленным в пункте 9.1 настоящего Технического задания.</w:t>
      </w:r>
    </w:p>
    <w:p>
      <w:pPr>
        <w:pStyle w:val="Normal"/>
        <w:ind w:firstLine="708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cs="Times New Roman" w:ascii="Times New Roman" w:hAnsi="Times New Roman"/>
          <w:sz w:val="24"/>
          <w:szCs w:val="24"/>
          <w:lang w:eastAsia="zh-CN"/>
        </w:rPr>
      </w:r>
    </w:p>
    <w:p>
      <w:pPr>
        <w:pStyle w:val="Normal"/>
        <w:ind w:firstLine="708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cs="Times New Roman" w:ascii="Times New Roman" w:hAnsi="Times New Roman"/>
          <w:sz w:val="24"/>
          <w:szCs w:val="24"/>
          <w:lang w:eastAsia="zh-CN"/>
        </w:rPr>
        <w:t>Исполнитель обязан:</w:t>
      </w:r>
    </w:p>
    <w:p>
      <w:pPr>
        <w:pStyle w:val="Normal"/>
        <w:ind w:firstLine="708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cs="Times New Roman" w:ascii="Times New Roman" w:hAnsi="Times New Roman"/>
          <w:sz w:val="24"/>
          <w:szCs w:val="24"/>
          <w:lang w:eastAsia="zh-CN"/>
        </w:rPr>
        <w:t>- гарантировать качество оказанных услуг (</w:t>
      </w:r>
      <w:r>
        <w:rPr>
          <w:rFonts w:ascii="Times New Roman" w:hAnsi="Times New Roman"/>
          <w:sz w:val="24"/>
          <w:szCs w:val="24"/>
          <w:lang w:eastAsia="zh-CN"/>
        </w:rPr>
        <w:t>Заказчик вправе затребовать документальное подтверждение компетенций специалистов Исполнителя</w:t>
      </w:r>
      <w:r>
        <w:rPr>
          <w:rFonts w:cs="Times New Roman" w:ascii="Times New Roman" w:hAnsi="Times New Roman"/>
          <w:sz w:val="24"/>
          <w:szCs w:val="24"/>
          <w:lang w:eastAsia="zh-CN"/>
        </w:rPr>
        <w:t>);</w:t>
      </w:r>
    </w:p>
    <w:p>
      <w:pPr>
        <w:pStyle w:val="Normal"/>
        <w:ind w:firstLine="708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cs="Times New Roman" w:ascii="Times New Roman" w:hAnsi="Times New Roman"/>
          <w:sz w:val="24"/>
          <w:szCs w:val="24"/>
          <w:lang w:eastAsia="zh-CN"/>
        </w:rPr>
        <w:t>- по требованию Заказчика, своими средствами и за свой счет в срок, согласованный с Заказчиком устранить допущенные по своей вине в оказанных услугах недостатки или иные отступления от условий договора;</w:t>
      </w:r>
    </w:p>
    <w:p>
      <w:pPr>
        <w:pStyle w:val="Normal"/>
        <w:ind w:firstLine="708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cs="Times New Roman" w:ascii="Times New Roman" w:hAnsi="Times New Roman"/>
          <w:sz w:val="24"/>
          <w:szCs w:val="24"/>
          <w:lang w:eastAsia="zh-CN"/>
        </w:rPr>
        <w:t>- предоставлять своевременно достоверную информацию о ходе исполнения своих обязательств, в том числе о сложностях, возникающих при исполнении договора;</w:t>
      </w:r>
    </w:p>
    <w:p>
      <w:pPr>
        <w:pStyle w:val="Normal"/>
        <w:ind w:firstLine="708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cs="Times New Roman" w:ascii="Times New Roman" w:hAnsi="Times New Roman"/>
          <w:sz w:val="24"/>
          <w:szCs w:val="24"/>
          <w:lang w:eastAsia="zh-CN"/>
        </w:rPr>
        <w:t>- оказать услуги в установленные договором сроки, а также в соответствии с условиями договора передать Заказчику результаты по акту приема-передачи оказанных услуг (Приложение Е);</w:t>
      </w:r>
    </w:p>
    <w:p>
      <w:pPr>
        <w:pStyle w:val="Normal"/>
        <w:ind w:firstLine="708"/>
        <w:rPr>
          <w:rFonts w:ascii="Times New Roman" w:hAnsi="Times New Roman"/>
          <w:sz w:val="24"/>
          <w:szCs w:val="24"/>
          <w:lang w:eastAsia="zh-CN"/>
        </w:rPr>
      </w:pPr>
      <w:r>
        <w:rPr>
          <w:rFonts w:cs="Times New Roman" w:ascii="Times New Roman" w:hAnsi="Times New Roman"/>
          <w:sz w:val="24"/>
          <w:szCs w:val="24"/>
          <w:lang w:eastAsia="zh-CN"/>
        </w:rPr>
        <w:t xml:space="preserve">- ежемесячно, по факту оказания услуг выставить Заказчику счет на оплату за оказанные услуги и акт приема-передачи оказанных услуг (Приложение Е), оформленные в соответствии с требованиями законодательства (данные документы представляются Заказчику по месту его нахождения), а также технический отчет </w:t>
      </w:r>
      <w:r>
        <w:rPr>
          <w:rFonts w:ascii="Times New Roman" w:hAnsi="Times New Roman"/>
          <w:sz w:val="24"/>
          <w:szCs w:val="24"/>
          <w:lang w:eastAsia="zh-CN"/>
        </w:rPr>
        <w:t>о выполнении требований указанного пункта с отражением следующих сведений:</w:t>
      </w:r>
    </w:p>
    <w:p>
      <w:pPr>
        <w:pStyle w:val="Normal"/>
        <w:ind w:firstLine="708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/>
          <w:sz w:val="24"/>
          <w:szCs w:val="24"/>
          <w:lang w:eastAsia="zh-CN"/>
        </w:rPr>
        <w:t>- количество выявленных ошибок в работе ПО;</w:t>
      </w:r>
    </w:p>
    <w:p>
      <w:pPr>
        <w:pStyle w:val="Normal"/>
        <w:ind w:firstLine="708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/>
          <w:sz w:val="24"/>
          <w:szCs w:val="24"/>
          <w:lang w:eastAsia="zh-CN"/>
        </w:rPr>
        <w:t>- количество устраненных ошибок, с указанием времени устранения;</w:t>
      </w:r>
    </w:p>
    <w:p>
      <w:pPr>
        <w:pStyle w:val="Normal"/>
        <w:ind w:firstLine="708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/>
          <w:sz w:val="24"/>
          <w:szCs w:val="24"/>
          <w:lang w:eastAsia="zh-CN"/>
        </w:rPr>
        <w:t>- количество установленных обновлений ПО с указанием номеров версий;</w:t>
      </w:r>
    </w:p>
    <w:p>
      <w:pPr>
        <w:pStyle w:val="Normal"/>
        <w:ind w:firstLine="708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/>
          <w:sz w:val="24"/>
          <w:szCs w:val="24"/>
          <w:lang w:eastAsia="zh-CN"/>
        </w:rPr>
        <w:t>- количество зарегистрированных обращений Заказчика с указанием времени/даты поступления обращения, сроках устранения время/дата;</w:t>
      </w:r>
    </w:p>
    <w:p>
      <w:pPr>
        <w:pStyle w:val="Normal"/>
        <w:ind w:firstLine="708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/>
          <w:sz w:val="24"/>
          <w:szCs w:val="24"/>
          <w:lang w:eastAsia="zh-CN"/>
        </w:rPr>
        <w:t>- причины не устранения выявленных ошибок.</w:t>
      </w:r>
    </w:p>
    <w:p>
      <w:pPr>
        <w:pStyle w:val="Normal"/>
        <w:ind w:firstLine="708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/>
          <w:sz w:val="24"/>
          <w:szCs w:val="24"/>
          <w:lang w:eastAsia="zh-CN"/>
        </w:rPr>
      </w:r>
    </w:p>
    <w:p>
      <w:pPr>
        <w:pStyle w:val="Normal"/>
        <w:ind w:firstLine="708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cs="Times New Roman" w:ascii="Times New Roman" w:hAnsi="Times New Roman"/>
          <w:sz w:val="24"/>
          <w:szCs w:val="24"/>
          <w:lang w:eastAsia="zh-CN"/>
        </w:rPr>
        <w:t>Исполнитель должен иметь специалистов с компетенциями по настройке оборудования телекоммуникационной подсистемы Системы-112 в составе, определённом к настоящему Техническому заданию (Заказчик вправе затребовать документальное подтверждение данных компетенций).</w:t>
      </w:r>
    </w:p>
    <w:p>
      <w:pPr>
        <w:pStyle w:val="Normal"/>
        <w:ind w:firstLine="708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cs="Times New Roman" w:ascii="Times New Roman" w:hAnsi="Times New Roman"/>
          <w:sz w:val="24"/>
          <w:szCs w:val="24"/>
          <w:lang w:eastAsia="zh-CN"/>
        </w:rPr>
      </w:r>
    </w:p>
    <w:p>
      <w:pPr>
        <w:pStyle w:val="Normal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15. Требования по приемке услуг</w:t>
      </w:r>
      <w:bookmarkEnd w:id="55"/>
      <w:r>
        <w:rPr>
          <w:rFonts w:cs="Times New Roman" w:ascii="Times New Roman" w:hAnsi="Times New Roman"/>
          <w:b/>
          <w:sz w:val="24"/>
          <w:szCs w:val="24"/>
        </w:rPr>
        <w:t>и</w:t>
      </w:r>
      <w:bookmarkStart w:id="56" w:name="_Toc177034227"/>
      <w:bookmarkStart w:id="57" w:name="_Toc476909158"/>
      <w:bookmarkStart w:id="58" w:name="_Toc474341657"/>
      <w:bookmarkStart w:id="59" w:name="_Toc474500459"/>
      <w:bookmarkStart w:id="60" w:name="_Toc476319063"/>
      <w:bookmarkStart w:id="61" w:name="_Toc57273897"/>
      <w:bookmarkEnd w:id="48"/>
      <w:bookmarkEnd w:id="49"/>
      <w:bookmarkEnd w:id="50"/>
      <w:bookmarkEnd w:id="51"/>
      <w:bookmarkEnd w:id="52"/>
      <w:bookmarkEnd w:id="53"/>
      <w:bookmarkEnd w:id="54"/>
      <w:bookmarkEnd w:id="56"/>
      <w:bookmarkEnd w:id="57"/>
      <w:bookmarkEnd w:id="58"/>
      <w:bookmarkEnd w:id="59"/>
      <w:bookmarkEnd w:id="60"/>
      <w:bookmarkEnd w:id="61"/>
    </w:p>
    <w:p>
      <w:pPr>
        <w:pStyle w:val="Normal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</w:rPr>
        <w:t>Результатом услуги является функционирование приема и обработки вызова экстренных оперативных служб по единому номеру «112» на территории Кабардино-Балкарской Республики, согласно Приложениям А, Б, В, Г, Д и Е, удовлетворяющее требованиям настоящего Технического задания</w:t>
      </w:r>
      <w:r>
        <w:rPr>
          <w:rFonts w:cs="Times New Roman" w:ascii="Times New Roman" w:hAnsi="Times New Roman"/>
          <w:sz w:val="24"/>
          <w:szCs w:val="24"/>
        </w:rPr>
        <w:t xml:space="preserve"> по приемке услуги.</w:t>
      </w:r>
    </w:p>
    <w:p>
      <w:pPr>
        <w:pStyle w:val="13"/>
        <w:spacing w:before="0" w:after="0"/>
        <w:ind w:firstLine="700" w:start="0"/>
        <w:contextualSpacing w:val="false"/>
        <w:jc w:val="both"/>
        <w:rPr>
          <w:rFonts w:eastAsia="Calibri" w:eastAsiaTheme="minorHAnsi"/>
          <w:color w:val="auto"/>
          <w:kern w:val="0"/>
        </w:rPr>
      </w:pPr>
      <w:r>
        <w:rPr>
          <w:rFonts w:eastAsia="Calibri" w:eastAsiaTheme="minorHAnsi"/>
          <w:color w:val="auto"/>
          <w:kern w:val="0"/>
        </w:rPr>
      </w:r>
    </w:p>
    <w:p>
      <w:pPr>
        <w:pStyle w:val="Normal"/>
        <w:ind w:firstLine="708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15.1. Порядок контроля и приемки услуги</w:t>
      </w:r>
    </w:p>
    <w:p>
      <w:pPr>
        <w:pStyle w:val="Normal"/>
        <w:ind w:firstLine="708"/>
        <w:rPr>
          <w:rFonts w:ascii="Times New Roman" w:hAnsi="Times New Roman" w:eastAsia="Calibri" w:cs="Times New Roman"/>
          <w:color w:val="000000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</w:rPr>
        <w:t>Оказанная Услуга должна приниматься Заказчиком по акту сдачи-приемки в соответствии с заключенным Д</w:t>
      </w:r>
      <w:r>
        <w:rPr>
          <w:rFonts w:eastAsia="Calibri" w:cs="Times New Roman" w:ascii="Times New Roman" w:hAnsi="Times New Roman"/>
          <w:color w:val="000000"/>
          <w:sz w:val="24"/>
          <w:szCs w:val="24"/>
          <w:lang w:eastAsia="zh-CN"/>
        </w:rPr>
        <w:t>оговор</w:t>
      </w:r>
      <w:r>
        <w:rPr>
          <w:rFonts w:eastAsia="Calibri" w:cs="Times New Roman" w:ascii="Times New Roman" w:hAnsi="Times New Roman"/>
          <w:color w:val="000000"/>
          <w:sz w:val="24"/>
          <w:szCs w:val="24"/>
        </w:rPr>
        <w:t xml:space="preserve">ом. </w:t>
      </w:r>
    </w:p>
    <w:p>
      <w:pPr>
        <w:pStyle w:val="Normal"/>
        <w:ind w:firstLine="708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</w:rPr>
        <w:t>При приемке, в том числе, должно проверяться соответствие объема и качества оказанной Услуги требованиям данного Технического задания.</w:t>
      </w:r>
    </w:p>
    <w:p>
      <w:pPr>
        <w:pStyle w:val="Normal"/>
        <w:ind w:firstLine="708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cs="Times New Roman" w:ascii="Times New Roman" w:hAnsi="Times New Roman"/>
          <w:sz w:val="24"/>
          <w:szCs w:val="24"/>
          <w:lang w:eastAsia="zh-CN"/>
        </w:rPr>
        <w:t>Исполнитель в течение 10 (десяти) рабочих дней после завершения отчетного периода в соответствии с календарным планом оказания услуг должен направить Заказчику пакет документов:</w:t>
      </w:r>
    </w:p>
    <w:p>
      <w:pPr>
        <w:pStyle w:val="Normal"/>
        <w:ind w:firstLine="708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cs="Times New Roman" w:ascii="Times New Roman" w:hAnsi="Times New Roman"/>
          <w:sz w:val="24"/>
          <w:szCs w:val="24"/>
          <w:lang w:eastAsia="zh-CN"/>
        </w:rPr>
        <w:t xml:space="preserve">- отчет по </w:t>
      </w:r>
      <w:r>
        <w:rPr>
          <w:rFonts w:cs="Times New Roman" w:ascii="Times New Roman" w:hAnsi="Times New Roman"/>
          <w:sz w:val="24"/>
          <w:szCs w:val="24"/>
        </w:rPr>
        <w:t xml:space="preserve">обслуживанию и сопровождению </w:t>
      </w:r>
      <w:r>
        <w:rPr>
          <w:rStyle w:val="1"/>
          <w:rFonts w:eastAsia="Calibri" w:eastAsiaTheme="minorHAnsi"/>
          <w:b w:val="false"/>
        </w:rPr>
        <w:t>Системы-112</w:t>
      </w:r>
      <w:r>
        <w:rPr>
          <w:rFonts w:cs="Times New Roman" w:ascii="Times New Roman" w:hAnsi="Times New Roman"/>
          <w:sz w:val="24"/>
          <w:szCs w:val="24"/>
          <w:lang w:eastAsia="zh-CN"/>
        </w:rPr>
        <w:t xml:space="preserve">; </w:t>
      </w:r>
    </w:p>
    <w:p>
      <w:pPr>
        <w:pStyle w:val="Normal"/>
        <w:ind w:firstLine="708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cs="Times New Roman" w:ascii="Times New Roman" w:hAnsi="Times New Roman"/>
          <w:sz w:val="24"/>
          <w:szCs w:val="24"/>
          <w:lang w:eastAsia="zh-CN"/>
        </w:rPr>
        <w:t>- акт сдачи-приемки оказанных услуг.</w:t>
      </w:r>
    </w:p>
    <w:p>
      <w:pPr>
        <w:pStyle w:val="Normal"/>
        <w:ind w:firstLine="708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cs="Times New Roman" w:ascii="Times New Roman" w:hAnsi="Times New Roman"/>
          <w:sz w:val="24"/>
          <w:szCs w:val="24"/>
          <w:lang w:eastAsia="zh-CN"/>
        </w:rPr>
      </w:r>
    </w:p>
    <w:p>
      <w:pPr>
        <w:pStyle w:val="Normal"/>
        <w:spacing w:before="0" w:after="240"/>
        <w:ind w:firstLine="708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cs="Times New Roman" w:ascii="Times New Roman" w:hAnsi="Times New Roman"/>
          <w:sz w:val="24"/>
          <w:szCs w:val="24"/>
        </w:rPr>
        <w:t>Календарный план поставки товара, выполнения работ, оказания услуг:</w:t>
      </w:r>
    </w:p>
    <w:tbl>
      <w:tblPr>
        <w:tblStyle w:val="a3"/>
        <w:tblW w:w="9362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438"/>
        <w:gridCol w:w="2501"/>
        <w:gridCol w:w="2316"/>
        <w:gridCol w:w="2126"/>
        <w:gridCol w:w="1981"/>
      </w:tblGrid>
      <w:tr>
        <w:trPr>
          <w:trHeight w:val="1380" w:hRule="atLeast"/>
        </w:trPr>
        <w:tc>
          <w:tcPr>
            <w:tcW w:w="43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eastAsia="SimSun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  <w:t>№</w:t>
            </w:r>
          </w:p>
        </w:tc>
        <w:tc>
          <w:tcPr>
            <w:tcW w:w="250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eastAsia="SimSun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  <w:t>Наименование стадий поставки товара, выполнение работ, оказания услуг</w:t>
            </w:r>
          </w:p>
        </w:tc>
        <w:tc>
          <w:tcPr>
            <w:tcW w:w="231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eastAsia="SimSun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  <w:t>Сроки поставки товара, выполнения работ, оказания услуг</w:t>
            </w:r>
          </w:p>
        </w:tc>
        <w:tc>
          <w:tcPr>
            <w:tcW w:w="212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eastAsia="SimSun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  <w:t>Содержание этапа</w:t>
            </w:r>
          </w:p>
        </w:tc>
        <w:tc>
          <w:tcPr>
            <w:tcW w:w="19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eastAsia="SimSun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  <w:t>Результат (отчетная документация)</w:t>
            </w:r>
          </w:p>
        </w:tc>
      </w:tr>
      <w:tr>
        <w:trPr/>
        <w:tc>
          <w:tcPr>
            <w:tcW w:w="438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SimSun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2501" w:type="dxa"/>
            <w:tcBorders/>
          </w:tcPr>
          <w:p>
            <w:pPr>
              <w:pStyle w:val="Normal"/>
              <w:keepLines/>
              <w:widowControl w:val="false"/>
              <w:suppressAutoHyphens w:val="true"/>
              <w:spacing w:before="0" w:after="0"/>
              <w:ind w:end="40"/>
              <w:jc w:val="start"/>
              <w:rPr>
                <w:highlight w:val="yellow"/>
              </w:rPr>
            </w:pPr>
            <w:r>
              <w:rPr>
                <w:rStyle w:val="1"/>
                <w:rFonts w:eastAsia="Calibri" w:eastAsiaTheme="minorHAnsi"/>
                <w:b w:val="false"/>
                <w:kern w:val="0"/>
              </w:rPr>
              <w:t xml:space="preserve">Оказание </w:t>
            </w:r>
            <w:r>
              <w:rPr>
                <w:rFonts w:eastAsia="SimSu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услуг по техническому обслуживанию и сопровождению </w:t>
            </w:r>
            <w:r>
              <w:rPr>
                <w:rStyle w:val="1"/>
                <w:rFonts w:eastAsia="Calibri" w:eastAsiaTheme="minorHAnsi"/>
                <w:b w:val="false"/>
                <w:kern w:val="0"/>
              </w:rPr>
              <w:t>Системы-112 на территории Кабардино-Балкарской Республики.</w:t>
            </w:r>
          </w:p>
        </w:tc>
        <w:tc>
          <w:tcPr>
            <w:tcW w:w="2316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start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eastAsia="SimSun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С 01.10.2026 по 31.12.2026 г.</w:t>
            </w:r>
          </w:p>
        </w:tc>
        <w:tc>
          <w:tcPr>
            <w:tcW w:w="2126" w:type="dxa"/>
            <w:tcBorders/>
          </w:tcPr>
          <w:p>
            <w:pPr>
              <w:pStyle w:val="ListParagraph"/>
              <w:widowControl/>
              <w:suppressAutoHyphens w:val="true"/>
              <w:spacing w:before="0" w:after="0"/>
              <w:ind w:start="0"/>
              <w:contextualSpacing/>
              <w:jc w:val="star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eastAsia="SimSun" w:cs="Times New Roman" w:ascii="Times New Roman" w:hAnsi="Times New Roman"/>
                <w:kern w:val="0"/>
                <w:sz w:val="22"/>
                <w:szCs w:val="22"/>
                <w:lang w:val="ru-RU" w:eastAsia="ru-RU" w:bidi="ar-SA"/>
              </w:rPr>
              <w:t>Услуга оказывается в соответствии с Техническим заданием.</w:t>
            </w:r>
          </w:p>
          <w:p>
            <w:pPr>
              <w:pStyle w:val="Style14"/>
              <w:widowControl/>
              <w:suppressAutoHyphens w:val="true"/>
              <w:spacing w:lineRule="auto" w:line="240" w:before="0" w:after="0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rFonts w:eastAsia="SimSun" w:cs="" w:ascii="Calibri" w:hAnsi="Calibri"/>
                <w:kern w:val="0"/>
                <w:sz w:val="22"/>
                <w:szCs w:val="22"/>
                <w:lang w:val="ru-RU" w:eastAsia="en-US" w:bidi="ar-SA"/>
              </w:rPr>
              <w:t>Отчетный период оказания услуги –1 (один) месяц.</w:t>
            </w:r>
          </w:p>
        </w:tc>
        <w:tc>
          <w:tcPr>
            <w:tcW w:w="1981" w:type="dxa"/>
            <w:tcBorders/>
          </w:tcPr>
          <w:p>
            <w:pPr>
              <w:pStyle w:val="Style14"/>
              <w:widowControl/>
              <w:suppressAutoHyphens w:val="true"/>
              <w:spacing w:lineRule="auto" w:line="240" w:before="0" w:after="0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rFonts w:eastAsia="SimSun" w:cs="" w:ascii="Calibri" w:hAnsi="Calibri"/>
                <w:kern w:val="0"/>
                <w:sz w:val="22"/>
                <w:szCs w:val="22"/>
                <w:lang w:val="ru-RU" w:eastAsia="en-US" w:bidi="ar-SA"/>
              </w:rPr>
              <w:t>1. Отчет по результатам оказания услуги.</w:t>
            </w:r>
          </w:p>
          <w:p>
            <w:pPr>
              <w:pStyle w:val="Style14"/>
              <w:widowControl/>
              <w:suppressAutoHyphens w:val="true"/>
              <w:spacing w:lineRule="auto" w:line="240" w:before="0" w:after="0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rFonts w:eastAsia="SimSun" w:cs="" w:ascii="Calibri" w:hAnsi="Calibri"/>
                <w:kern w:val="0"/>
                <w:sz w:val="22"/>
                <w:szCs w:val="22"/>
                <w:lang w:val="ru-RU" w:eastAsia="en-US" w:bidi="ar-SA"/>
              </w:rPr>
              <w:t>2. Акт оказанных услуг за отчетный период (Приложение Е).</w:t>
            </w:r>
          </w:p>
        </w:tc>
      </w:tr>
    </w:tbl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ind w:firstLine="709"/>
        <w:rPr>
          <w:rFonts w:ascii="Times New Roman" w:hAnsi="Times New Roman" w:eastAsia="Calibri" w:cs="Times New Roman"/>
          <w:color w:val="000000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</w:rPr>
        <w:t xml:space="preserve">В течение 10 (десяти) рабочих дней с момента получения отчетной документации, Заказчик должен проверить качество результатов исполнения обязательств, определённых в данном Техническом задании, на предмет соответствия оказанной услуги и представленной отчетной документации требованиям и условиям данного Технического задания. </w:t>
      </w:r>
    </w:p>
    <w:p>
      <w:pPr>
        <w:pStyle w:val="Normal"/>
        <w:ind w:firstLine="709"/>
        <w:rPr>
          <w:rFonts w:ascii="Times New Roman" w:hAnsi="Times New Roman" w:eastAsia="Calibri" w:cs="Times New Roman"/>
          <w:color w:val="000000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</w:rPr>
        <w:t>Для проверки соответствия качества оказанной услуги установленным требованиям могут привлекаться независимые эксперты.</w:t>
      </w:r>
    </w:p>
    <w:p>
      <w:pPr>
        <w:pStyle w:val="Normal"/>
        <w:ind w:firstLine="709"/>
        <w:rPr>
          <w:rFonts w:ascii="Times New Roman" w:hAnsi="Times New Roman" w:eastAsia="Calibri" w:cs="Times New Roman"/>
          <w:color w:val="000000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</w:rPr>
        <w:t xml:space="preserve">При несоответствии услуги требованиям Технического задания Заказчик направляет Исполнителю перечень замечаний, которые последний обязан устранить в согласованные с Заказчиком сроки, или предъявляет претензию на условиях, указанных в </w:t>
      </w:r>
      <w:r>
        <w:rPr>
          <w:rFonts w:eastAsia="Calibri" w:cs="Times New Roman" w:ascii="Times New Roman" w:hAnsi="Times New Roman"/>
          <w:color w:val="000000"/>
          <w:sz w:val="24"/>
          <w:szCs w:val="24"/>
          <w:lang w:eastAsia="zh-CN"/>
        </w:rPr>
        <w:t>договор</w:t>
      </w:r>
      <w:r>
        <w:rPr>
          <w:rFonts w:eastAsia="Calibri" w:cs="Times New Roman" w:ascii="Times New Roman" w:hAnsi="Times New Roman"/>
          <w:color w:val="000000"/>
          <w:sz w:val="24"/>
          <w:szCs w:val="24"/>
        </w:rPr>
        <w:t>е за каждый факт неоказания в срок либо некачественного оказания услуги.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Приложение:</w:t>
      </w:r>
    </w:p>
    <w:p>
      <w:pPr>
        <w:pStyle w:val="ListParagraph"/>
        <w:ind w:start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1. Приложение А, О</w:t>
      </w:r>
      <w:r>
        <w:rPr>
          <w:rFonts w:eastAsia="Calibri" w:cs="Times New Roman" w:ascii="Times New Roman" w:hAnsi="Times New Roman"/>
          <w:sz w:val="24"/>
          <w:szCs w:val="24"/>
        </w:rPr>
        <w:t>бъекты автоматизации Системы-112;</w:t>
      </w:r>
    </w:p>
    <w:p>
      <w:pPr>
        <w:pStyle w:val="ListParagraph"/>
        <w:ind w:start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2. Приложение Б, </w:t>
      </w:r>
      <w:r>
        <w:rPr>
          <w:rFonts w:eastAsia="Calibri" w:cs="Times New Roman" w:ascii="Times New Roman" w:hAnsi="Times New Roman"/>
          <w:sz w:val="24"/>
          <w:szCs w:val="24"/>
        </w:rPr>
        <w:t>Объекты интеграции Системы-112;</w:t>
      </w:r>
    </w:p>
    <w:p>
      <w:pPr>
        <w:pStyle w:val="Normal"/>
        <w:rPr>
          <w:rFonts w:ascii="Times New Roman" w:hAnsi="Times New Roman" w:eastAsia="Noto Serif CJK SC" w:cs="Times New Roman"/>
          <w:b/>
          <w:bCs/>
          <w:kern w:val="2"/>
          <w:sz w:val="24"/>
          <w:szCs w:val="24"/>
          <w:lang w:eastAsia="zh-CN" w:bidi="hi-IN"/>
        </w:rPr>
      </w:pPr>
      <w:r>
        <w:rPr>
          <w:rFonts w:eastAsia="Calibri" w:cs="Times New Roman" w:ascii="Times New Roman" w:hAnsi="Times New Roman"/>
          <w:sz w:val="24"/>
          <w:szCs w:val="24"/>
        </w:rPr>
        <w:t>3. </w:t>
      </w:r>
      <w:r>
        <w:rPr>
          <w:rFonts w:eastAsia="Calibri" w:cs="Times New Roman" w:ascii="Times New Roman" w:hAnsi="Times New Roman"/>
          <w:sz w:val="24"/>
          <w:szCs w:val="24"/>
          <w:lang w:eastAsia="ru-RU"/>
        </w:rPr>
        <w:t>Приложение В, </w:t>
      </w:r>
      <w:r>
        <w:rPr>
          <w:rFonts w:eastAsia="Noto Serif CJK SC" w:cs="Times New Roman" w:ascii="Times New Roman" w:hAnsi="Times New Roman"/>
          <w:bCs/>
          <w:kern w:val="2"/>
          <w:sz w:val="24"/>
          <w:szCs w:val="24"/>
          <w:lang w:eastAsia="zh-CN" w:bidi="hi-IN"/>
        </w:rPr>
        <w:t>План мероприятий, проводимых в рамках тестирования Системы-112;</w:t>
      </w:r>
    </w:p>
    <w:p>
      <w:pPr>
        <w:pStyle w:val="Normal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  <w:lang w:eastAsia="ru-RU"/>
        </w:rPr>
        <w:t>4. Приложение Г,</w:t>
      </w:r>
      <w:r>
        <w:rPr>
          <w:rFonts w:cs="Times New Roman" w:ascii="Times New Roman" w:hAnsi="Times New Roman"/>
          <w:bCs/>
          <w:sz w:val="24"/>
          <w:szCs w:val="24"/>
        </w:rPr>
        <w:t> Лист проверки функционирования (тестирования) Системы-112;</w:t>
      </w:r>
    </w:p>
    <w:p>
      <w:pPr>
        <w:pStyle w:val="ListParagraph"/>
        <w:ind w:start="0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eastAsia="Calibri" w:cs="Times New Roman" w:ascii="Times New Roman" w:hAnsi="Times New Roman"/>
          <w:sz w:val="24"/>
          <w:szCs w:val="24"/>
          <w:lang w:eastAsia="ru-RU"/>
        </w:rPr>
        <w:t>5. Приложение Д,</w:t>
      </w:r>
      <w:r>
        <w:rPr>
          <w:rFonts w:cs="Times New Roman" w:ascii="Times New Roman" w:hAnsi="Times New Roman"/>
          <w:sz w:val="24"/>
          <w:szCs w:val="24"/>
        </w:rPr>
        <w:t> Схема маршрутизации Системы-112;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  <w:lang w:eastAsia="ru-RU"/>
        </w:rPr>
        <w:t>6. Приложение Е, Акт об оказании услуг.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ind w:firstLine="709" w:start="5672"/>
        <w:jc w:val="end"/>
        <w:rPr>
          <w:rFonts w:ascii="Times New Roman" w:hAnsi="Times New Roman" w:cs="Times New Roman"/>
          <w:bCs/>
          <w:color w:val="000000"/>
          <w:kern w:val="2"/>
          <w:sz w:val="24"/>
          <w:szCs w:val="24"/>
          <w:lang w:eastAsia="zh-CN"/>
        </w:rPr>
      </w:pPr>
      <w:r>
        <w:rPr>
          <w:rFonts w:cs="Times New Roman" w:ascii="Times New Roman" w:hAnsi="Times New Roman"/>
          <w:bCs/>
          <w:color w:val="000000"/>
          <w:kern w:val="2"/>
          <w:sz w:val="24"/>
          <w:szCs w:val="24"/>
          <w:lang w:eastAsia="zh-CN"/>
        </w:rPr>
        <w:t>Приложение А</w:t>
      </w:r>
    </w:p>
    <w:p>
      <w:pPr>
        <w:pStyle w:val="Normal"/>
        <w:ind w:firstLine="709" w:start="5672"/>
        <w:jc w:val="end"/>
        <w:rPr>
          <w:rFonts w:ascii="Times New Roman" w:hAnsi="Times New Roman" w:cs="Times New Roman"/>
          <w:bCs/>
          <w:color w:val="000000"/>
          <w:kern w:val="2"/>
          <w:sz w:val="24"/>
          <w:szCs w:val="24"/>
          <w:lang w:eastAsia="zh-CN"/>
        </w:rPr>
      </w:pPr>
      <w:r>
        <w:rPr>
          <w:rFonts w:cs="Times New Roman" w:ascii="Times New Roman" w:hAnsi="Times New Roman"/>
          <w:bCs/>
          <w:color w:val="000000"/>
          <w:kern w:val="2"/>
          <w:sz w:val="24"/>
          <w:szCs w:val="24"/>
          <w:lang w:eastAsia="zh-CN"/>
        </w:rPr>
        <w:t>к Техническому заданию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  <w:t>Объекты автоматизации Система-112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ЦОВ, РЦОВ:</w:t>
      </w:r>
    </w:p>
    <w:tbl>
      <w:tblPr>
        <w:tblW w:w="9923" w:type="dxa"/>
        <w:jc w:val="start"/>
        <w:tblInd w:w="-147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558"/>
        <w:gridCol w:w="3270"/>
        <w:gridCol w:w="3015"/>
        <w:gridCol w:w="3080"/>
      </w:tblGrid>
      <w:tr>
        <w:trPr>
          <w:trHeight w:val="20" w:hRule="atLeast"/>
        </w:trPr>
        <w:tc>
          <w:tcPr>
            <w:tcW w:w="55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 xml:space="preserve">№ </w:t>
            </w: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п/п</w:t>
            </w:r>
          </w:p>
        </w:tc>
        <w:tc>
          <w:tcPr>
            <w:tcW w:w="3270" w:type="dxa"/>
            <w:tcBorders>
              <w:top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end="-10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Наименование объекта Системы-112</w:t>
            </w:r>
          </w:p>
        </w:tc>
        <w:tc>
          <w:tcPr>
            <w:tcW w:w="3015" w:type="dxa"/>
            <w:tcBorders>
              <w:top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end="-10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Адрес установки АРМ</w:t>
            </w:r>
          </w:p>
        </w:tc>
        <w:tc>
          <w:tcPr>
            <w:tcW w:w="3080" w:type="dxa"/>
            <w:tcBorders>
              <w:top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end="1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Место размещения оборудования узла точки доступа</w:t>
            </w:r>
          </w:p>
        </w:tc>
      </w:tr>
      <w:tr>
        <w:trPr>
          <w:trHeight w:val="20" w:hRule="atLeast"/>
        </w:trPr>
        <w:tc>
          <w:tcPr>
            <w:tcW w:w="55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70" w:type="dxa"/>
            <w:tcBorders>
              <w:top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ЦОВ (серверный и пользовательский сегмент)</w:t>
            </w:r>
          </w:p>
          <w:p>
            <w:pPr>
              <w:pStyle w:val="Normal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(АТС </w:t>
            </w: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ImSwitch5 112T5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3015" w:type="dxa"/>
            <w:tcBorders>
              <w:top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end="-108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 Нальчик, ул. Мечникова, д. 130 А</w:t>
            </w:r>
          </w:p>
        </w:tc>
        <w:tc>
          <w:tcPr>
            <w:tcW w:w="3080" w:type="dxa"/>
            <w:tcBorders>
              <w:top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end="1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 Нальчик, ул. Мечникова, д. 130 А</w:t>
            </w:r>
          </w:p>
        </w:tc>
      </w:tr>
      <w:tr>
        <w:trPr>
          <w:trHeight w:val="20" w:hRule="atLeast"/>
        </w:trPr>
        <w:tc>
          <w:tcPr>
            <w:tcW w:w="55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270" w:type="dxa"/>
            <w:tcBorders>
              <w:top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РЦОВ (серверный сегмент)</w:t>
            </w:r>
          </w:p>
          <w:p>
            <w:pPr>
              <w:pStyle w:val="Normal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(АТС </w:t>
            </w: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ImSwitch5 112T5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3015" w:type="dxa"/>
            <w:tcBorders>
              <w:top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end="-108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shd w:fill="FFFFFF" w:val="clear"/>
              </w:rPr>
              <w:t>г. Баксан, ул. им. Ю.А. Гагарина, 1е (ранее - ул.Революционная, д.225)</w:t>
            </w:r>
          </w:p>
        </w:tc>
        <w:tc>
          <w:tcPr>
            <w:tcW w:w="3080" w:type="dxa"/>
            <w:tcBorders>
              <w:top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end="10"/>
              <w:jc w:val="star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shd w:fill="FFFFFF" w:val="clear"/>
              </w:rPr>
              <w:t>г. Баксан, ул. им. Ю.А. Гагарина, 1е (ранее - ул.Революционная, д.225)</w:t>
            </w:r>
          </w:p>
        </w:tc>
      </w:tr>
    </w:tbl>
    <w:p>
      <w:pPr>
        <w:pStyle w:val="Normal"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  <w:tab/>
        <w:t>АТС на объектах ЦОВ и РЦОВ оснащены программным обеспечением «Программный комплекс «Протей-</w:t>
      </w:r>
      <w:r>
        <w:rPr>
          <w:rFonts w:eastAsia="Calibri" w:cs="Times New Roman" w:ascii="Times New Roman" w:hAnsi="Times New Roman"/>
          <w:sz w:val="24"/>
          <w:szCs w:val="24"/>
        </w:rPr>
        <w:t xml:space="preserve"> ImSwitc</w:t>
      </w:r>
      <w:r>
        <w:rPr>
          <w:rFonts w:cs="Times New Roman" w:ascii="Times New Roman" w:hAnsi="Times New Roman"/>
          <w:bCs/>
          <w:sz w:val="24"/>
          <w:szCs w:val="24"/>
        </w:rPr>
        <w:t>».</w:t>
      </w:r>
    </w:p>
    <w:p>
      <w:pPr>
        <w:pStyle w:val="Normal"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ЕДДС:</w:t>
      </w:r>
    </w:p>
    <w:tbl>
      <w:tblPr>
        <w:tblW w:w="9923" w:type="dxa"/>
        <w:jc w:val="start"/>
        <w:tblInd w:w="-147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558"/>
        <w:gridCol w:w="3270"/>
        <w:gridCol w:w="3026"/>
        <w:gridCol w:w="3069"/>
      </w:tblGrid>
      <w:tr>
        <w:trPr>
          <w:trHeight w:val="1002" w:hRule="atLeast"/>
        </w:trPr>
        <w:tc>
          <w:tcPr>
            <w:tcW w:w="55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 xml:space="preserve">№ </w:t>
            </w: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п/п</w:t>
            </w:r>
          </w:p>
        </w:tc>
        <w:tc>
          <w:tcPr>
            <w:tcW w:w="3270" w:type="dxa"/>
            <w:tcBorders>
              <w:top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Наименование объекта Системы-112</w:t>
            </w:r>
          </w:p>
          <w:p>
            <w:pPr>
              <w:pStyle w:val="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(пользовательский сегмент)</w:t>
            </w:r>
          </w:p>
        </w:tc>
        <w:tc>
          <w:tcPr>
            <w:tcW w:w="3026" w:type="dxa"/>
            <w:tcBorders>
              <w:top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Адрес установки АРМ</w:t>
            </w:r>
          </w:p>
        </w:tc>
        <w:tc>
          <w:tcPr>
            <w:tcW w:w="3069" w:type="dxa"/>
            <w:tcBorders>
              <w:top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start="31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Место размещения оборудования узла точки доступа</w:t>
            </w:r>
          </w:p>
        </w:tc>
      </w:tr>
      <w:tr>
        <w:trPr>
          <w:trHeight w:val="421" w:hRule="atLeast"/>
        </w:trPr>
        <w:tc>
          <w:tcPr>
            <w:tcW w:w="558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70" w:type="dxa"/>
            <w:tcBorders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ЕДДС г.о. Нальчик</w:t>
            </w:r>
          </w:p>
          <w:p>
            <w:pPr>
              <w:pStyle w:val="Normal"/>
              <w:jc w:val="star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(Tiger.MS/MS</w:t>
            </w:r>
            <w:r>
              <w:rPr>
                <w:rFonts w:eastAsia="Calibri" w:cs="Times New Roman" w:ascii="Times New Roman" w:hAnsi="Times New Roman"/>
                <w:sz w:val="24"/>
                <w:szCs w:val="24"/>
                <w:lang w:val="en-US"/>
              </w:rPr>
              <w:t>C</w:t>
            </w: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 60/2000)</w:t>
            </w:r>
          </w:p>
        </w:tc>
        <w:tc>
          <w:tcPr>
            <w:tcW w:w="3026" w:type="dxa"/>
            <w:tcBorders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 Нальчик, пр. Шогенцукова, д. 17</w:t>
            </w:r>
          </w:p>
        </w:tc>
        <w:tc>
          <w:tcPr>
            <w:tcW w:w="3069" w:type="dxa"/>
            <w:tcBorders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 Нальчик, пр. Шогенцукова, д. 17</w:t>
            </w:r>
          </w:p>
        </w:tc>
      </w:tr>
      <w:tr>
        <w:trPr>
          <w:trHeight w:val="60" w:hRule="atLeast"/>
        </w:trPr>
        <w:tc>
          <w:tcPr>
            <w:tcW w:w="558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270" w:type="dxa"/>
            <w:tcBorders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ЕДДС г.о. Баксан</w:t>
            </w:r>
          </w:p>
          <w:p>
            <w:pPr>
              <w:pStyle w:val="Normal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(Tiger.MS/MS</w:t>
            </w:r>
            <w:r>
              <w:rPr>
                <w:rFonts w:eastAsia="Calibri" w:cs="Times New Roman" w:ascii="Times New Roman" w:hAnsi="Times New Roman"/>
                <w:sz w:val="24"/>
                <w:szCs w:val="24"/>
                <w:lang w:val="en-US"/>
              </w:rPr>
              <w:t>C</w:t>
            </w: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 60/2000)</w:t>
            </w:r>
          </w:p>
        </w:tc>
        <w:tc>
          <w:tcPr>
            <w:tcW w:w="3026" w:type="dxa"/>
            <w:tcBorders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Баксан, пр. Ленина, д. 21</w:t>
            </w:r>
          </w:p>
        </w:tc>
        <w:tc>
          <w:tcPr>
            <w:tcW w:w="3069" w:type="dxa"/>
            <w:tcBorders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 Баксан, пр. Ленина, д. 21</w:t>
            </w:r>
          </w:p>
        </w:tc>
      </w:tr>
      <w:tr>
        <w:trPr>
          <w:trHeight w:val="60" w:hRule="atLeast"/>
        </w:trPr>
        <w:tc>
          <w:tcPr>
            <w:tcW w:w="558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270" w:type="dxa"/>
            <w:tcBorders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ЕДДС г.о. Прохладный</w:t>
            </w:r>
          </w:p>
          <w:p>
            <w:pPr>
              <w:pStyle w:val="Normal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(Tiger.MS/MS</w:t>
            </w:r>
            <w:r>
              <w:rPr>
                <w:rFonts w:eastAsia="Calibri" w:cs="Times New Roman" w:ascii="Times New Roman" w:hAnsi="Times New Roman"/>
                <w:sz w:val="24"/>
                <w:szCs w:val="24"/>
                <w:lang w:val="en-US"/>
              </w:rPr>
              <w:t>C</w:t>
            </w: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 60/2000)</w:t>
            </w:r>
          </w:p>
        </w:tc>
        <w:tc>
          <w:tcPr>
            <w:tcW w:w="3026" w:type="dxa"/>
            <w:tcBorders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 Прохладный, ул. К. Маркса, д. 35</w:t>
            </w:r>
          </w:p>
        </w:tc>
        <w:tc>
          <w:tcPr>
            <w:tcW w:w="3069" w:type="dxa"/>
            <w:tcBorders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 Прохладный, ул. К. Маркса, д. 35</w:t>
            </w:r>
          </w:p>
        </w:tc>
      </w:tr>
      <w:tr>
        <w:trPr>
          <w:trHeight w:val="60" w:hRule="atLeast"/>
        </w:trPr>
        <w:tc>
          <w:tcPr>
            <w:tcW w:w="558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270" w:type="dxa"/>
            <w:tcBorders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ЕДДС Эльбрусский м.р.</w:t>
            </w:r>
          </w:p>
          <w:p>
            <w:pPr>
              <w:pStyle w:val="Normal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(Tiger.MS/MS</w:t>
            </w:r>
            <w:r>
              <w:rPr>
                <w:rFonts w:eastAsia="Calibri" w:cs="Times New Roman" w:ascii="Times New Roman" w:hAnsi="Times New Roman"/>
                <w:sz w:val="24"/>
                <w:szCs w:val="24"/>
                <w:lang w:val="en-US"/>
              </w:rPr>
              <w:t>C</w:t>
            </w: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 60/2000)</w:t>
            </w:r>
          </w:p>
        </w:tc>
        <w:tc>
          <w:tcPr>
            <w:tcW w:w="3026" w:type="dxa"/>
            <w:tcBorders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г.п. Тырныауз, пр. Эльбрусский, д. 34</w:t>
            </w:r>
          </w:p>
        </w:tc>
        <w:tc>
          <w:tcPr>
            <w:tcW w:w="3069" w:type="dxa"/>
            <w:tcBorders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г.п. Тырныауз, пр. Эльбрусский, д. 34</w:t>
            </w:r>
          </w:p>
        </w:tc>
      </w:tr>
      <w:tr>
        <w:trPr>
          <w:trHeight w:val="624" w:hRule="atLeast"/>
        </w:trPr>
        <w:tc>
          <w:tcPr>
            <w:tcW w:w="558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270" w:type="dxa"/>
            <w:tcBorders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ЕДДС Баксанского м.р.</w:t>
            </w:r>
          </w:p>
          <w:p>
            <w:pPr>
              <w:pStyle w:val="Normal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(Tiger.MS/MS</w:t>
            </w:r>
            <w:r>
              <w:rPr>
                <w:rFonts w:eastAsia="Calibri" w:cs="Times New Roman" w:ascii="Times New Roman" w:hAnsi="Times New Roman"/>
                <w:sz w:val="24"/>
                <w:szCs w:val="24"/>
                <w:lang w:val="en-US"/>
              </w:rPr>
              <w:t>C</w:t>
            </w: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 60/2000)</w:t>
            </w:r>
          </w:p>
        </w:tc>
        <w:tc>
          <w:tcPr>
            <w:tcW w:w="3026" w:type="dxa"/>
            <w:tcBorders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shd w:fill="FFFFFF" w:val="clear"/>
              </w:rPr>
              <w:t>г. Баксан, ул. им Ю.А. Гагарина, д. 1е (ранее - ул.Революционная, д.225)</w:t>
            </w:r>
          </w:p>
        </w:tc>
        <w:tc>
          <w:tcPr>
            <w:tcW w:w="3069" w:type="dxa"/>
            <w:tcBorders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shd w:fill="FFFFFF" w:val="clear"/>
              </w:rPr>
              <w:t>г. Баксан, ул. им Ю.А. Гагарина, д. 1е (ранее - ул.Революционная, д.225)</w:t>
            </w:r>
          </w:p>
        </w:tc>
      </w:tr>
      <w:tr>
        <w:trPr>
          <w:trHeight w:val="60" w:hRule="atLeast"/>
        </w:trPr>
        <w:tc>
          <w:tcPr>
            <w:tcW w:w="558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270" w:type="dxa"/>
            <w:tcBorders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ЕДДС Прохладненского м.р. </w:t>
            </w: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(Tiger.MS/MS</w:t>
            </w:r>
            <w:r>
              <w:rPr>
                <w:rFonts w:eastAsia="Calibri" w:cs="Times New Roman" w:ascii="Times New Roman" w:hAnsi="Times New Roman"/>
                <w:sz w:val="24"/>
                <w:szCs w:val="24"/>
                <w:lang w:val="en-US"/>
              </w:rPr>
              <w:t>C</w:t>
            </w: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 60/2000)</w:t>
            </w:r>
          </w:p>
        </w:tc>
        <w:tc>
          <w:tcPr>
            <w:tcW w:w="3026" w:type="dxa"/>
            <w:tcBorders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 Прохладный, ул. Гагарина, д. 47</w:t>
            </w:r>
          </w:p>
        </w:tc>
        <w:tc>
          <w:tcPr>
            <w:tcW w:w="3069" w:type="dxa"/>
            <w:tcBorders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 Прохладный, ул. Гагарина, д. 47</w:t>
            </w:r>
          </w:p>
        </w:tc>
      </w:tr>
      <w:tr>
        <w:trPr>
          <w:trHeight w:val="60" w:hRule="atLeast"/>
        </w:trPr>
        <w:tc>
          <w:tcPr>
            <w:tcW w:w="558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270" w:type="dxa"/>
            <w:tcBorders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star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ЕДДС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 xml:space="preserve"> Урванского м.р.</w:t>
            </w:r>
          </w:p>
          <w:p>
            <w:pPr>
              <w:pStyle w:val="Normal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(Tiger.MS/MS</w:t>
            </w:r>
            <w:r>
              <w:rPr>
                <w:rFonts w:eastAsia="Calibri" w:cs="Times New Roman" w:ascii="Times New Roman" w:hAnsi="Times New Roman"/>
                <w:sz w:val="24"/>
                <w:szCs w:val="24"/>
                <w:lang w:val="en-US"/>
              </w:rPr>
              <w:t>C</w:t>
            </w: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 60/2000)</w:t>
            </w:r>
          </w:p>
        </w:tc>
        <w:tc>
          <w:tcPr>
            <w:tcW w:w="3026" w:type="dxa"/>
            <w:tcBorders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 Нарткала, ул. Ленина, д. 37</w:t>
            </w:r>
          </w:p>
        </w:tc>
        <w:tc>
          <w:tcPr>
            <w:tcW w:w="3069" w:type="dxa"/>
            <w:tcBorders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 Нарткала, ул. Ленина, д. 37</w:t>
            </w:r>
          </w:p>
        </w:tc>
      </w:tr>
      <w:tr>
        <w:trPr>
          <w:trHeight w:val="60" w:hRule="atLeast"/>
        </w:trPr>
        <w:tc>
          <w:tcPr>
            <w:tcW w:w="558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270" w:type="dxa"/>
            <w:tcBorders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star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ЕДДС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 xml:space="preserve"> Чегемского м.р.</w:t>
            </w:r>
          </w:p>
          <w:p>
            <w:pPr>
              <w:pStyle w:val="Normal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(Tiger.MS/MS</w:t>
            </w:r>
            <w:r>
              <w:rPr>
                <w:rFonts w:eastAsia="Calibri" w:cs="Times New Roman" w:ascii="Times New Roman" w:hAnsi="Times New Roman"/>
                <w:sz w:val="24"/>
                <w:szCs w:val="24"/>
                <w:lang w:val="en-US"/>
              </w:rPr>
              <w:t>C</w:t>
            </w: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 60/2000)</w:t>
            </w:r>
          </w:p>
        </w:tc>
        <w:tc>
          <w:tcPr>
            <w:tcW w:w="3026" w:type="dxa"/>
            <w:tcBorders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г.п. Чегем, ул. Баксанское Шоссе, д. 3</w:t>
            </w:r>
          </w:p>
        </w:tc>
        <w:tc>
          <w:tcPr>
            <w:tcW w:w="3069" w:type="dxa"/>
            <w:tcBorders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г.п. Чегем, ул. Баксанское Шоссе, д. 3</w:t>
            </w:r>
          </w:p>
        </w:tc>
      </w:tr>
      <w:tr>
        <w:trPr>
          <w:trHeight w:val="60" w:hRule="atLeast"/>
        </w:trPr>
        <w:tc>
          <w:tcPr>
            <w:tcW w:w="558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270" w:type="dxa"/>
            <w:tcBorders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star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ЕДДС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 xml:space="preserve"> Терского м.р.</w:t>
            </w:r>
          </w:p>
          <w:p>
            <w:pPr>
              <w:pStyle w:val="Normal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(Tiger.MS/MS</w:t>
            </w:r>
            <w:r>
              <w:rPr>
                <w:rFonts w:eastAsia="Calibri" w:cs="Times New Roman" w:ascii="Times New Roman" w:hAnsi="Times New Roman"/>
                <w:sz w:val="24"/>
                <w:szCs w:val="24"/>
                <w:lang w:val="en-US"/>
              </w:rPr>
              <w:t>C</w:t>
            </w: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 60/2000)</w:t>
            </w:r>
          </w:p>
        </w:tc>
        <w:tc>
          <w:tcPr>
            <w:tcW w:w="3026" w:type="dxa"/>
            <w:tcBorders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 Терек, ул. Ленина, д. 15</w:t>
            </w:r>
          </w:p>
        </w:tc>
        <w:tc>
          <w:tcPr>
            <w:tcW w:w="3069" w:type="dxa"/>
            <w:tcBorders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 Терек, ул. Ленина, д. 15</w:t>
            </w:r>
          </w:p>
        </w:tc>
      </w:tr>
      <w:tr>
        <w:trPr>
          <w:trHeight w:val="60" w:hRule="atLeast"/>
        </w:trPr>
        <w:tc>
          <w:tcPr>
            <w:tcW w:w="558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270" w:type="dxa"/>
            <w:tcBorders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star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ЕДДС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 xml:space="preserve"> Зольского м.р.</w:t>
            </w:r>
          </w:p>
          <w:p>
            <w:pPr>
              <w:pStyle w:val="Normal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(Tiger.MS/MS</w:t>
            </w:r>
            <w:r>
              <w:rPr>
                <w:rFonts w:eastAsia="Calibri" w:cs="Times New Roman" w:ascii="Times New Roman" w:hAnsi="Times New Roman"/>
                <w:sz w:val="24"/>
                <w:szCs w:val="24"/>
                <w:lang w:val="en-US"/>
              </w:rPr>
              <w:t>C</w:t>
            </w: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 60/2000)</w:t>
            </w:r>
          </w:p>
        </w:tc>
        <w:tc>
          <w:tcPr>
            <w:tcW w:w="3026" w:type="dxa"/>
            <w:tcBorders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г.п. Залукокоаже, ул. Комсомольская, д. 89</w:t>
            </w:r>
          </w:p>
        </w:tc>
        <w:tc>
          <w:tcPr>
            <w:tcW w:w="3069" w:type="dxa"/>
            <w:tcBorders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г.п. Залукокоаже, ул. Комсомольская, д. 89</w:t>
            </w:r>
          </w:p>
        </w:tc>
      </w:tr>
      <w:tr>
        <w:trPr>
          <w:trHeight w:val="60" w:hRule="atLeast"/>
        </w:trPr>
        <w:tc>
          <w:tcPr>
            <w:tcW w:w="558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270" w:type="dxa"/>
            <w:tcBorders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star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ЕДДС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 xml:space="preserve"> Майского м.р.</w:t>
            </w:r>
          </w:p>
          <w:p>
            <w:pPr>
              <w:pStyle w:val="Normal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(Tiger.MS/MS</w:t>
            </w:r>
            <w:r>
              <w:rPr>
                <w:rFonts w:eastAsia="Calibri" w:cs="Times New Roman" w:ascii="Times New Roman" w:hAnsi="Times New Roman"/>
                <w:sz w:val="24"/>
                <w:szCs w:val="24"/>
                <w:lang w:val="en-US"/>
              </w:rPr>
              <w:t>C</w:t>
            </w: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 60/2000)</w:t>
            </w:r>
          </w:p>
        </w:tc>
        <w:tc>
          <w:tcPr>
            <w:tcW w:w="3026" w:type="dxa"/>
            <w:tcBorders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 Майский, ул. Энгельса, д. 68</w:t>
            </w:r>
          </w:p>
        </w:tc>
        <w:tc>
          <w:tcPr>
            <w:tcW w:w="3069" w:type="dxa"/>
            <w:tcBorders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 Майский, ул. Энгельса, д. 68</w:t>
            </w:r>
          </w:p>
        </w:tc>
      </w:tr>
      <w:tr>
        <w:trPr>
          <w:trHeight w:val="60" w:hRule="atLeast"/>
        </w:trPr>
        <w:tc>
          <w:tcPr>
            <w:tcW w:w="558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270" w:type="dxa"/>
            <w:tcBorders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star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ЕДДС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 xml:space="preserve"> Лескенский м.р.</w:t>
            </w:r>
          </w:p>
          <w:p>
            <w:pPr>
              <w:pStyle w:val="Normal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(Tiger.MS/MS</w:t>
            </w:r>
            <w:r>
              <w:rPr>
                <w:rFonts w:eastAsia="Calibri" w:cs="Times New Roman" w:ascii="Times New Roman" w:hAnsi="Times New Roman"/>
                <w:sz w:val="24"/>
                <w:szCs w:val="24"/>
                <w:lang w:val="en-US"/>
              </w:rPr>
              <w:t>C</w:t>
            </w: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 60/2000)</w:t>
            </w:r>
          </w:p>
        </w:tc>
        <w:tc>
          <w:tcPr>
            <w:tcW w:w="3026" w:type="dxa"/>
            <w:tcBorders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с.п. Анзорей, ул. Шинахова, д. 1А</w:t>
            </w:r>
          </w:p>
        </w:tc>
        <w:tc>
          <w:tcPr>
            <w:tcW w:w="3069" w:type="dxa"/>
            <w:tcBorders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с.п. Анзорей, ул. Шинахова, д. 1А</w:t>
            </w:r>
          </w:p>
        </w:tc>
      </w:tr>
      <w:tr>
        <w:trPr>
          <w:trHeight w:val="96" w:hRule="atLeast"/>
        </w:trPr>
        <w:tc>
          <w:tcPr>
            <w:tcW w:w="558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270" w:type="dxa"/>
            <w:tcBorders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star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ЕДДС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 xml:space="preserve"> Черекского м.р.</w:t>
            </w:r>
          </w:p>
          <w:p>
            <w:pPr>
              <w:pStyle w:val="Normal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(Tiger.MS/MS</w:t>
            </w:r>
            <w:r>
              <w:rPr>
                <w:rFonts w:eastAsia="Calibri" w:cs="Times New Roman" w:ascii="Times New Roman" w:hAnsi="Times New Roman"/>
                <w:sz w:val="24"/>
                <w:szCs w:val="24"/>
                <w:lang w:val="en-US"/>
              </w:rPr>
              <w:t>C</w:t>
            </w: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 60/2000)</w:t>
            </w:r>
          </w:p>
        </w:tc>
        <w:tc>
          <w:tcPr>
            <w:tcW w:w="3026" w:type="dxa"/>
            <w:tcBorders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п.г.т. Кашхатау, ул. К. Мечиева, д. 108</w:t>
            </w:r>
          </w:p>
        </w:tc>
        <w:tc>
          <w:tcPr>
            <w:tcW w:w="3069" w:type="dxa"/>
            <w:tcBorders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п.г.т. Кашхатау, ул. К. Мечиева, д. 108</w:t>
            </w:r>
          </w:p>
        </w:tc>
      </w:tr>
    </w:tbl>
    <w:p>
      <w:pPr>
        <w:pStyle w:val="Normal"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b/>
          <w:i/>
          <w:sz w:val="24"/>
          <w:szCs w:val="24"/>
        </w:rPr>
        <w:tab/>
      </w:r>
      <w:r>
        <w:rPr>
          <w:rFonts w:eastAsia="Calibri" w:cs="Times New Roman" w:ascii="Times New Roman" w:hAnsi="Times New Roman"/>
          <w:sz w:val="24"/>
          <w:szCs w:val="24"/>
        </w:rPr>
        <w:t xml:space="preserve">Tiger на объектах ЕДДС </w:t>
      </w:r>
      <w:r>
        <w:rPr>
          <w:rFonts w:cs="Times New Roman" w:ascii="Times New Roman" w:hAnsi="Times New Roman"/>
          <w:bCs/>
          <w:sz w:val="24"/>
          <w:szCs w:val="24"/>
        </w:rPr>
        <w:t>оснащены программным обеспечением «Программный комплекс «Протей-</w:t>
      </w:r>
      <w:r>
        <w:rPr>
          <w:rFonts w:eastAsia="Calibri" w:cs="Times New Roman" w:ascii="Times New Roman" w:hAnsi="Times New Roman"/>
          <w:sz w:val="24"/>
          <w:szCs w:val="24"/>
        </w:rPr>
        <w:t xml:space="preserve"> ImSwitc</w:t>
      </w:r>
      <w:r>
        <w:rPr>
          <w:rFonts w:cs="Times New Roman" w:ascii="Times New Roman" w:hAnsi="Times New Roman"/>
          <w:bCs/>
          <w:sz w:val="24"/>
          <w:szCs w:val="24"/>
        </w:rPr>
        <w:t>».</w:t>
      </w:r>
    </w:p>
    <w:p>
      <w:pPr>
        <w:pStyle w:val="Normal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cs="Times New Roman" w:ascii="Times New Roman" w:hAnsi="Times New Roman"/>
          <w:b/>
          <w:i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ДДС «01»:</w:t>
      </w:r>
    </w:p>
    <w:tbl>
      <w:tblPr>
        <w:tblW w:w="9923" w:type="dxa"/>
        <w:jc w:val="start"/>
        <w:tblInd w:w="-147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559"/>
        <w:gridCol w:w="3411"/>
        <w:gridCol w:w="2976"/>
        <w:gridCol w:w="2977"/>
      </w:tblGrid>
      <w:tr>
        <w:trPr>
          <w:trHeight w:val="20" w:hRule="atLeast"/>
        </w:trPr>
        <w:tc>
          <w:tcPr>
            <w:tcW w:w="55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 xml:space="preserve">№ </w:t>
            </w: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п/п</w:t>
            </w:r>
          </w:p>
        </w:tc>
        <w:tc>
          <w:tcPr>
            <w:tcW w:w="3411" w:type="dxa"/>
            <w:tcBorders>
              <w:top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Наименование объекта Системы-112</w:t>
            </w:r>
          </w:p>
          <w:p>
            <w:pPr>
              <w:pStyle w:val="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(пользовательский сегмент)</w:t>
            </w:r>
          </w:p>
        </w:tc>
        <w:tc>
          <w:tcPr>
            <w:tcW w:w="2976" w:type="dxa"/>
            <w:tcBorders>
              <w:top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Адрес установки АРМ</w:t>
            </w:r>
          </w:p>
        </w:tc>
        <w:tc>
          <w:tcPr>
            <w:tcW w:w="2977" w:type="dxa"/>
            <w:tcBorders>
              <w:top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end="1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Место размещения оборудования узла точки доступа</w:t>
            </w:r>
          </w:p>
        </w:tc>
      </w:tr>
      <w:tr>
        <w:trPr>
          <w:trHeight w:val="20" w:hRule="atLeast"/>
        </w:trPr>
        <w:tc>
          <w:tcPr>
            <w:tcW w:w="559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11" w:type="dxa"/>
            <w:tcBorders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ДДС-01 г.о.Нальчик</w:t>
            </w:r>
          </w:p>
          <w:p>
            <w:pPr>
              <w:pStyle w:val="Normal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(ГПС ПСЧ-1, ЦППС)</w:t>
            </w:r>
          </w:p>
        </w:tc>
        <w:tc>
          <w:tcPr>
            <w:tcW w:w="2976" w:type="dxa"/>
            <w:tcBorders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end="-114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 Нальчик, ул. Пачева, д. 14</w:t>
            </w:r>
          </w:p>
        </w:tc>
        <w:tc>
          <w:tcPr>
            <w:tcW w:w="2977" w:type="dxa"/>
            <w:tcBorders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end="-105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 Нальчик, ул. Пачева, д. 14</w:t>
            </w:r>
          </w:p>
        </w:tc>
      </w:tr>
      <w:tr>
        <w:trPr>
          <w:trHeight w:val="20" w:hRule="atLeast"/>
        </w:trPr>
        <w:tc>
          <w:tcPr>
            <w:tcW w:w="559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411" w:type="dxa"/>
            <w:tcBorders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start"/>
              <w:rPr>
                <w:rFonts w:ascii="Times New Roman" w:hAnsi="Times New Roman" w:eastAsia="MS Mincho" w:cs="Times New Roman"/>
                <w:color w:val="000000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ДДС-01 г.о. Баксан и Баксанский м.р. (ПСЧ-7)</w:t>
            </w:r>
          </w:p>
        </w:tc>
        <w:tc>
          <w:tcPr>
            <w:tcW w:w="2976" w:type="dxa"/>
            <w:tcBorders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end="-114"/>
              <w:jc w:val="start"/>
              <w:rPr>
                <w:rFonts w:ascii="Times New Roman" w:hAnsi="Times New Roman" w:eastAsia="MS Mincho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г. Баксан, ул. Катханова, д. 75</w:t>
            </w:r>
          </w:p>
        </w:tc>
        <w:tc>
          <w:tcPr>
            <w:tcW w:w="2977" w:type="dxa"/>
            <w:tcBorders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end="-105"/>
              <w:jc w:val="start"/>
              <w:rPr>
                <w:rFonts w:ascii="Times New Roman" w:hAnsi="Times New Roman" w:eastAsia="MS Mincho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г. Баксан, ул. Катханова, д. 75</w:t>
            </w:r>
          </w:p>
        </w:tc>
      </w:tr>
      <w:tr>
        <w:trPr>
          <w:trHeight w:val="20" w:hRule="atLeast"/>
        </w:trPr>
        <w:tc>
          <w:tcPr>
            <w:tcW w:w="559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411" w:type="dxa"/>
            <w:tcBorders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start"/>
              <w:rPr>
                <w:rFonts w:ascii="Times New Roman" w:hAnsi="Times New Roman" w:eastAsia="MS Mincho" w:cs="Times New Roman"/>
                <w:color w:val="000000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ДДС-01 г.о. Прохладный и Прохладненский м.р. (ПСЧ-4)</w:t>
            </w:r>
          </w:p>
        </w:tc>
        <w:tc>
          <w:tcPr>
            <w:tcW w:w="2976" w:type="dxa"/>
            <w:tcBorders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end="-114"/>
              <w:jc w:val="start"/>
              <w:rPr>
                <w:rFonts w:ascii="Times New Roman" w:hAnsi="Times New Roman" w:eastAsia="MS Mincho" w:cs="Times New Roman"/>
                <w:color w:val="000000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г. Прохладный, ул. Канкавы, д. 4</w:t>
            </w:r>
          </w:p>
        </w:tc>
        <w:tc>
          <w:tcPr>
            <w:tcW w:w="2977" w:type="dxa"/>
            <w:tcBorders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end="-105"/>
              <w:jc w:val="start"/>
              <w:rPr>
                <w:rFonts w:ascii="Times New Roman" w:hAnsi="Times New Roman" w:eastAsia="MS Mincho" w:cs="Times New Roman"/>
                <w:color w:val="000000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г. Прохладный, ул. Канкавы, д. 4</w:t>
            </w:r>
          </w:p>
        </w:tc>
      </w:tr>
      <w:tr>
        <w:trPr>
          <w:trHeight w:val="20" w:hRule="atLeast"/>
        </w:trPr>
        <w:tc>
          <w:tcPr>
            <w:tcW w:w="559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411" w:type="dxa"/>
            <w:tcBorders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ДДС-01 Майский м.р.</w:t>
            </w:r>
          </w:p>
          <w:p>
            <w:pPr>
              <w:pStyle w:val="Normal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(ПСЧ-6)</w:t>
            </w:r>
          </w:p>
        </w:tc>
        <w:tc>
          <w:tcPr>
            <w:tcW w:w="2976" w:type="dxa"/>
            <w:tcBorders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end="-114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 Майский, ул. 9 Мая, д. 175</w:t>
            </w:r>
          </w:p>
        </w:tc>
        <w:tc>
          <w:tcPr>
            <w:tcW w:w="2977" w:type="dxa"/>
            <w:tcBorders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end="-105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 Майский, ул. 9 Мая, д. 175</w:t>
            </w:r>
          </w:p>
        </w:tc>
      </w:tr>
      <w:tr>
        <w:trPr>
          <w:trHeight w:val="20" w:hRule="atLeast"/>
        </w:trPr>
        <w:tc>
          <w:tcPr>
            <w:tcW w:w="559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411" w:type="dxa"/>
            <w:tcBorders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ДДС-01 Черекский м.р.</w:t>
            </w:r>
          </w:p>
          <w:p>
            <w:pPr>
              <w:pStyle w:val="Normal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(ПСЧ-8)</w:t>
            </w:r>
          </w:p>
        </w:tc>
        <w:tc>
          <w:tcPr>
            <w:tcW w:w="2976" w:type="dxa"/>
            <w:tcBorders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end="-114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п.г.т. Кашхатау, ул. Мечиева, д. 98А</w:t>
            </w:r>
          </w:p>
        </w:tc>
        <w:tc>
          <w:tcPr>
            <w:tcW w:w="2977" w:type="dxa"/>
            <w:tcBorders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end="-105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п.г.т. Кашхатау, ул. Мечиева, д. 98А</w:t>
            </w:r>
          </w:p>
        </w:tc>
      </w:tr>
      <w:tr>
        <w:trPr>
          <w:trHeight w:val="20" w:hRule="atLeast"/>
        </w:trPr>
        <w:tc>
          <w:tcPr>
            <w:tcW w:w="559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411" w:type="dxa"/>
            <w:tcBorders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ДДС-01 Зольский м.р.</w:t>
            </w:r>
          </w:p>
          <w:p>
            <w:pPr>
              <w:pStyle w:val="Normal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(ПСЧ-9)</w:t>
            </w:r>
          </w:p>
        </w:tc>
        <w:tc>
          <w:tcPr>
            <w:tcW w:w="2976" w:type="dxa"/>
            <w:tcBorders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end="-114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п.г.т. Залукокоаже, ул. Заречная, д. 4</w:t>
            </w:r>
          </w:p>
        </w:tc>
        <w:tc>
          <w:tcPr>
            <w:tcW w:w="2977" w:type="dxa"/>
            <w:tcBorders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end="-105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п.г.т. Залукокоаже, ул. Заречная, д. 4</w:t>
            </w:r>
          </w:p>
        </w:tc>
      </w:tr>
      <w:tr>
        <w:trPr>
          <w:trHeight w:val="20" w:hRule="atLeast"/>
        </w:trPr>
        <w:tc>
          <w:tcPr>
            <w:tcW w:w="559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411" w:type="dxa"/>
            <w:tcBorders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ДДС-01 Лескенский м.р. (ПСЧ-14)</w:t>
            </w:r>
          </w:p>
        </w:tc>
        <w:tc>
          <w:tcPr>
            <w:tcW w:w="2976" w:type="dxa"/>
            <w:tcBorders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end="-114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с.п. Анзорей, ФД «Кавказ» Р-217 485 км</w:t>
            </w:r>
          </w:p>
        </w:tc>
        <w:tc>
          <w:tcPr>
            <w:tcW w:w="2977" w:type="dxa"/>
            <w:tcBorders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end="-105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с.п. Анзорей, ФД «Кавказ» Р-217 485 км</w:t>
            </w:r>
          </w:p>
        </w:tc>
      </w:tr>
      <w:tr>
        <w:trPr>
          <w:trHeight w:val="20" w:hRule="atLeast"/>
        </w:trPr>
        <w:tc>
          <w:tcPr>
            <w:tcW w:w="559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411" w:type="dxa"/>
            <w:tcBorders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star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ДДС-01 Урванский м.р.</w:t>
            </w:r>
          </w:p>
          <w:p>
            <w:pPr>
              <w:pStyle w:val="Normal"/>
              <w:jc w:val="start"/>
              <w:rPr>
                <w:rFonts w:ascii="Times New Roman" w:hAnsi="Times New Roman" w:eastAsia="MS Mincho" w:cs="Times New Roman"/>
                <w:color w:val="000000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(ПСЧ-5)</w:t>
            </w:r>
          </w:p>
        </w:tc>
        <w:tc>
          <w:tcPr>
            <w:tcW w:w="2976" w:type="dxa"/>
            <w:tcBorders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end="-114"/>
              <w:jc w:val="start"/>
              <w:rPr>
                <w:rFonts w:ascii="Times New Roman" w:hAnsi="Times New Roman" w:eastAsia="MS Mincho" w:cs="Times New Roman"/>
                <w:color w:val="000000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г. Нарткала, ул. Терешковой, д. 1</w:t>
            </w:r>
          </w:p>
        </w:tc>
        <w:tc>
          <w:tcPr>
            <w:tcW w:w="2977" w:type="dxa"/>
            <w:tcBorders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end="-105"/>
              <w:jc w:val="start"/>
              <w:rPr>
                <w:rFonts w:ascii="Times New Roman" w:hAnsi="Times New Roman" w:eastAsia="MS Mincho" w:cs="Times New Roman"/>
                <w:color w:val="000000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г. Нарткала, ул. Терешковой, д. 1</w:t>
            </w:r>
          </w:p>
        </w:tc>
      </w:tr>
      <w:tr>
        <w:trPr>
          <w:trHeight w:val="20" w:hRule="atLeast"/>
        </w:trPr>
        <w:tc>
          <w:tcPr>
            <w:tcW w:w="559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411" w:type="dxa"/>
            <w:tcBorders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star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ДДС-01 Терский м.р.</w:t>
            </w:r>
          </w:p>
          <w:p>
            <w:pPr>
              <w:pStyle w:val="Normal"/>
              <w:jc w:val="start"/>
              <w:rPr>
                <w:rFonts w:ascii="Times New Roman" w:hAnsi="Times New Roman" w:eastAsia="MS Mincho" w:cs="Times New Roman"/>
                <w:color w:val="000000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(ПСЧ-11)</w:t>
            </w:r>
          </w:p>
        </w:tc>
        <w:tc>
          <w:tcPr>
            <w:tcW w:w="2976" w:type="dxa"/>
            <w:tcBorders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end="-114"/>
              <w:jc w:val="start"/>
              <w:rPr>
                <w:rFonts w:ascii="Times New Roman" w:hAnsi="Times New Roman" w:eastAsia="MS Mincho" w:cs="Times New Roman"/>
                <w:color w:val="000000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г. Терек, ул. Панагова, д. 161</w:t>
            </w:r>
          </w:p>
        </w:tc>
        <w:tc>
          <w:tcPr>
            <w:tcW w:w="2977" w:type="dxa"/>
            <w:tcBorders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end="-105"/>
              <w:jc w:val="start"/>
              <w:rPr>
                <w:rFonts w:ascii="Times New Roman" w:hAnsi="Times New Roman" w:eastAsia="MS Mincho" w:cs="Times New Roman"/>
                <w:color w:val="000000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г. Терек, ул. Панагова, д. 161</w:t>
            </w:r>
          </w:p>
        </w:tc>
      </w:tr>
      <w:tr>
        <w:trPr>
          <w:trHeight w:val="20" w:hRule="atLeast"/>
        </w:trPr>
        <w:tc>
          <w:tcPr>
            <w:tcW w:w="559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411" w:type="dxa"/>
            <w:tcBorders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star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ДДС-01 Чегемский м.р.</w:t>
            </w:r>
          </w:p>
          <w:p>
            <w:pPr>
              <w:pStyle w:val="Normal"/>
              <w:jc w:val="start"/>
              <w:rPr>
                <w:rFonts w:ascii="Times New Roman" w:hAnsi="Times New Roman" w:eastAsia="MS Mincho" w:cs="Times New Roman"/>
                <w:color w:val="000000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(ПСЧ-3)</w:t>
            </w:r>
          </w:p>
        </w:tc>
        <w:tc>
          <w:tcPr>
            <w:tcW w:w="2976" w:type="dxa"/>
            <w:tcBorders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end="-114"/>
              <w:jc w:val="start"/>
              <w:rPr>
                <w:rFonts w:ascii="Times New Roman" w:hAnsi="Times New Roman" w:eastAsia="MS Mincho" w:cs="Times New Roman"/>
                <w:color w:val="000000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г.п. Чегем, ул. Набережная, д. 69</w:t>
            </w:r>
          </w:p>
        </w:tc>
        <w:tc>
          <w:tcPr>
            <w:tcW w:w="2977" w:type="dxa"/>
            <w:tcBorders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end="-105"/>
              <w:jc w:val="start"/>
              <w:rPr>
                <w:rFonts w:ascii="Times New Roman" w:hAnsi="Times New Roman" w:eastAsia="MS Mincho" w:cs="Times New Roman"/>
                <w:color w:val="000000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г.п. Чегем, ул. Набережная, д. 69</w:t>
            </w:r>
          </w:p>
        </w:tc>
      </w:tr>
      <w:tr>
        <w:trPr>
          <w:trHeight w:val="20" w:hRule="atLeast"/>
        </w:trPr>
        <w:tc>
          <w:tcPr>
            <w:tcW w:w="559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411" w:type="dxa"/>
            <w:tcBorders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ДДС-01 Эльбрусский м.р.</w:t>
            </w:r>
          </w:p>
          <w:p>
            <w:pPr>
              <w:pStyle w:val="Normal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(ПСЧ-10)</w:t>
            </w:r>
          </w:p>
        </w:tc>
        <w:tc>
          <w:tcPr>
            <w:tcW w:w="2976" w:type="dxa"/>
            <w:tcBorders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г.п. 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Тырныауз, пр. Эльбрусский, д. 42</w:t>
            </w:r>
          </w:p>
        </w:tc>
        <w:tc>
          <w:tcPr>
            <w:tcW w:w="2977" w:type="dxa"/>
            <w:tcBorders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end="-105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г.п. 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Тырныауз, пр. Эльбрусский, д. 42</w:t>
            </w:r>
          </w:p>
        </w:tc>
      </w:tr>
    </w:tbl>
    <w:p>
      <w:pPr>
        <w:pStyle w:val="Normal"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ДДС «03»:</w:t>
      </w:r>
    </w:p>
    <w:tbl>
      <w:tblPr>
        <w:tblW w:w="9923" w:type="dxa"/>
        <w:jc w:val="start"/>
        <w:tblInd w:w="-147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558"/>
        <w:gridCol w:w="3694"/>
        <w:gridCol w:w="2835"/>
        <w:gridCol w:w="2836"/>
      </w:tblGrid>
      <w:tr>
        <w:trPr>
          <w:trHeight w:val="20" w:hRule="atLeast"/>
        </w:trPr>
        <w:tc>
          <w:tcPr>
            <w:tcW w:w="55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 xml:space="preserve">№ </w:t>
            </w: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п/п</w:t>
            </w:r>
          </w:p>
        </w:tc>
        <w:tc>
          <w:tcPr>
            <w:tcW w:w="3694" w:type="dxa"/>
            <w:tcBorders>
              <w:top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Наименование объекта Системы-112</w:t>
            </w:r>
          </w:p>
          <w:p>
            <w:pPr>
              <w:pStyle w:val="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(пользовательский сегмент)</w:t>
            </w:r>
          </w:p>
        </w:tc>
        <w:tc>
          <w:tcPr>
            <w:tcW w:w="2835" w:type="dxa"/>
            <w:tcBorders>
              <w:top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Адрес установки АРМ</w:t>
            </w:r>
          </w:p>
        </w:tc>
        <w:tc>
          <w:tcPr>
            <w:tcW w:w="2836" w:type="dxa"/>
            <w:tcBorders>
              <w:top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end="1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Место размещения оборудования узла точки доступа</w:t>
            </w:r>
          </w:p>
        </w:tc>
      </w:tr>
      <w:tr>
        <w:trPr>
          <w:trHeight w:val="20" w:hRule="atLeast"/>
        </w:trPr>
        <w:tc>
          <w:tcPr>
            <w:tcW w:w="558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694" w:type="dxa"/>
            <w:tcBorders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end="-108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ДДС-03 г.о. Нальчик (ГБУ СМП)</w:t>
            </w:r>
          </w:p>
        </w:tc>
        <w:tc>
          <w:tcPr>
            <w:tcW w:w="2835" w:type="dxa"/>
            <w:tcBorders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end="-108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 Нальчик, ул. Лермонтова, д. 28</w:t>
            </w:r>
          </w:p>
        </w:tc>
        <w:tc>
          <w:tcPr>
            <w:tcW w:w="2836" w:type="dxa"/>
            <w:tcBorders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end="-108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 Нальчик, ул. Лермонтова, д. 28</w:t>
            </w:r>
          </w:p>
        </w:tc>
      </w:tr>
      <w:tr>
        <w:trPr>
          <w:trHeight w:val="20" w:hRule="atLeast"/>
        </w:trPr>
        <w:tc>
          <w:tcPr>
            <w:tcW w:w="558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694" w:type="dxa"/>
            <w:tcBorders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ДДС-03 Черекского м.р. (ЦРБ)</w:t>
            </w:r>
          </w:p>
        </w:tc>
        <w:tc>
          <w:tcPr>
            <w:tcW w:w="2835" w:type="dxa"/>
            <w:tcBorders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end="-108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п.г.т. Кашхатау, ул. Абаева, д. 1</w:t>
            </w:r>
          </w:p>
        </w:tc>
        <w:tc>
          <w:tcPr>
            <w:tcW w:w="2836" w:type="dxa"/>
            <w:tcBorders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end="-108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п.г.т. Кашхатау, ул. Абаева, д. 1</w:t>
            </w:r>
          </w:p>
        </w:tc>
      </w:tr>
      <w:tr>
        <w:trPr>
          <w:trHeight w:val="20" w:hRule="atLeast"/>
        </w:trPr>
        <w:tc>
          <w:tcPr>
            <w:tcW w:w="558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694" w:type="dxa"/>
            <w:tcBorders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ДДС-03 Зольского м.р. (ЦРБ)</w:t>
            </w:r>
          </w:p>
        </w:tc>
        <w:tc>
          <w:tcPr>
            <w:tcW w:w="2835" w:type="dxa"/>
            <w:tcBorders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end="-108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п.г.т. Залукокоаже, ул. З. И. Хакирова, д. 10</w:t>
            </w:r>
          </w:p>
        </w:tc>
        <w:tc>
          <w:tcPr>
            <w:tcW w:w="2836" w:type="dxa"/>
            <w:tcBorders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end="-108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п.г.т. Залукокоаже, ул. З. И. Хакирова, д. 10</w:t>
            </w:r>
          </w:p>
        </w:tc>
      </w:tr>
      <w:tr>
        <w:trPr>
          <w:trHeight w:val="20" w:hRule="atLeast"/>
        </w:trPr>
        <w:tc>
          <w:tcPr>
            <w:tcW w:w="558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694" w:type="dxa"/>
            <w:tcBorders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ДДС-03 Майского м.р. (ЦРБ)</w:t>
            </w:r>
          </w:p>
        </w:tc>
        <w:tc>
          <w:tcPr>
            <w:tcW w:w="2835" w:type="dxa"/>
            <w:tcBorders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end="-108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 Майский, ул. Ленина, д. 7</w:t>
            </w:r>
          </w:p>
        </w:tc>
        <w:tc>
          <w:tcPr>
            <w:tcW w:w="2836" w:type="dxa"/>
            <w:tcBorders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end="-108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 Майский, ул. Ленина, д. 7</w:t>
            </w:r>
          </w:p>
        </w:tc>
      </w:tr>
      <w:tr>
        <w:trPr>
          <w:trHeight w:val="20" w:hRule="atLeast"/>
        </w:trPr>
        <w:tc>
          <w:tcPr>
            <w:tcW w:w="558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694" w:type="dxa"/>
            <w:tcBorders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ДДС-03 Терского м.р. (ЦРБ)</w:t>
            </w:r>
          </w:p>
        </w:tc>
        <w:tc>
          <w:tcPr>
            <w:tcW w:w="2835" w:type="dxa"/>
            <w:tcBorders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end="-108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 Терек, ул. Панагова, д. 110</w:t>
            </w:r>
          </w:p>
        </w:tc>
        <w:tc>
          <w:tcPr>
            <w:tcW w:w="2836" w:type="dxa"/>
            <w:tcBorders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end="-108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 Терек, ул. Панагова, д. 110</w:t>
            </w:r>
          </w:p>
        </w:tc>
      </w:tr>
      <w:tr>
        <w:trPr>
          <w:trHeight w:val="20" w:hRule="atLeast"/>
        </w:trPr>
        <w:tc>
          <w:tcPr>
            <w:tcW w:w="558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694" w:type="dxa"/>
            <w:tcBorders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ДДС-03 Урванский м.р. (ГБУЗ ММБ)</w:t>
            </w:r>
          </w:p>
        </w:tc>
        <w:tc>
          <w:tcPr>
            <w:tcW w:w="2835" w:type="dxa"/>
            <w:tcBorders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end="-108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 Нарткала, ул. Ошнокова, д. 7</w:t>
            </w:r>
          </w:p>
        </w:tc>
        <w:tc>
          <w:tcPr>
            <w:tcW w:w="2836" w:type="dxa"/>
            <w:tcBorders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end="-108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 Нарткала, ул. Ошнокова, д. 7</w:t>
            </w:r>
          </w:p>
        </w:tc>
      </w:tr>
      <w:tr>
        <w:trPr>
          <w:trHeight w:val="20" w:hRule="atLeast"/>
        </w:trPr>
        <w:tc>
          <w:tcPr>
            <w:tcW w:w="558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694" w:type="dxa"/>
            <w:tcBorders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ДДС-03 г.о. Прохладный и Прохладненский м.р. (ЦРБ)</w:t>
            </w:r>
          </w:p>
        </w:tc>
        <w:tc>
          <w:tcPr>
            <w:tcW w:w="2835" w:type="dxa"/>
            <w:tcBorders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end="-108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 Прохладный, ул. Ленина, д. 113</w:t>
            </w:r>
          </w:p>
        </w:tc>
        <w:tc>
          <w:tcPr>
            <w:tcW w:w="2836" w:type="dxa"/>
            <w:tcBorders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end="-108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 Прохладный, ул. Ленина, д. 113</w:t>
            </w:r>
          </w:p>
        </w:tc>
      </w:tr>
      <w:tr>
        <w:trPr>
          <w:trHeight w:val="20" w:hRule="atLeast"/>
        </w:trPr>
        <w:tc>
          <w:tcPr>
            <w:tcW w:w="558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694" w:type="dxa"/>
            <w:tcBorders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ДДС-03 Чегемский м.р. (ММБ)</w:t>
            </w:r>
          </w:p>
        </w:tc>
        <w:tc>
          <w:tcPr>
            <w:tcW w:w="2835" w:type="dxa"/>
            <w:tcBorders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end="-108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г.п. Чегем, ул. Героя России Кярова А.С., д. 62</w:t>
            </w:r>
          </w:p>
        </w:tc>
        <w:tc>
          <w:tcPr>
            <w:tcW w:w="2836" w:type="dxa"/>
            <w:tcBorders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end="-108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г.п. Чегем, ул. Героя России Кярова А.С., д. 62</w:t>
            </w:r>
          </w:p>
        </w:tc>
      </w:tr>
      <w:tr>
        <w:trPr>
          <w:trHeight w:val="20" w:hRule="atLeast"/>
        </w:trPr>
        <w:tc>
          <w:tcPr>
            <w:tcW w:w="558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694" w:type="dxa"/>
            <w:tcBorders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ДДС-03 Лескенский м.р. (ГБУЗ ММБ)</w:t>
            </w:r>
          </w:p>
        </w:tc>
        <w:tc>
          <w:tcPr>
            <w:tcW w:w="2835" w:type="dxa"/>
            <w:tcBorders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end="-108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с.п. Анзорей, ул. Хамгокова, д. 2</w:t>
            </w:r>
          </w:p>
        </w:tc>
        <w:tc>
          <w:tcPr>
            <w:tcW w:w="2836" w:type="dxa"/>
            <w:tcBorders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end="-108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с.п. Анзорей, ул. Хамгокова, д. 2</w:t>
            </w:r>
          </w:p>
        </w:tc>
      </w:tr>
      <w:tr>
        <w:trPr>
          <w:trHeight w:val="20" w:hRule="atLeast"/>
        </w:trPr>
        <w:tc>
          <w:tcPr>
            <w:tcW w:w="558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694" w:type="dxa"/>
            <w:tcBorders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ДДС-03 г.о. Баксан и Баксанский м.р. (ГБУЗ ССМП)</w:t>
            </w:r>
          </w:p>
        </w:tc>
        <w:tc>
          <w:tcPr>
            <w:tcW w:w="2835" w:type="dxa"/>
            <w:tcBorders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end="-108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 Баксан, ул. Дугужева, д. 5</w:t>
            </w:r>
          </w:p>
        </w:tc>
        <w:tc>
          <w:tcPr>
            <w:tcW w:w="2836" w:type="dxa"/>
            <w:tcBorders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end="-108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 Баксан, ул. Дугужева, д. 5</w:t>
            </w:r>
          </w:p>
        </w:tc>
      </w:tr>
      <w:tr>
        <w:trPr>
          <w:trHeight w:val="20" w:hRule="atLeast"/>
        </w:trPr>
        <w:tc>
          <w:tcPr>
            <w:tcW w:w="558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694" w:type="dxa"/>
            <w:tcBorders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ДДС-03 Эльбрусский м.р. (ГБУЗ ЦБР)</w:t>
            </w:r>
          </w:p>
        </w:tc>
        <w:tc>
          <w:tcPr>
            <w:tcW w:w="2835" w:type="dxa"/>
            <w:tcBorders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end="-108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 xml:space="preserve">г.п.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Тырныауз, ул. Гызыева, 16</w:t>
            </w:r>
          </w:p>
        </w:tc>
        <w:tc>
          <w:tcPr>
            <w:tcW w:w="2836" w:type="dxa"/>
            <w:tcBorders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end="-108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 xml:space="preserve">г.п.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Тырныауз, ул. Гызыева, 16</w:t>
            </w:r>
          </w:p>
        </w:tc>
      </w:tr>
    </w:tbl>
    <w:p>
      <w:pPr>
        <w:pStyle w:val="Normal"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ДДС «04»:</w:t>
      </w:r>
    </w:p>
    <w:tbl>
      <w:tblPr>
        <w:tblW w:w="9923" w:type="dxa"/>
        <w:jc w:val="start"/>
        <w:tblInd w:w="-147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558"/>
        <w:gridCol w:w="2843"/>
        <w:gridCol w:w="3262"/>
        <w:gridCol w:w="3260"/>
      </w:tblGrid>
      <w:tr>
        <w:trPr>
          <w:trHeight w:val="20" w:hRule="atLeast"/>
        </w:trPr>
        <w:tc>
          <w:tcPr>
            <w:tcW w:w="55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 xml:space="preserve">№ </w:t>
            </w: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п/п</w:t>
            </w:r>
          </w:p>
        </w:tc>
        <w:tc>
          <w:tcPr>
            <w:tcW w:w="2843" w:type="dxa"/>
            <w:tcBorders>
              <w:top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end="-10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Наименование объекта Системы-112</w:t>
            </w:r>
          </w:p>
          <w:p>
            <w:pPr>
              <w:pStyle w:val="Normal"/>
              <w:ind w:end="-10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(пользовательский сегмент)</w:t>
            </w:r>
          </w:p>
        </w:tc>
        <w:tc>
          <w:tcPr>
            <w:tcW w:w="3262" w:type="dxa"/>
            <w:tcBorders>
              <w:top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end="-10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Адрес установки АРМ</w:t>
            </w:r>
          </w:p>
        </w:tc>
        <w:tc>
          <w:tcPr>
            <w:tcW w:w="3260" w:type="dxa"/>
            <w:tcBorders>
              <w:top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end="1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Место размещения оборудования узла точки доступа</w:t>
            </w:r>
          </w:p>
        </w:tc>
      </w:tr>
      <w:tr>
        <w:trPr>
          <w:trHeight w:val="20" w:hRule="atLeast"/>
        </w:trPr>
        <w:tc>
          <w:tcPr>
            <w:tcW w:w="55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43" w:type="dxa"/>
            <w:tcBorders>
              <w:top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end="41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ЦДС-04 по КБР</w:t>
            </w:r>
          </w:p>
        </w:tc>
        <w:tc>
          <w:tcPr>
            <w:tcW w:w="3262" w:type="dxa"/>
            <w:tcBorders>
              <w:top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end="27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 Нальчик, ул. Инессы Арманд, д. 30</w:t>
            </w:r>
          </w:p>
        </w:tc>
        <w:tc>
          <w:tcPr>
            <w:tcW w:w="3260" w:type="dxa"/>
            <w:tcBorders>
              <w:top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end="27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 Нальчик, ул. Инессы Арманд, д. 30</w:t>
            </w:r>
          </w:p>
        </w:tc>
      </w:tr>
      <w:tr>
        <w:trPr>
          <w:trHeight w:val="459" w:hRule="atLeast"/>
        </w:trPr>
        <w:tc>
          <w:tcPr>
            <w:tcW w:w="55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843" w:type="dxa"/>
            <w:tcBorders>
              <w:top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end="41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ДДС-04 г.о. Нальчик</w:t>
            </w:r>
          </w:p>
        </w:tc>
        <w:tc>
          <w:tcPr>
            <w:tcW w:w="3262" w:type="dxa"/>
            <w:tcBorders>
              <w:top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end="27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 Нальчик, ул. Абидова, д. 8</w:t>
            </w:r>
          </w:p>
        </w:tc>
        <w:tc>
          <w:tcPr>
            <w:tcW w:w="3260" w:type="dxa"/>
            <w:tcBorders>
              <w:top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end="27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 Нальчик, ул. Абидова, д. 8</w:t>
            </w:r>
          </w:p>
        </w:tc>
      </w:tr>
      <w:tr>
        <w:trPr>
          <w:trHeight w:val="20" w:hRule="atLeast"/>
        </w:trPr>
        <w:tc>
          <w:tcPr>
            <w:tcW w:w="55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843" w:type="dxa"/>
            <w:tcBorders>
              <w:top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end="41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ДДС-04 Черекского м.р.</w:t>
            </w:r>
          </w:p>
        </w:tc>
        <w:tc>
          <w:tcPr>
            <w:tcW w:w="3262" w:type="dxa"/>
            <w:tcBorders>
              <w:top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end="27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п.г.т. Кашхатау, ул. Шогенцукова, д. 34</w:t>
            </w:r>
          </w:p>
        </w:tc>
        <w:tc>
          <w:tcPr>
            <w:tcW w:w="3260" w:type="dxa"/>
            <w:tcBorders>
              <w:top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end="27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п.г.т. Кашхатау, ул. Шогенцукова, д. 34</w:t>
            </w:r>
          </w:p>
        </w:tc>
      </w:tr>
      <w:tr>
        <w:trPr>
          <w:trHeight w:val="20" w:hRule="atLeast"/>
        </w:trPr>
        <w:tc>
          <w:tcPr>
            <w:tcW w:w="55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843" w:type="dxa"/>
            <w:tcBorders>
              <w:top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end="41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ДДС-04 Зольского м.р.</w:t>
            </w:r>
          </w:p>
        </w:tc>
        <w:tc>
          <w:tcPr>
            <w:tcW w:w="3262" w:type="dxa"/>
            <w:tcBorders>
              <w:top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end="27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п. Залукокоаже, ул. Комсомольская, д. 54</w:t>
            </w:r>
          </w:p>
        </w:tc>
        <w:tc>
          <w:tcPr>
            <w:tcW w:w="3260" w:type="dxa"/>
            <w:tcBorders>
              <w:top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end="27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п. Залукокоаже, ул. Комсомольская, д. 54</w:t>
            </w:r>
          </w:p>
        </w:tc>
      </w:tr>
      <w:tr>
        <w:trPr>
          <w:trHeight w:val="465" w:hRule="atLeast"/>
        </w:trPr>
        <w:tc>
          <w:tcPr>
            <w:tcW w:w="55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843" w:type="dxa"/>
            <w:tcBorders>
              <w:top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end="41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ДДС-04 Майского м.р.</w:t>
            </w:r>
          </w:p>
        </w:tc>
        <w:tc>
          <w:tcPr>
            <w:tcW w:w="3262" w:type="dxa"/>
            <w:tcBorders>
              <w:top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end="27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 Майский, ул. 9 Мая, д. 183</w:t>
            </w:r>
          </w:p>
        </w:tc>
        <w:tc>
          <w:tcPr>
            <w:tcW w:w="3260" w:type="dxa"/>
            <w:tcBorders>
              <w:top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end="27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 Майский, ул. 9 Мая, д. 183</w:t>
            </w:r>
          </w:p>
        </w:tc>
      </w:tr>
      <w:tr>
        <w:trPr>
          <w:trHeight w:val="20" w:hRule="atLeast"/>
        </w:trPr>
        <w:tc>
          <w:tcPr>
            <w:tcW w:w="55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843" w:type="dxa"/>
            <w:tcBorders>
              <w:top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end="41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ДДС-04 Терского м.р.</w:t>
            </w:r>
          </w:p>
        </w:tc>
        <w:tc>
          <w:tcPr>
            <w:tcW w:w="3262" w:type="dxa"/>
            <w:tcBorders>
              <w:top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end="27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 Терек, ул. Бесланеева, д. 25</w:t>
            </w:r>
          </w:p>
        </w:tc>
        <w:tc>
          <w:tcPr>
            <w:tcW w:w="3260" w:type="dxa"/>
            <w:tcBorders>
              <w:top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end="27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 Терек, ул. Бесланеева, д. 25</w:t>
            </w:r>
          </w:p>
        </w:tc>
      </w:tr>
      <w:tr>
        <w:trPr>
          <w:trHeight w:val="20" w:hRule="atLeast"/>
        </w:trPr>
        <w:tc>
          <w:tcPr>
            <w:tcW w:w="55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843" w:type="dxa"/>
            <w:tcBorders>
              <w:top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end="41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ДДС-04 Урванский м.р.</w:t>
            </w:r>
          </w:p>
        </w:tc>
        <w:tc>
          <w:tcPr>
            <w:tcW w:w="3262" w:type="dxa"/>
            <w:tcBorders>
              <w:top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end="27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 Нарткала, ул. Гурфова, д.83</w:t>
            </w:r>
          </w:p>
        </w:tc>
        <w:tc>
          <w:tcPr>
            <w:tcW w:w="3260" w:type="dxa"/>
            <w:tcBorders>
              <w:top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end="27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 Нарткала, ул. Гурфова, д.83</w:t>
            </w:r>
          </w:p>
        </w:tc>
      </w:tr>
      <w:tr>
        <w:trPr>
          <w:trHeight w:val="612" w:hRule="atLeast"/>
        </w:trPr>
        <w:tc>
          <w:tcPr>
            <w:tcW w:w="55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843" w:type="dxa"/>
            <w:tcBorders>
              <w:top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end="41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ДДС-04 г.о. Прохладный и Прохладненский м.р.</w:t>
            </w:r>
          </w:p>
        </w:tc>
        <w:tc>
          <w:tcPr>
            <w:tcW w:w="3262" w:type="dxa"/>
            <w:tcBorders>
              <w:top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end="27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 Прохладный, ул. Дальняя, д. 1/1</w:t>
            </w:r>
          </w:p>
        </w:tc>
        <w:tc>
          <w:tcPr>
            <w:tcW w:w="3260" w:type="dxa"/>
            <w:tcBorders>
              <w:top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end="27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 Прохладный, ул. Дальняя, д. 1/1</w:t>
            </w:r>
          </w:p>
        </w:tc>
      </w:tr>
      <w:tr>
        <w:trPr>
          <w:trHeight w:val="20" w:hRule="atLeast"/>
        </w:trPr>
        <w:tc>
          <w:tcPr>
            <w:tcW w:w="55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843" w:type="dxa"/>
            <w:tcBorders>
              <w:top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end="41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ДДС-04 Чегемский м.р.</w:t>
            </w:r>
          </w:p>
        </w:tc>
        <w:tc>
          <w:tcPr>
            <w:tcW w:w="3262" w:type="dxa"/>
            <w:tcBorders>
              <w:top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end="27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 Чегем, ул. Героя России А.С. Кярова, д. 8</w:t>
            </w:r>
          </w:p>
        </w:tc>
        <w:tc>
          <w:tcPr>
            <w:tcW w:w="3260" w:type="dxa"/>
            <w:tcBorders>
              <w:top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end="27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 Чегем, ул. Героя России А.С. Кярова, д. 8</w:t>
            </w:r>
          </w:p>
        </w:tc>
      </w:tr>
      <w:tr>
        <w:trPr>
          <w:trHeight w:val="20" w:hRule="atLeast"/>
        </w:trPr>
        <w:tc>
          <w:tcPr>
            <w:tcW w:w="55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843" w:type="dxa"/>
            <w:tcBorders>
              <w:top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end="41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ДДС-04 Лескенский м.р.</w:t>
            </w:r>
          </w:p>
        </w:tc>
        <w:tc>
          <w:tcPr>
            <w:tcW w:w="3262" w:type="dxa"/>
            <w:tcBorders>
              <w:top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end="27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с. Анзорей, ул. Хамгокова, д. 32</w:t>
            </w:r>
          </w:p>
        </w:tc>
        <w:tc>
          <w:tcPr>
            <w:tcW w:w="3260" w:type="dxa"/>
            <w:tcBorders>
              <w:top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end="27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с. Анзорей, ул. Хамгокова, д. 32</w:t>
            </w:r>
          </w:p>
        </w:tc>
      </w:tr>
      <w:tr>
        <w:trPr>
          <w:trHeight w:val="20" w:hRule="atLeast"/>
        </w:trPr>
        <w:tc>
          <w:tcPr>
            <w:tcW w:w="55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843" w:type="dxa"/>
            <w:tcBorders>
              <w:top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end="41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ДДС-04 г.о. Баксан и Баксанский м.р.</w:t>
            </w:r>
          </w:p>
        </w:tc>
        <w:tc>
          <w:tcPr>
            <w:tcW w:w="3262" w:type="dxa"/>
            <w:tcBorders>
              <w:top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end="27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 Баксан, ул. Защитников, д. 191</w:t>
            </w:r>
          </w:p>
        </w:tc>
        <w:tc>
          <w:tcPr>
            <w:tcW w:w="3260" w:type="dxa"/>
            <w:tcBorders>
              <w:top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end="27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 Баксан, ул. Защитников, д. 191</w:t>
            </w:r>
          </w:p>
        </w:tc>
      </w:tr>
      <w:tr>
        <w:trPr>
          <w:trHeight w:val="535" w:hRule="atLeast"/>
        </w:trPr>
        <w:tc>
          <w:tcPr>
            <w:tcW w:w="55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843" w:type="dxa"/>
            <w:tcBorders>
              <w:top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end="-108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ДДС-04 Эльбрусский м.р.</w:t>
            </w:r>
          </w:p>
        </w:tc>
        <w:tc>
          <w:tcPr>
            <w:tcW w:w="3262" w:type="dxa"/>
            <w:tcBorders>
              <w:top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end="27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 Тырныауз, ул. Газовая, д. 2</w:t>
            </w:r>
          </w:p>
        </w:tc>
        <w:tc>
          <w:tcPr>
            <w:tcW w:w="3260" w:type="dxa"/>
            <w:tcBorders>
              <w:top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end="27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 Тырныауз, ул. Газовая, д. 2</w:t>
            </w:r>
          </w:p>
        </w:tc>
      </w:tr>
    </w:tbl>
    <w:p>
      <w:pPr>
        <w:pStyle w:val="Normal"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ДДС «ЦУКС»:</w:t>
      </w:r>
    </w:p>
    <w:tbl>
      <w:tblPr>
        <w:tblW w:w="9923" w:type="dxa"/>
        <w:jc w:val="start"/>
        <w:tblInd w:w="-147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566"/>
        <w:gridCol w:w="3262"/>
        <w:gridCol w:w="3118"/>
        <w:gridCol w:w="2977"/>
      </w:tblGrid>
      <w:tr>
        <w:trPr>
          <w:trHeight w:val="20" w:hRule="atLeast"/>
        </w:trPr>
        <w:tc>
          <w:tcPr>
            <w:tcW w:w="56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 xml:space="preserve">№ </w:t>
            </w: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п/п</w:t>
            </w:r>
          </w:p>
        </w:tc>
        <w:tc>
          <w:tcPr>
            <w:tcW w:w="3262" w:type="dxa"/>
            <w:tcBorders>
              <w:top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end="-10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Наименование объекта Системы-112</w:t>
            </w:r>
          </w:p>
          <w:p>
            <w:pPr>
              <w:pStyle w:val="Normal"/>
              <w:ind w:end="-10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(пользовательский сегмент)</w:t>
            </w:r>
          </w:p>
        </w:tc>
        <w:tc>
          <w:tcPr>
            <w:tcW w:w="3118" w:type="dxa"/>
            <w:tcBorders>
              <w:top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end="-10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Адрес установки АРМ</w:t>
            </w:r>
          </w:p>
        </w:tc>
        <w:tc>
          <w:tcPr>
            <w:tcW w:w="2977" w:type="dxa"/>
            <w:tcBorders>
              <w:top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end="1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Место размещения оборудования узла точки доступа</w:t>
            </w:r>
          </w:p>
        </w:tc>
      </w:tr>
      <w:tr>
        <w:trPr>
          <w:trHeight w:val="20" w:hRule="atLeast"/>
        </w:trPr>
        <w:tc>
          <w:tcPr>
            <w:tcW w:w="566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2" w:type="dxa"/>
            <w:tcBorders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ДДС «ЦУКС» по КБР</w:t>
            </w:r>
          </w:p>
        </w:tc>
        <w:tc>
          <w:tcPr>
            <w:tcW w:w="3118" w:type="dxa"/>
            <w:tcBorders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themeColor="text1" w:val="000000"/>
                <w:sz w:val="24"/>
                <w:szCs w:val="24"/>
              </w:rPr>
              <w:t>г. Нальчик, ул. Чернышевского, д. 19</w:t>
            </w:r>
          </w:p>
        </w:tc>
        <w:tc>
          <w:tcPr>
            <w:tcW w:w="2977" w:type="dxa"/>
            <w:tcBorders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themeColor="text1" w:val="000000"/>
                <w:sz w:val="24"/>
                <w:szCs w:val="24"/>
              </w:rPr>
              <w:t>г. Нальчик, ул. Чернышевского, д. 19</w:t>
            </w:r>
          </w:p>
        </w:tc>
      </w:tr>
    </w:tbl>
    <w:p>
      <w:pPr>
        <w:pStyle w:val="Normal"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ДДС «Антитеррор»:</w:t>
      </w:r>
    </w:p>
    <w:tbl>
      <w:tblPr>
        <w:tblW w:w="9923" w:type="dxa"/>
        <w:jc w:val="start"/>
        <w:tblInd w:w="-147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566"/>
        <w:gridCol w:w="3262"/>
        <w:gridCol w:w="2977"/>
        <w:gridCol w:w="3118"/>
      </w:tblGrid>
      <w:tr>
        <w:trPr>
          <w:trHeight w:val="20" w:hRule="atLeast"/>
        </w:trPr>
        <w:tc>
          <w:tcPr>
            <w:tcW w:w="56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 xml:space="preserve">№ </w:t>
            </w: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п/п</w:t>
            </w:r>
          </w:p>
        </w:tc>
        <w:tc>
          <w:tcPr>
            <w:tcW w:w="3262" w:type="dxa"/>
            <w:tcBorders>
              <w:top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end="-10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Наименование объекта Системы-112</w:t>
            </w:r>
          </w:p>
          <w:p>
            <w:pPr>
              <w:pStyle w:val="Normal"/>
              <w:ind w:end="-10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(пользовательский сегмент)</w:t>
            </w:r>
          </w:p>
        </w:tc>
        <w:tc>
          <w:tcPr>
            <w:tcW w:w="2977" w:type="dxa"/>
            <w:tcBorders>
              <w:top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end="-10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Адрес установки АРМ</w:t>
            </w:r>
          </w:p>
        </w:tc>
        <w:tc>
          <w:tcPr>
            <w:tcW w:w="3118" w:type="dxa"/>
            <w:tcBorders>
              <w:top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end="1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Место размещения оборудования узла точки доступа</w:t>
            </w:r>
          </w:p>
        </w:tc>
      </w:tr>
      <w:tr>
        <w:trPr>
          <w:trHeight w:val="409" w:hRule="atLeast"/>
        </w:trPr>
        <w:tc>
          <w:tcPr>
            <w:tcW w:w="566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2" w:type="dxa"/>
            <w:tcBorders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ДДС «Антитеррор» по КБР</w:t>
            </w:r>
          </w:p>
        </w:tc>
        <w:tc>
          <w:tcPr>
            <w:tcW w:w="2977" w:type="dxa"/>
            <w:tcBorders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end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 Нальчик, ул. Ленина, д. 4</w:t>
            </w:r>
          </w:p>
        </w:tc>
        <w:tc>
          <w:tcPr>
            <w:tcW w:w="3118" w:type="dxa"/>
            <w:tcBorders>
              <w:bottom w:val="single" w:sz="4" w:space="0" w:color="000000"/>
              <w:end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end="1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г. Нальчик, ул. Ленина, д. 4</w:t>
            </w:r>
          </w:p>
        </w:tc>
      </w:tr>
    </w:tbl>
    <w:p>
      <w:pPr>
        <w:pStyle w:val="Normal"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ind w:firstLine="709" w:start="5672"/>
        <w:jc w:val="end"/>
        <w:rPr>
          <w:rFonts w:ascii="Times New Roman" w:hAnsi="Times New Roman" w:cs="Times New Roman"/>
          <w:bCs/>
          <w:color w:val="000000"/>
          <w:kern w:val="2"/>
          <w:sz w:val="24"/>
          <w:szCs w:val="24"/>
          <w:lang w:eastAsia="zh-CN"/>
        </w:rPr>
      </w:pPr>
      <w:r>
        <w:rPr>
          <w:rFonts w:cs="Times New Roman" w:ascii="Times New Roman" w:hAnsi="Times New Roman"/>
          <w:bCs/>
          <w:color w:val="000000"/>
          <w:kern w:val="2"/>
          <w:sz w:val="24"/>
          <w:szCs w:val="24"/>
          <w:lang w:eastAsia="zh-CN"/>
        </w:rPr>
        <w:t>Приложение Б</w:t>
      </w:r>
    </w:p>
    <w:p>
      <w:pPr>
        <w:pStyle w:val="Normal"/>
        <w:ind w:firstLine="709" w:start="5672"/>
        <w:jc w:val="end"/>
        <w:rPr>
          <w:rFonts w:ascii="Times New Roman" w:hAnsi="Times New Roman" w:cs="Times New Roman"/>
          <w:bCs/>
          <w:color w:val="000000"/>
          <w:kern w:val="2"/>
          <w:sz w:val="24"/>
          <w:szCs w:val="24"/>
          <w:lang w:eastAsia="zh-CN"/>
        </w:rPr>
      </w:pPr>
      <w:r>
        <w:rPr>
          <w:rFonts w:cs="Times New Roman" w:ascii="Times New Roman" w:hAnsi="Times New Roman"/>
          <w:bCs/>
          <w:color w:val="000000"/>
          <w:kern w:val="2"/>
          <w:sz w:val="24"/>
          <w:szCs w:val="24"/>
          <w:lang w:eastAsia="zh-CN"/>
        </w:rPr>
        <w:t>к Техническому заданию</w:t>
      </w:r>
    </w:p>
    <w:p>
      <w:pPr>
        <w:pStyle w:val="Normal"/>
        <w:ind w:firstLine="708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cs="Times New Roman" w:ascii="Times New Roman" w:hAnsi="Times New Roman"/>
          <w:sz w:val="24"/>
          <w:szCs w:val="24"/>
          <w:lang w:eastAsia="zh-CN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eastAsia="Calibri" w:cs="Times New Roman"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  <w:t>Объекты интеграции Системы-112</w:t>
      </w:r>
    </w:p>
    <w:p>
      <w:pPr>
        <w:pStyle w:val="Normal"/>
        <w:ind w:firstLine="709"/>
        <w:jc w:val="center"/>
        <w:rPr>
          <w:rFonts w:ascii="Times New Roman" w:hAnsi="Times New Roman" w:eastAsia="Calibri" w:cs="Times New Roman"/>
          <w:b/>
          <w:color w:val="000000"/>
          <w:sz w:val="24"/>
          <w:szCs w:val="24"/>
        </w:rPr>
      </w:pPr>
      <w:r>
        <w:rPr>
          <w:rFonts w:eastAsia="Calibri" w:cs="Times New Roman" w:ascii="Times New Roman" w:hAnsi="Times New Roman"/>
          <w:b/>
          <w:color w:val="000000"/>
          <w:sz w:val="24"/>
          <w:szCs w:val="24"/>
        </w:rPr>
      </w:r>
    </w:p>
    <w:p>
      <w:pPr>
        <w:pStyle w:val="Normal"/>
        <w:ind w:firstLine="709"/>
        <w:rPr>
          <w:rFonts w:ascii="Times New Roman" w:hAnsi="Times New Roman" w:eastAsia="Calibri" w:cs="Times New Roman"/>
          <w:color w:val="000000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</w:rPr>
        <w:t>В рамках оказания услуги должна быть обеспечена интеграция и информационный обмен со следующими информационными системами:</w:t>
      </w:r>
    </w:p>
    <w:p>
      <w:pPr>
        <w:pStyle w:val="Normal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</w:rPr>
        <w:t>- УОВЭОС, ТСМН и ТСКС операторов подвижной радиотелефонной и местной телефонной связи</w:t>
      </w:r>
      <w:r>
        <w:rPr>
          <w:rFonts w:cs="Times New Roman" w:ascii="Times New Roman" w:hAnsi="Times New Roman"/>
          <w:sz w:val="24"/>
          <w:szCs w:val="24"/>
        </w:rPr>
        <w:t>:</w:t>
      </w:r>
    </w:p>
    <w:p>
      <w:pPr>
        <w:pStyle w:val="Normal"/>
        <w:ind w:firstLine="427" w:start="707"/>
        <w:rPr>
          <w:rFonts w:ascii="Times New Roman" w:hAnsi="Times New Roman" w:cs="Times New Roman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</w:rPr>
        <w:t>- ПАО «Ростелеком» (</w:t>
      </w:r>
      <w:r>
        <w:rPr>
          <w:rFonts w:cs="Times New Roman" w:ascii="Times New Roman" w:hAnsi="Times New Roman"/>
          <w:sz w:val="24"/>
          <w:szCs w:val="24"/>
        </w:rPr>
        <w:t>г. Нальчик, пр. Кулиева, д.14)</w:t>
      </w:r>
      <w:r>
        <w:rPr>
          <w:rFonts w:eastAsia="Calibri" w:cs="Times New Roman" w:ascii="Times New Roman" w:hAnsi="Times New Roman"/>
          <w:color w:val="000000"/>
          <w:sz w:val="24"/>
          <w:szCs w:val="24"/>
        </w:rPr>
        <w:t>;</w:t>
      </w:r>
    </w:p>
    <w:p>
      <w:pPr>
        <w:pStyle w:val="Normal"/>
        <w:ind w:firstLine="427" w:start="707"/>
        <w:rPr>
          <w:rFonts w:ascii="Times New Roman" w:hAnsi="Times New Roman" w:cs="Times New Roman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</w:rPr>
        <w:t>- ПАО «Мобильные телесистемы» (</w:t>
      </w:r>
      <w:r>
        <w:rPr>
          <w:rFonts w:cs="Times New Roman" w:ascii="Times New Roman" w:hAnsi="Times New Roman"/>
          <w:sz w:val="24"/>
          <w:szCs w:val="24"/>
        </w:rPr>
        <w:t>г. Нальчик, пр. Кулиева, д.14)</w:t>
      </w:r>
      <w:r>
        <w:rPr>
          <w:rFonts w:eastAsia="Calibri" w:cs="Times New Roman" w:ascii="Times New Roman" w:hAnsi="Times New Roman"/>
          <w:color w:val="000000"/>
          <w:sz w:val="24"/>
          <w:szCs w:val="24"/>
        </w:rPr>
        <w:t>;</w:t>
      </w:r>
    </w:p>
    <w:p>
      <w:pPr>
        <w:pStyle w:val="Normal"/>
        <w:ind w:firstLine="427" w:start="707"/>
        <w:rPr>
          <w:rFonts w:ascii="Times New Roman" w:hAnsi="Times New Roman" w:cs="Times New Roman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</w:rPr>
        <w:t>- ПАО «Вымпелком» (</w:t>
      </w:r>
      <w:r>
        <w:rPr>
          <w:rFonts w:cs="Times New Roman" w:ascii="Times New Roman" w:hAnsi="Times New Roman"/>
          <w:sz w:val="24"/>
          <w:szCs w:val="24"/>
        </w:rPr>
        <w:t>г. Нальчик, пр. Кулиева, д.14)</w:t>
      </w:r>
      <w:r>
        <w:rPr>
          <w:rFonts w:eastAsia="Calibri" w:cs="Times New Roman" w:ascii="Times New Roman" w:hAnsi="Times New Roman"/>
          <w:color w:val="000000"/>
          <w:sz w:val="24"/>
          <w:szCs w:val="24"/>
        </w:rPr>
        <w:t>;</w:t>
      </w:r>
    </w:p>
    <w:p>
      <w:pPr>
        <w:pStyle w:val="Normal"/>
        <w:ind w:firstLine="427" w:start="707"/>
        <w:rPr>
          <w:rFonts w:ascii="Times New Roman" w:hAnsi="Times New Roman" w:cs="Times New Roman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</w:rPr>
        <w:t>- ПАО «Мегафон» (</w:t>
      </w:r>
      <w:r>
        <w:rPr>
          <w:rFonts w:cs="Times New Roman" w:ascii="Times New Roman" w:hAnsi="Times New Roman"/>
          <w:sz w:val="24"/>
          <w:szCs w:val="24"/>
        </w:rPr>
        <w:t>г. Нальчик, пр. Кулиева, д.14)</w:t>
      </w:r>
      <w:r>
        <w:rPr>
          <w:rFonts w:eastAsia="Calibri" w:cs="Times New Roman" w:ascii="Times New Roman" w:hAnsi="Times New Roman"/>
          <w:color w:val="000000"/>
          <w:sz w:val="24"/>
          <w:szCs w:val="24"/>
        </w:rPr>
        <w:t>;</w:t>
      </w:r>
    </w:p>
    <w:p>
      <w:pPr>
        <w:pStyle w:val="Normal"/>
        <w:ind w:firstLine="427" w:start="707"/>
        <w:rPr>
          <w:rFonts w:ascii="Times New Roman" w:hAnsi="Times New Roman" w:cs="Times New Roman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</w:rPr>
        <w:t>- ПАО «Теле-2» (</w:t>
      </w:r>
      <w:r>
        <w:rPr>
          <w:rFonts w:cs="Times New Roman" w:ascii="Times New Roman" w:hAnsi="Times New Roman"/>
          <w:sz w:val="24"/>
          <w:szCs w:val="24"/>
        </w:rPr>
        <w:t>г. Нальчик, пр. Кулиева, д.14)</w:t>
      </w:r>
      <w:r>
        <w:rPr>
          <w:rFonts w:eastAsia="Calibri" w:cs="Times New Roman" w:ascii="Times New Roman" w:hAnsi="Times New Roman"/>
          <w:color w:val="000000"/>
          <w:sz w:val="24"/>
          <w:szCs w:val="24"/>
        </w:rPr>
        <w:t>.</w:t>
      </w:r>
    </w:p>
    <w:p>
      <w:pPr>
        <w:pStyle w:val="Normal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 Межсубъектовое подключение Систем-112: </w:t>
      </w:r>
    </w:p>
    <w:p>
      <w:pPr>
        <w:pStyle w:val="Normal"/>
        <w:spacing w:before="0" w:after="0"/>
        <w:ind w:firstLine="142" w:start="992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 Ставропольский край (г. Ставрополь, ул. Мира, д. 290);</w:t>
      </w:r>
    </w:p>
    <w:p>
      <w:pPr>
        <w:pStyle w:val="Normal"/>
        <w:spacing w:before="0" w:after="0"/>
        <w:ind w:firstLine="142" w:start="992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 Северная Осетия – Алания (г. Владикавказ, ул. Дзержинского, д. 70);</w:t>
      </w:r>
    </w:p>
    <w:p>
      <w:pPr>
        <w:pStyle w:val="Normal"/>
        <w:spacing w:before="0" w:after="0"/>
        <w:ind w:firstLine="142" w:start="992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 Карачаево-Черкесская Республика (г. Черкесск, ул. Пушкинская 140);</w:t>
      </w:r>
    </w:p>
    <w:p>
      <w:pPr>
        <w:pStyle w:val="Normal"/>
        <w:spacing w:before="0" w:after="0"/>
        <w:ind w:firstLine="142" w:start="992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 Москва (г. </w:t>
      </w:r>
      <w:r>
        <w:rPr>
          <w:rStyle w:val="selectable-text1"/>
          <w:rFonts w:cs="Times New Roman" w:ascii="Times New Roman" w:hAnsi="Times New Roman"/>
          <w:sz w:val="24"/>
          <w:szCs w:val="24"/>
        </w:rPr>
        <w:t>Москва, Проектируемый проезд 5112).</w:t>
      </w:r>
    </w:p>
    <w:p>
      <w:pPr>
        <w:pStyle w:val="Normal"/>
        <w:spacing w:before="0" w:after="0"/>
        <w:ind w:firstLine="708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 </w:t>
      </w:r>
      <w:r>
        <w:rPr>
          <w:rFonts w:eastAsia="Calibri" w:cs="Times New Roman" w:ascii="Times New Roman" w:hAnsi="Times New Roman"/>
          <w:color w:val="000000"/>
          <w:sz w:val="24"/>
          <w:szCs w:val="24"/>
        </w:rPr>
        <w:t>Система экстренного вызова «ЭРА-ГЛОНАСС» (</w:t>
      </w:r>
      <w:r>
        <w:rPr>
          <w:rFonts w:cs="Times New Roman" w:ascii="Times New Roman" w:hAnsi="Times New Roman"/>
          <w:sz w:val="24"/>
          <w:szCs w:val="24"/>
        </w:rPr>
        <w:t>г. Нальчик, ул. Пачева, д. 19В);</w:t>
      </w:r>
    </w:p>
    <w:p>
      <w:pPr>
        <w:pStyle w:val="Normal"/>
        <w:spacing w:before="0" w:after="0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 Ведомственные информационные системы: </w:t>
      </w:r>
    </w:p>
    <w:p>
      <w:pPr>
        <w:pStyle w:val="Normal"/>
        <w:spacing w:before="0" w:after="0"/>
        <w:ind w:firstLine="426" w:start="708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 Главное управление МЧС России по Кабардино-Балкарской Республике – 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многоуровневая навигационно-информационная система мониторинга транспортных средств МЧС России на базе технологий системы ГЛОНАСС (МНИС, </w:t>
      </w:r>
      <w:r>
        <w:rPr>
          <w:rFonts w:cs="Times New Roman" w:ascii="Times New Roman" w:hAnsi="Times New Roman"/>
          <w:color w:themeColor="text1" w:val="000000"/>
          <w:sz w:val="24"/>
          <w:szCs w:val="24"/>
        </w:rPr>
        <w:t>г. Нальчик ул. Чернышевского, д. 19);</w:t>
      </w:r>
    </w:p>
    <w:p>
      <w:pPr>
        <w:pStyle w:val="Normal"/>
        <w:spacing w:before="0" w:after="0"/>
        <w:ind w:firstLine="426" w:start="708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 Министерство внутренних дел по Кабардино-Балкарской Республике – сервис обеспечения деятельности дежурных частей единой системы информационно-аналитического обеспечения деятельности Министерства внутренних дел Российской Федерации (СОДЧ,</w:t>
      </w:r>
      <w:r>
        <w:rPr>
          <w:rFonts w:cs="Times New Roman" w:ascii="Times New Roman" w:hAnsi="Times New Roman"/>
          <w:color w:themeColor="text1" w:val="000000"/>
          <w:sz w:val="24"/>
          <w:szCs w:val="24"/>
        </w:rPr>
        <w:t xml:space="preserve"> г. Нальчик, ул. Кулиева, д. 10Б</w:t>
      </w:r>
      <w:r>
        <w:rPr>
          <w:rFonts w:cs="Times New Roman" w:ascii="Times New Roman" w:hAnsi="Times New Roman"/>
          <w:sz w:val="24"/>
          <w:szCs w:val="24"/>
        </w:rPr>
        <w:t>);</w:t>
      </w:r>
    </w:p>
    <w:p>
      <w:pPr>
        <w:pStyle w:val="Normal"/>
        <w:spacing w:before="0" w:after="0"/>
        <w:ind w:firstLine="426" w:start="708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 Министерство здравоохранения Кабардино-Балкарской Республики –региональная медицинская информационная система Кабардино-Балкарской Республики «Скорая медицинская помощь» (РМИС, </w:t>
      </w:r>
      <w:r>
        <w:rPr>
          <w:rFonts w:cs="Times New Roman" w:ascii="Times New Roman" w:hAnsi="Times New Roman"/>
          <w:color w:themeColor="text1" w:val="000000"/>
          <w:sz w:val="24"/>
          <w:szCs w:val="24"/>
        </w:rPr>
        <w:t>г. Нальчик, ул. Кешокова, д. 286</w:t>
      </w:r>
      <w:r>
        <w:rPr>
          <w:rFonts w:cs="Times New Roman" w:ascii="Times New Roman" w:hAnsi="Times New Roman"/>
          <w:sz w:val="24"/>
          <w:szCs w:val="24"/>
        </w:rPr>
        <w:t>).</w:t>
      </w:r>
    </w:p>
    <w:p>
      <w:pPr>
        <w:pStyle w:val="Normal"/>
        <w:ind w:firstLine="708"/>
        <w:rPr>
          <w:rFonts w:eastAsia="Calibri"/>
          <w:color w:val="000000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</w:rPr>
        <w:t>В случае возникновения проблем на сторонних объектах интеграции, взаимодействие и передачу заявок, находящихся в зоне ответственности сторонних организаций - обеспечивает Заказчик в соответствии с заключенными соглашениями об информационном взаимодействии.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ind w:firstLine="709" w:start="5672"/>
        <w:jc w:val="end"/>
        <w:rPr>
          <w:rFonts w:ascii="Times New Roman" w:hAnsi="Times New Roman" w:cs="Times New Roman"/>
          <w:bCs/>
          <w:color w:val="000000"/>
          <w:kern w:val="2"/>
          <w:sz w:val="24"/>
          <w:szCs w:val="24"/>
          <w:lang w:eastAsia="zh-CN"/>
        </w:rPr>
      </w:pPr>
      <w:r>
        <w:rPr>
          <w:rFonts w:cs="Times New Roman" w:ascii="Times New Roman" w:hAnsi="Times New Roman"/>
          <w:bCs/>
          <w:color w:val="000000"/>
          <w:kern w:val="2"/>
          <w:sz w:val="24"/>
          <w:szCs w:val="24"/>
          <w:lang w:eastAsia="zh-CN"/>
        </w:rPr>
        <w:t>Приложение В</w:t>
      </w:r>
    </w:p>
    <w:p>
      <w:pPr>
        <w:pStyle w:val="Normal"/>
        <w:ind w:firstLine="709" w:start="5672"/>
        <w:jc w:val="end"/>
        <w:rPr>
          <w:rFonts w:ascii="Times New Roman" w:hAnsi="Times New Roman" w:cs="Times New Roman"/>
          <w:bCs/>
          <w:color w:val="000000"/>
          <w:kern w:val="2"/>
          <w:sz w:val="24"/>
          <w:szCs w:val="24"/>
          <w:lang w:eastAsia="zh-CN"/>
        </w:rPr>
      </w:pPr>
      <w:r>
        <w:rPr>
          <w:rFonts w:cs="Times New Roman" w:ascii="Times New Roman" w:hAnsi="Times New Roman"/>
          <w:bCs/>
          <w:color w:val="000000"/>
          <w:kern w:val="2"/>
          <w:sz w:val="24"/>
          <w:szCs w:val="24"/>
          <w:lang w:eastAsia="zh-CN"/>
        </w:rPr>
        <w:t>к Техническому заданию</w:t>
      </w:r>
    </w:p>
    <w:p>
      <w:pPr>
        <w:pStyle w:val="Normal"/>
        <w:jc w:val="end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eastAsia="Noto Serif CJK SC" w:cs="Times New Roman"/>
          <w:b/>
          <w:bCs/>
          <w:kern w:val="2"/>
          <w:sz w:val="24"/>
          <w:szCs w:val="24"/>
          <w:lang w:eastAsia="zh-CN" w:bidi="hi-IN"/>
        </w:rPr>
      </w:pPr>
      <w:r>
        <w:rPr>
          <w:rFonts w:eastAsia="Noto Serif CJK SC" w:cs="Times New Roman" w:ascii="Times New Roman" w:hAnsi="Times New Roman"/>
          <w:b/>
          <w:bCs/>
          <w:kern w:val="2"/>
          <w:sz w:val="24"/>
          <w:szCs w:val="24"/>
          <w:lang w:eastAsia="zh-CN" w:bidi="hi-IN"/>
        </w:rPr>
        <w:t>План мероприятий, проводимых в рамках тестирования Системы-112</w:t>
      </w:r>
    </w:p>
    <w:p>
      <w:pPr>
        <w:pStyle w:val="Normal"/>
        <w:jc w:val="center"/>
        <w:rPr>
          <w:rFonts w:ascii="Times New Roman" w:hAnsi="Times New Roman" w:eastAsia="Noto Serif CJK SC" w:cs="Times New Roman"/>
          <w:b/>
          <w:bCs/>
          <w:kern w:val="2"/>
          <w:sz w:val="24"/>
          <w:szCs w:val="24"/>
          <w:lang w:eastAsia="zh-CN" w:bidi="hi-IN"/>
        </w:rPr>
      </w:pPr>
      <w:r>
        <w:rPr>
          <w:rFonts w:eastAsia="Noto Serif CJK SC" w:cs="Times New Roman" w:ascii="Times New Roman" w:hAnsi="Times New Roman"/>
          <w:b/>
          <w:bCs/>
          <w:kern w:val="2"/>
          <w:sz w:val="24"/>
          <w:szCs w:val="24"/>
          <w:lang w:eastAsia="zh-CN" w:bidi="hi-IN"/>
        </w:rPr>
      </w:r>
    </w:p>
    <w:tbl>
      <w:tblPr>
        <w:tblW w:w="9345" w:type="dxa"/>
        <w:jc w:val="start"/>
        <w:tblInd w:w="103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497"/>
        <w:gridCol w:w="1794"/>
        <w:gridCol w:w="3515"/>
        <w:gridCol w:w="3539"/>
      </w:tblGrid>
      <w:tr>
        <w:trPr>
          <w:trHeight w:val="386" w:hRule="atLeast"/>
        </w:trPr>
        <w:tc>
          <w:tcPr>
            <w:tcW w:w="4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Calibri" w:cs="Times New Roman"/>
                <w:b/>
              </w:rPr>
            </w:pPr>
            <w:r>
              <w:rPr>
                <w:rFonts w:eastAsia="Calibri" w:cs="Times New Roman" w:ascii="Times New Roman" w:hAnsi="Times New Roman"/>
                <w:b/>
              </w:rPr>
              <w:t>№</w:t>
            </w:r>
          </w:p>
        </w:tc>
        <w:tc>
          <w:tcPr>
            <w:tcW w:w="179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Calibri" w:cs="Times New Roman"/>
                <w:b/>
                <w:bCs/>
              </w:rPr>
            </w:pPr>
            <w:r>
              <w:rPr>
                <w:rFonts w:eastAsia="Calibri" w:cs="Times New Roman" w:ascii="Times New Roman" w:hAnsi="Times New Roman"/>
                <w:b/>
                <w:bCs/>
              </w:rPr>
              <w:t>Ответственный</w:t>
            </w:r>
          </w:p>
        </w:tc>
        <w:tc>
          <w:tcPr>
            <w:tcW w:w="351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Calibri" w:cs="Times New Roman"/>
                <w:b/>
                <w:bCs/>
              </w:rPr>
            </w:pPr>
            <w:r>
              <w:rPr>
                <w:rFonts w:eastAsia="Calibri" w:cs="Times New Roman" w:ascii="Times New Roman" w:hAnsi="Times New Roman"/>
                <w:b/>
                <w:bCs/>
              </w:rPr>
              <w:t>Проводимые работы</w:t>
            </w:r>
          </w:p>
        </w:tc>
        <w:tc>
          <w:tcPr>
            <w:tcW w:w="353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Calibri" w:cs="Times New Roman"/>
                <w:b/>
                <w:bCs/>
              </w:rPr>
            </w:pPr>
            <w:r>
              <w:rPr>
                <w:rFonts w:eastAsia="Calibri" w:cs="Times New Roman" w:ascii="Times New Roman" w:hAnsi="Times New Roman"/>
                <w:b/>
                <w:bCs/>
              </w:rPr>
              <w:t>Ожидаемый результат</w:t>
            </w:r>
          </w:p>
        </w:tc>
      </w:tr>
      <w:tr>
        <w:trPr>
          <w:trHeight w:val="1074" w:hRule="atLeast"/>
        </w:trPr>
        <w:tc>
          <w:tcPr>
            <w:tcW w:w="4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Calibri" w:cs="Times New Roman"/>
              </w:rPr>
            </w:pPr>
            <w:r>
              <w:rPr>
                <w:rFonts w:eastAsia="Calibri" w:cs="Times New Roman" w:ascii="Times New Roman" w:hAnsi="Times New Roman"/>
              </w:rPr>
              <w:t>1</w:t>
            </w:r>
          </w:p>
        </w:tc>
        <w:tc>
          <w:tcPr>
            <w:tcW w:w="179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Calibri" w:cs="Times New Roman"/>
              </w:rPr>
            </w:pPr>
            <w:r>
              <w:rPr>
                <w:rFonts w:eastAsia="Calibri" w:cs="Times New Roman" w:ascii="Times New Roman" w:hAnsi="Times New Roman"/>
              </w:rPr>
              <w:t>Исполнитель</w:t>
            </w:r>
          </w:p>
        </w:tc>
        <w:tc>
          <w:tcPr>
            <w:tcW w:w="351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start"/>
              <w:rPr>
                <w:rFonts w:ascii="Times New Roman" w:hAnsi="Times New Roman" w:eastAsia="Calibri" w:cs="Times New Roman"/>
              </w:rPr>
            </w:pPr>
            <w:r>
              <w:rPr>
                <w:rFonts w:eastAsia="Calibri" w:cs="Times New Roman" w:ascii="Times New Roman" w:hAnsi="Times New Roman"/>
              </w:rPr>
              <w:t>Зафиксировать количество список АРМ и телефонов, подключенных к серверам ЦОД.</w:t>
            </w:r>
          </w:p>
          <w:p>
            <w:pPr>
              <w:pStyle w:val="Normal"/>
              <w:jc w:val="start"/>
              <w:rPr>
                <w:rFonts w:ascii="Times New Roman" w:hAnsi="Times New Roman" w:eastAsia="Calibri" w:cs="Times New Roman"/>
              </w:rPr>
            </w:pPr>
            <w:r>
              <w:rPr>
                <w:rFonts w:eastAsia="Calibri" w:cs="Times New Roman" w:ascii="Times New Roman" w:hAnsi="Times New Roman"/>
              </w:rPr>
            </w:r>
          </w:p>
          <w:p>
            <w:pPr>
              <w:pStyle w:val="Normal"/>
              <w:jc w:val="start"/>
              <w:rPr>
                <w:rFonts w:ascii="Times New Roman" w:hAnsi="Times New Roman" w:eastAsia="Calibri" w:cs="Times New Roman"/>
              </w:rPr>
            </w:pPr>
            <w:r>
              <w:rPr>
                <w:rFonts w:eastAsia="Calibri" w:cs="Times New Roman" w:ascii="Times New Roman" w:hAnsi="Times New Roman"/>
              </w:rPr>
              <w:t>Включить дампы на шлюзах телефонии.</w:t>
            </w:r>
          </w:p>
        </w:tc>
        <w:tc>
          <w:tcPr>
            <w:tcW w:w="353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start"/>
              <w:rPr>
                <w:rFonts w:ascii="Times New Roman" w:hAnsi="Times New Roman" w:eastAsia="Calibri" w:cs="Times New Roman"/>
              </w:rPr>
            </w:pPr>
            <w:r>
              <w:rPr>
                <w:rFonts w:eastAsia="Calibri" w:cs="Times New Roman" w:ascii="Times New Roman" w:hAnsi="Times New Roman"/>
              </w:rPr>
              <w:t>Список АРМов и IP телефонов.</w:t>
            </w:r>
          </w:p>
        </w:tc>
      </w:tr>
      <w:tr>
        <w:trPr>
          <w:trHeight w:val="833" w:hRule="atLeast"/>
        </w:trPr>
        <w:tc>
          <w:tcPr>
            <w:tcW w:w="4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Calibri" w:cs="Times New Roman"/>
              </w:rPr>
            </w:pPr>
            <w:r>
              <w:rPr>
                <w:rFonts w:eastAsia="Calibri" w:cs="Times New Roman" w:ascii="Times New Roman" w:hAnsi="Times New Roman"/>
              </w:rPr>
              <w:t>2</w:t>
            </w:r>
          </w:p>
        </w:tc>
        <w:tc>
          <w:tcPr>
            <w:tcW w:w="179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Calibri" w:cs="Times New Roman"/>
              </w:rPr>
            </w:pPr>
            <w:r>
              <w:rPr>
                <w:rFonts w:eastAsia="Calibri" w:cs="Times New Roman" w:ascii="Times New Roman" w:hAnsi="Times New Roman"/>
              </w:rPr>
              <w:t>Исполнитель</w:t>
            </w:r>
          </w:p>
        </w:tc>
        <w:tc>
          <w:tcPr>
            <w:tcW w:w="351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start"/>
              <w:rPr>
                <w:rFonts w:ascii="Times New Roman" w:hAnsi="Times New Roman" w:eastAsia="Calibri" w:cs="Times New Roman"/>
              </w:rPr>
            </w:pPr>
            <w:r>
              <w:rPr>
                <w:rFonts w:eastAsia="Calibri" w:cs="Times New Roman" w:ascii="Times New Roman" w:hAnsi="Times New Roman"/>
              </w:rPr>
              <w:t>Отключить сервера карточной платформы (основной и резервный ES) ЦОД.</w:t>
            </w:r>
          </w:p>
        </w:tc>
        <w:tc>
          <w:tcPr>
            <w:tcW w:w="353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start"/>
              <w:rPr>
                <w:rFonts w:ascii="Times New Roman" w:hAnsi="Times New Roman" w:eastAsia="Calibri" w:cs="Times New Roman"/>
              </w:rPr>
            </w:pPr>
            <w:r>
              <w:rPr>
                <w:rFonts w:eastAsia="Calibri" w:cs="Times New Roman" w:ascii="Times New Roman" w:hAnsi="Times New Roman"/>
              </w:rPr>
              <w:t>Рабочие места переключились в автоматическом режиме на работу с основным сервером карточной платформы РЦОД (приём вызовов осуществляется на рабочих местах РЦОВ или ЕДДС в соответствии с Приложениями А, Б и Д).</w:t>
            </w:r>
          </w:p>
          <w:p>
            <w:pPr>
              <w:pStyle w:val="Normal"/>
              <w:jc w:val="start"/>
              <w:rPr>
                <w:rFonts w:ascii="Times New Roman" w:hAnsi="Times New Roman" w:eastAsia="Calibri" w:cs="Times New Roman"/>
              </w:rPr>
            </w:pPr>
            <w:r>
              <w:rPr>
                <w:rFonts w:eastAsia="Calibri" w:cs="Times New Roman" w:ascii="Times New Roman" w:hAnsi="Times New Roman"/>
              </w:rPr>
              <w:t>При переходе на работу с РЦОД не будут функционировать интеграции и с которыми не настроено взаимодействие РЦОД (определение местоположения и передача дополнительной информации для операторов связи, СОДЧ МВД и д.р.).</w:t>
            </w:r>
          </w:p>
        </w:tc>
      </w:tr>
      <w:tr>
        <w:trPr>
          <w:trHeight w:val="77" w:hRule="atLeast"/>
        </w:trPr>
        <w:tc>
          <w:tcPr>
            <w:tcW w:w="4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Calibri" w:cs="Times New Roman"/>
              </w:rPr>
            </w:pPr>
            <w:r>
              <w:rPr>
                <w:rFonts w:eastAsia="Calibri" w:cs="Times New Roman" w:ascii="Times New Roman" w:hAnsi="Times New Roman"/>
              </w:rPr>
              <w:t>3</w:t>
            </w:r>
          </w:p>
        </w:tc>
        <w:tc>
          <w:tcPr>
            <w:tcW w:w="179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Calibri" w:cs="Times New Roman"/>
              </w:rPr>
            </w:pPr>
            <w:r>
              <w:rPr>
                <w:rFonts w:eastAsia="Calibri" w:cs="Times New Roman" w:ascii="Times New Roman" w:hAnsi="Times New Roman"/>
              </w:rPr>
              <w:t>Исполнитель</w:t>
            </w:r>
          </w:p>
        </w:tc>
        <w:tc>
          <w:tcPr>
            <w:tcW w:w="351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start"/>
              <w:rPr>
                <w:rFonts w:ascii="Times New Roman" w:hAnsi="Times New Roman" w:eastAsia="Calibri" w:cs="Times New Roman"/>
              </w:rPr>
            </w:pPr>
            <w:r>
              <w:rPr>
                <w:rFonts w:eastAsia="Calibri" w:cs="Times New Roman" w:ascii="Times New Roman" w:hAnsi="Times New Roman"/>
              </w:rPr>
              <w:t>Остановить основной сервер колл-центра (Applicast, CPE, SPL) в ЦОД.</w:t>
            </w:r>
          </w:p>
        </w:tc>
        <w:tc>
          <w:tcPr>
            <w:tcW w:w="353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start"/>
              <w:rPr>
                <w:rFonts w:ascii="Times New Roman" w:hAnsi="Times New Roman" w:eastAsia="Calibri" w:cs="Times New Roman"/>
              </w:rPr>
            </w:pPr>
            <w:r>
              <w:rPr>
                <w:rFonts w:eastAsia="Calibri" w:cs="Times New Roman" w:ascii="Times New Roman" w:hAnsi="Times New Roman"/>
              </w:rPr>
              <w:t>Вызовы продолжают поступать к операторам «112» через сервисы РЦОД.</w:t>
            </w:r>
          </w:p>
          <w:p>
            <w:pPr>
              <w:pStyle w:val="Normal"/>
              <w:jc w:val="start"/>
              <w:rPr>
                <w:rFonts w:ascii="Times New Roman" w:hAnsi="Times New Roman" w:eastAsia="Calibri" w:cs="Times New Roman"/>
              </w:rPr>
            </w:pPr>
            <w:r>
              <w:rPr>
                <w:rFonts w:eastAsia="Calibri" w:cs="Times New Roman" w:ascii="Times New Roman" w:hAnsi="Times New Roman"/>
              </w:rPr>
              <w:t>При остановке приложения возможны потери вызовов, которые были активны на момент остановки основных сервисов.</w:t>
            </w:r>
          </w:p>
        </w:tc>
      </w:tr>
      <w:tr>
        <w:trPr>
          <w:trHeight w:val="1123" w:hRule="atLeast"/>
        </w:trPr>
        <w:tc>
          <w:tcPr>
            <w:tcW w:w="4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Calibri" w:cs="Times New Roman"/>
              </w:rPr>
            </w:pPr>
            <w:r>
              <w:rPr>
                <w:rFonts w:eastAsia="Calibri" w:cs="Times New Roman" w:ascii="Times New Roman" w:hAnsi="Times New Roman"/>
              </w:rPr>
              <w:t>4</w:t>
            </w:r>
          </w:p>
        </w:tc>
        <w:tc>
          <w:tcPr>
            <w:tcW w:w="179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Calibri" w:cs="Times New Roman"/>
              </w:rPr>
            </w:pPr>
            <w:r>
              <w:rPr>
                <w:rFonts w:eastAsia="Calibri" w:cs="Times New Roman" w:ascii="Times New Roman" w:hAnsi="Times New Roman"/>
              </w:rPr>
              <w:t>Исполнитель</w:t>
            </w:r>
          </w:p>
        </w:tc>
        <w:tc>
          <w:tcPr>
            <w:tcW w:w="351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start"/>
              <w:rPr>
                <w:rFonts w:ascii="Times New Roman" w:hAnsi="Times New Roman" w:eastAsia="Calibri" w:cs="Times New Roman"/>
              </w:rPr>
            </w:pPr>
            <w:r>
              <w:rPr>
                <w:rFonts w:eastAsia="Calibri" w:cs="Times New Roman" w:ascii="Times New Roman" w:hAnsi="Times New Roman"/>
              </w:rPr>
              <w:t>Остановить шлюзы Tiger.MS в ЦОД.</w:t>
            </w:r>
          </w:p>
        </w:tc>
        <w:tc>
          <w:tcPr>
            <w:tcW w:w="353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start"/>
              <w:rPr>
                <w:rFonts w:ascii="Times New Roman" w:hAnsi="Times New Roman" w:eastAsia="Calibri" w:cs="Times New Roman"/>
              </w:rPr>
            </w:pPr>
            <w:r>
              <w:rPr>
                <w:rFonts w:eastAsia="Calibri" w:cs="Times New Roman" w:ascii="Times New Roman" w:hAnsi="Times New Roman"/>
              </w:rPr>
              <w:t>Входящие вызовы автоматически переключаются на резервный шлюз Tiger.MS.</w:t>
            </w:r>
          </w:p>
          <w:p>
            <w:pPr>
              <w:pStyle w:val="Normal"/>
              <w:jc w:val="start"/>
              <w:rPr>
                <w:rFonts w:ascii="Times New Roman" w:hAnsi="Times New Roman" w:eastAsia="Calibri" w:cs="Times New Roman"/>
              </w:rPr>
            </w:pPr>
            <w:r>
              <w:rPr>
                <w:rFonts w:eastAsia="Calibri" w:cs="Times New Roman" w:ascii="Times New Roman" w:hAnsi="Times New Roman"/>
              </w:rPr>
              <w:t>При остановке приложения, возможны потери вызовов, которые были активны на момент остановки основных сервисов.</w:t>
            </w:r>
          </w:p>
        </w:tc>
      </w:tr>
      <w:tr>
        <w:trPr>
          <w:trHeight w:val="1382" w:hRule="atLeast"/>
        </w:trPr>
        <w:tc>
          <w:tcPr>
            <w:tcW w:w="4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Calibri" w:cs="Times New Roman"/>
              </w:rPr>
            </w:pPr>
            <w:r>
              <w:rPr>
                <w:rFonts w:eastAsia="Calibri" w:cs="Times New Roman" w:ascii="Times New Roman" w:hAnsi="Times New Roman"/>
              </w:rPr>
              <w:t>5</w:t>
            </w:r>
          </w:p>
        </w:tc>
        <w:tc>
          <w:tcPr>
            <w:tcW w:w="179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Calibri" w:cs="Times New Roman"/>
              </w:rPr>
            </w:pPr>
            <w:r>
              <w:rPr>
                <w:rFonts w:eastAsia="Calibri" w:cs="Times New Roman" w:ascii="Times New Roman" w:hAnsi="Times New Roman"/>
              </w:rPr>
              <w:t>Исполнитель</w:t>
            </w:r>
          </w:p>
        </w:tc>
        <w:tc>
          <w:tcPr>
            <w:tcW w:w="351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start"/>
              <w:rPr>
                <w:rFonts w:ascii="Times New Roman" w:hAnsi="Times New Roman" w:eastAsia="Calibri" w:cs="Times New Roman"/>
              </w:rPr>
            </w:pPr>
            <w:r>
              <w:rPr>
                <w:rFonts w:eastAsia="Calibri" w:cs="Times New Roman" w:ascii="Times New Roman" w:hAnsi="Times New Roman"/>
              </w:rPr>
              <w:t>Остановить АТС в ЦОД.</w:t>
            </w:r>
          </w:p>
        </w:tc>
        <w:tc>
          <w:tcPr>
            <w:tcW w:w="353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start"/>
              <w:rPr>
                <w:rFonts w:ascii="Times New Roman" w:hAnsi="Times New Roman" w:eastAsia="Calibri" w:cs="Times New Roman"/>
              </w:rPr>
            </w:pPr>
            <w:r>
              <w:rPr>
                <w:rFonts w:eastAsia="Calibri" w:cs="Times New Roman" w:ascii="Times New Roman" w:hAnsi="Times New Roman"/>
              </w:rPr>
              <w:t>Входящие вызовы автоматически распределяются на МКД РЦОД и входящие вызовы продолжают поступать на АРМы.</w:t>
            </w:r>
          </w:p>
          <w:p>
            <w:pPr>
              <w:pStyle w:val="Normal"/>
              <w:jc w:val="start"/>
              <w:rPr>
                <w:rFonts w:ascii="Times New Roman" w:hAnsi="Times New Roman" w:eastAsia="Calibri" w:cs="Times New Roman"/>
              </w:rPr>
            </w:pPr>
            <w:r>
              <w:rPr>
                <w:rFonts w:eastAsia="Calibri" w:cs="Times New Roman" w:ascii="Times New Roman" w:hAnsi="Times New Roman"/>
              </w:rPr>
              <w:t>У IP телефонов должна быть доступна 2-я линия.</w:t>
            </w:r>
          </w:p>
        </w:tc>
      </w:tr>
      <w:tr>
        <w:trPr>
          <w:trHeight w:val="1265" w:hRule="atLeast"/>
        </w:trPr>
        <w:tc>
          <w:tcPr>
            <w:tcW w:w="4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Calibri" w:cs="Times New Roman"/>
              </w:rPr>
            </w:pPr>
            <w:r>
              <w:rPr>
                <w:rFonts w:eastAsia="Calibri" w:cs="Times New Roman" w:ascii="Times New Roman" w:hAnsi="Times New Roman"/>
              </w:rPr>
              <w:t>6</w:t>
            </w:r>
          </w:p>
        </w:tc>
        <w:tc>
          <w:tcPr>
            <w:tcW w:w="179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Calibri" w:cs="Times New Roman"/>
              </w:rPr>
            </w:pPr>
            <w:r>
              <w:rPr>
                <w:rFonts w:eastAsia="Calibri" w:cs="Times New Roman" w:ascii="Times New Roman" w:hAnsi="Times New Roman"/>
              </w:rPr>
              <w:t>Заказчик</w:t>
            </w:r>
          </w:p>
        </w:tc>
        <w:tc>
          <w:tcPr>
            <w:tcW w:w="351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start"/>
              <w:rPr>
                <w:rFonts w:ascii="Times New Roman" w:hAnsi="Times New Roman" w:eastAsia="Calibri" w:cs="Times New Roman"/>
              </w:rPr>
            </w:pPr>
            <w:r>
              <w:rPr>
                <w:rFonts w:eastAsia="Calibri" w:cs="Times New Roman" w:ascii="Times New Roman" w:hAnsi="Times New Roman"/>
              </w:rPr>
              <w:t>Проверить работоспособность функционала системы на РЦОД с объектами в соответствии с Приложениями А, Б и Д, в том числе:</w:t>
            </w:r>
          </w:p>
          <w:p>
            <w:pPr>
              <w:pStyle w:val="Normal"/>
              <w:jc w:val="start"/>
              <w:rPr>
                <w:rFonts w:ascii="Times New Roman" w:hAnsi="Times New Roman" w:eastAsia="Calibri" w:cs="Times New Roman"/>
              </w:rPr>
            </w:pPr>
            <w:r>
              <w:rPr>
                <w:rFonts w:eastAsia="Calibri" w:cs="Times New Roman" w:ascii="Times New Roman" w:hAnsi="Times New Roman"/>
              </w:rPr>
              <w:t>- внутренняя телефония;</w:t>
            </w:r>
          </w:p>
          <w:p>
            <w:pPr>
              <w:pStyle w:val="Normal"/>
              <w:jc w:val="start"/>
              <w:rPr>
                <w:rFonts w:ascii="Times New Roman" w:hAnsi="Times New Roman" w:eastAsia="Calibri" w:cs="Times New Roman"/>
              </w:rPr>
            </w:pPr>
            <w:r>
              <w:rPr>
                <w:rFonts w:eastAsia="Calibri" w:cs="Times New Roman" w:ascii="Times New Roman" w:hAnsi="Times New Roman"/>
              </w:rPr>
              <w:t>- обработка входящих вызовов;</w:t>
            </w:r>
          </w:p>
          <w:p>
            <w:pPr>
              <w:pStyle w:val="Normal"/>
              <w:jc w:val="start"/>
              <w:rPr>
                <w:rFonts w:ascii="Times New Roman" w:hAnsi="Times New Roman" w:eastAsia="Calibri" w:cs="Times New Roman"/>
              </w:rPr>
            </w:pPr>
            <w:r>
              <w:rPr>
                <w:rFonts w:eastAsia="Calibri" w:cs="Times New Roman" w:ascii="Times New Roman" w:hAnsi="Times New Roman"/>
              </w:rPr>
              <w:t>- обработка исходящих вызовов;</w:t>
            </w:r>
          </w:p>
          <w:p>
            <w:pPr>
              <w:pStyle w:val="Normal"/>
              <w:jc w:val="start"/>
              <w:rPr>
                <w:rFonts w:ascii="Times New Roman" w:hAnsi="Times New Roman" w:eastAsia="Calibri" w:cs="Times New Roman"/>
              </w:rPr>
            </w:pPr>
            <w:r>
              <w:rPr>
                <w:rFonts w:eastAsia="Calibri" w:cs="Times New Roman" w:ascii="Times New Roman" w:hAnsi="Times New Roman"/>
              </w:rPr>
              <w:t>- межрегион Ставропольский край;</w:t>
            </w:r>
          </w:p>
          <w:p>
            <w:pPr>
              <w:pStyle w:val="Normal"/>
              <w:jc w:val="start"/>
              <w:rPr>
                <w:rFonts w:ascii="Times New Roman" w:hAnsi="Times New Roman" w:eastAsia="Calibri" w:cs="Times New Roman"/>
              </w:rPr>
            </w:pPr>
            <w:r>
              <w:rPr>
                <w:rFonts w:eastAsia="Calibri" w:cs="Times New Roman" w:ascii="Times New Roman" w:hAnsi="Times New Roman"/>
              </w:rPr>
              <w:t>- межрегион РСО-Алания;</w:t>
            </w:r>
          </w:p>
          <w:p>
            <w:pPr>
              <w:pStyle w:val="Normal"/>
              <w:jc w:val="start"/>
              <w:rPr>
                <w:rFonts w:ascii="Times New Roman" w:hAnsi="Times New Roman" w:eastAsia="Calibri" w:cs="Times New Roman"/>
              </w:rPr>
            </w:pPr>
            <w:r>
              <w:rPr>
                <w:rFonts w:eastAsia="Calibri" w:cs="Times New Roman" w:ascii="Times New Roman" w:hAnsi="Times New Roman"/>
              </w:rPr>
              <w:t>- межрегион КЧР;</w:t>
            </w:r>
          </w:p>
          <w:p>
            <w:pPr>
              <w:pStyle w:val="Normal"/>
              <w:jc w:val="start"/>
              <w:rPr>
                <w:rFonts w:ascii="Times New Roman" w:hAnsi="Times New Roman" w:eastAsia="Calibri" w:cs="Times New Roman"/>
              </w:rPr>
            </w:pPr>
            <w:r>
              <w:rPr>
                <w:rFonts w:eastAsia="Calibri" w:cs="Times New Roman" w:ascii="Times New Roman" w:hAnsi="Times New Roman"/>
              </w:rPr>
              <w:t>- поступление данных геолокации;</w:t>
            </w:r>
          </w:p>
          <w:p>
            <w:pPr>
              <w:pStyle w:val="Normal"/>
              <w:jc w:val="start"/>
              <w:rPr>
                <w:rFonts w:ascii="Times New Roman" w:hAnsi="Times New Roman" w:eastAsia="Calibri" w:cs="Times New Roman"/>
              </w:rPr>
            </w:pPr>
            <w:r>
              <w:rPr>
                <w:rFonts w:eastAsia="Calibri" w:cs="Times New Roman" w:ascii="Times New Roman" w:hAnsi="Times New Roman"/>
              </w:rPr>
              <w:t>- работоспособность АРМов ЕДДС, ДДС и IP телефонов;</w:t>
            </w:r>
          </w:p>
          <w:p>
            <w:pPr>
              <w:pStyle w:val="Normal"/>
              <w:jc w:val="start"/>
              <w:rPr>
                <w:rFonts w:ascii="Times New Roman" w:hAnsi="Times New Roman" w:eastAsia="Calibri" w:cs="Times New Roman"/>
              </w:rPr>
            </w:pPr>
            <w:r>
              <w:rPr>
                <w:rFonts w:eastAsia="Calibri" w:cs="Times New Roman" w:ascii="Times New Roman" w:hAnsi="Times New Roman"/>
              </w:rPr>
              <w:t>- действующие интеграции.</w:t>
            </w:r>
          </w:p>
        </w:tc>
        <w:tc>
          <w:tcPr>
            <w:tcW w:w="353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start"/>
              <w:rPr>
                <w:rFonts w:ascii="Times New Roman" w:hAnsi="Times New Roman" w:eastAsia="Calibri" w:cs="Times New Roman"/>
              </w:rPr>
            </w:pPr>
            <w:r>
              <w:rPr>
                <w:rFonts w:eastAsia="Calibri" w:cs="Times New Roman" w:ascii="Times New Roman" w:hAnsi="Times New Roman"/>
              </w:rPr>
              <w:t>Базовые сценарии работают нормально.</w:t>
            </w:r>
          </w:p>
          <w:p>
            <w:pPr>
              <w:pStyle w:val="Normal"/>
              <w:jc w:val="start"/>
              <w:rPr>
                <w:rFonts w:ascii="Times New Roman" w:hAnsi="Times New Roman" w:eastAsia="Calibri" w:cs="Times New Roman"/>
              </w:rPr>
            </w:pPr>
            <w:r>
              <w:rPr>
                <w:rFonts w:eastAsia="Calibri" w:cs="Times New Roman" w:ascii="Times New Roman" w:hAnsi="Times New Roman"/>
              </w:rPr>
              <w:t>Отражать в документации интеграции с которыми не настроено взаимодействие с РЦОД.</w:t>
            </w:r>
          </w:p>
        </w:tc>
      </w:tr>
      <w:tr>
        <w:trPr>
          <w:trHeight w:val="972" w:hRule="atLeast"/>
        </w:trPr>
        <w:tc>
          <w:tcPr>
            <w:tcW w:w="4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Calibri" w:cs="Times New Roman"/>
              </w:rPr>
            </w:pPr>
            <w:r>
              <w:rPr>
                <w:rFonts w:eastAsia="Calibri" w:cs="Times New Roman" w:ascii="Times New Roman" w:hAnsi="Times New Roman"/>
              </w:rPr>
              <w:t>7</w:t>
            </w:r>
          </w:p>
        </w:tc>
        <w:tc>
          <w:tcPr>
            <w:tcW w:w="179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Calibri" w:cs="Times New Roman"/>
              </w:rPr>
            </w:pPr>
            <w:r>
              <w:rPr>
                <w:rFonts w:eastAsia="Calibri" w:cs="Times New Roman" w:ascii="Times New Roman" w:hAnsi="Times New Roman"/>
              </w:rPr>
              <w:t>Исполнитель</w:t>
            </w:r>
          </w:p>
        </w:tc>
        <w:tc>
          <w:tcPr>
            <w:tcW w:w="351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start"/>
              <w:rPr>
                <w:rFonts w:ascii="Times New Roman" w:hAnsi="Times New Roman" w:eastAsia="Calibri" w:cs="Times New Roman"/>
              </w:rPr>
            </w:pPr>
            <w:r>
              <w:rPr>
                <w:rFonts w:eastAsia="Calibri" w:cs="Times New Roman" w:ascii="Times New Roman" w:hAnsi="Times New Roman"/>
              </w:rPr>
              <w:t>Остановить основной координатор VipNet 1000 в ЦОДе.</w:t>
            </w:r>
          </w:p>
        </w:tc>
        <w:tc>
          <w:tcPr>
            <w:tcW w:w="353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start"/>
              <w:rPr>
                <w:rFonts w:ascii="Times New Roman" w:hAnsi="Times New Roman" w:eastAsia="Calibri" w:cs="Times New Roman"/>
              </w:rPr>
            </w:pPr>
            <w:r>
              <w:rPr>
                <w:rFonts w:eastAsia="Calibri" w:cs="Times New Roman" w:ascii="Times New Roman" w:hAnsi="Times New Roman"/>
              </w:rPr>
              <w:t>Отключение координатора не должно приводить к нарушению связи или проблем маршрутизации вызовов или интеграций.</w:t>
            </w:r>
          </w:p>
        </w:tc>
      </w:tr>
      <w:tr>
        <w:trPr>
          <w:trHeight w:val="2447" w:hRule="atLeast"/>
        </w:trPr>
        <w:tc>
          <w:tcPr>
            <w:tcW w:w="4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Calibri" w:cs="Times New Roman"/>
              </w:rPr>
            </w:pPr>
            <w:r>
              <w:rPr>
                <w:rFonts w:eastAsia="Calibri" w:cs="Times New Roman" w:ascii="Times New Roman" w:hAnsi="Times New Roman"/>
              </w:rPr>
              <w:t>8</w:t>
            </w:r>
          </w:p>
        </w:tc>
        <w:tc>
          <w:tcPr>
            <w:tcW w:w="179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Calibri" w:cs="Times New Roman"/>
              </w:rPr>
            </w:pPr>
            <w:r>
              <w:rPr>
                <w:rFonts w:eastAsia="Calibri" w:cs="Times New Roman" w:ascii="Times New Roman" w:hAnsi="Times New Roman"/>
              </w:rPr>
              <w:t>Заказчик</w:t>
            </w:r>
          </w:p>
        </w:tc>
        <w:tc>
          <w:tcPr>
            <w:tcW w:w="351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start"/>
              <w:rPr>
                <w:rFonts w:ascii="Times New Roman" w:hAnsi="Times New Roman" w:eastAsia="Calibri" w:cs="Times New Roman"/>
              </w:rPr>
            </w:pPr>
            <w:r>
              <w:rPr>
                <w:rFonts w:eastAsia="Calibri" w:cs="Times New Roman" w:ascii="Times New Roman" w:hAnsi="Times New Roman"/>
              </w:rPr>
              <w:t>Проверить работоспособность функционала системы на РЦОД с объектами в соответствии с Приложениями А, Б и Д, в том числе:</w:t>
            </w:r>
          </w:p>
          <w:p>
            <w:pPr>
              <w:pStyle w:val="Normal"/>
              <w:jc w:val="start"/>
              <w:rPr>
                <w:rFonts w:ascii="Times New Roman" w:hAnsi="Times New Roman" w:eastAsia="Calibri" w:cs="Times New Roman"/>
              </w:rPr>
            </w:pPr>
            <w:r>
              <w:rPr>
                <w:rFonts w:eastAsia="Calibri" w:cs="Times New Roman" w:ascii="Times New Roman" w:hAnsi="Times New Roman"/>
              </w:rPr>
              <w:t>- внутренняя телефония;</w:t>
            </w:r>
          </w:p>
          <w:p>
            <w:pPr>
              <w:pStyle w:val="Normal"/>
              <w:jc w:val="start"/>
              <w:rPr>
                <w:rFonts w:ascii="Times New Roman" w:hAnsi="Times New Roman" w:eastAsia="Calibri" w:cs="Times New Roman"/>
              </w:rPr>
            </w:pPr>
            <w:r>
              <w:rPr>
                <w:rFonts w:eastAsia="Calibri" w:cs="Times New Roman" w:ascii="Times New Roman" w:hAnsi="Times New Roman"/>
              </w:rPr>
              <w:t>- обработка входящих вызовов;</w:t>
            </w:r>
          </w:p>
          <w:p>
            <w:pPr>
              <w:pStyle w:val="Normal"/>
              <w:jc w:val="start"/>
              <w:rPr>
                <w:rFonts w:ascii="Times New Roman" w:hAnsi="Times New Roman" w:eastAsia="Calibri" w:cs="Times New Roman"/>
              </w:rPr>
            </w:pPr>
            <w:r>
              <w:rPr>
                <w:rFonts w:eastAsia="Calibri" w:cs="Times New Roman" w:ascii="Times New Roman" w:hAnsi="Times New Roman"/>
              </w:rPr>
              <w:t>- обработка исходящих вызовов;</w:t>
            </w:r>
          </w:p>
          <w:p>
            <w:pPr>
              <w:pStyle w:val="Normal"/>
              <w:jc w:val="start"/>
              <w:rPr>
                <w:rFonts w:ascii="Times New Roman" w:hAnsi="Times New Roman" w:eastAsia="Calibri" w:cs="Times New Roman"/>
              </w:rPr>
            </w:pPr>
            <w:r>
              <w:rPr>
                <w:rFonts w:eastAsia="Calibri" w:cs="Times New Roman" w:ascii="Times New Roman" w:hAnsi="Times New Roman"/>
              </w:rPr>
              <w:t>- межрегион Ставропольский край;</w:t>
            </w:r>
          </w:p>
          <w:p>
            <w:pPr>
              <w:pStyle w:val="Normal"/>
              <w:jc w:val="start"/>
              <w:rPr>
                <w:rFonts w:ascii="Times New Roman" w:hAnsi="Times New Roman" w:eastAsia="Calibri" w:cs="Times New Roman"/>
              </w:rPr>
            </w:pPr>
            <w:r>
              <w:rPr>
                <w:rFonts w:eastAsia="Calibri" w:cs="Times New Roman" w:ascii="Times New Roman" w:hAnsi="Times New Roman"/>
              </w:rPr>
              <w:t>- межрегион РСО-Алания;</w:t>
            </w:r>
          </w:p>
          <w:p>
            <w:pPr>
              <w:pStyle w:val="Normal"/>
              <w:jc w:val="start"/>
              <w:rPr>
                <w:rFonts w:ascii="Times New Roman" w:hAnsi="Times New Roman" w:eastAsia="Calibri" w:cs="Times New Roman"/>
              </w:rPr>
            </w:pPr>
            <w:r>
              <w:rPr>
                <w:rFonts w:eastAsia="Calibri" w:cs="Times New Roman" w:ascii="Times New Roman" w:hAnsi="Times New Roman"/>
              </w:rPr>
              <w:t>- межрегион КЧР;</w:t>
            </w:r>
          </w:p>
          <w:p>
            <w:pPr>
              <w:pStyle w:val="Normal"/>
              <w:jc w:val="start"/>
              <w:rPr>
                <w:rFonts w:ascii="Times New Roman" w:hAnsi="Times New Roman" w:eastAsia="Calibri" w:cs="Times New Roman"/>
              </w:rPr>
            </w:pPr>
            <w:r>
              <w:rPr>
                <w:rFonts w:eastAsia="Calibri" w:cs="Times New Roman" w:ascii="Times New Roman" w:hAnsi="Times New Roman"/>
              </w:rPr>
              <w:t>- поступление данных геолокации;</w:t>
            </w:r>
          </w:p>
          <w:p>
            <w:pPr>
              <w:pStyle w:val="Normal"/>
              <w:jc w:val="start"/>
              <w:rPr>
                <w:rFonts w:ascii="Times New Roman" w:hAnsi="Times New Roman" w:eastAsia="Calibri" w:cs="Times New Roman"/>
              </w:rPr>
            </w:pPr>
            <w:r>
              <w:rPr>
                <w:rFonts w:eastAsia="Calibri" w:cs="Times New Roman" w:ascii="Times New Roman" w:hAnsi="Times New Roman"/>
              </w:rPr>
              <w:t>- работоспособность АРМов ЕДДС, ДДС и IP телефонов;</w:t>
            </w:r>
          </w:p>
          <w:p>
            <w:pPr>
              <w:pStyle w:val="Normal"/>
              <w:jc w:val="start"/>
              <w:rPr>
                <w:rFonts w:ascii="Times New Roman" w:hAnsi="Times New Roman" w:eastAsia="Calibri" w:cs="Times New Roman"/>
              </w:rPr>
            </w:pPr>
            <w:r>
              <w:rPr>
                <w:rFonts w:eastAsia="Calibri" w:cs="Times New Roman" w:ascii="Times New Roman" w:hAnsi="Times New Roman"/>
              </w:rPr>
              <w:t>- действующие интеграции.</w:t>
            </w:r>
          </w:p>
        </w:tc>
        <w:tc>
          <w:tcPr>
            <w:tcW w:w="353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start"/>
              <w:rPr>
                <w:rFonts w:ascii="Times New Roman" w:hAnsi="Times New Roman" w:eastAsia="Calibri" w:cs="Times New Roman"/>
              </w:rPr>
            </w:pPr>
            <w:r>
              <w:rPr>
                <w:rFonts w:eastAsia="Calibri" w:cs="Times New Roman" w:ascii="Times New Roman" w:hAnsi="Times New Roman"/>
              </w:rPr>
              <w:t>Базовые сценарии работают нормально.</w:t>
            </w:r>
          </w:p>
          <w:p>
            <w:pPr>
              <w:pStyle w:val="Normal"/>
              <w:jc w:val="start"/>
              <w:rPr>
                <w:rFonts w:ascii="Times New Roman" w:hAnsi="Times New Roman" w:eastAsia="Calibri" w:cs="Times New Roman"/>
              </w:rPr>
            </w:pPr>
            <w:r>
              <w:rPr>
                <w:rFonts w:eastAsia="Calibri" w:cs="Times New Roman" w:ascii="Times New Roman" w:hAnsi="Times New Roman"/>
              </w:rPr>
              <w:t>Отражать в документации интеграции с которыми не настроено взаимодействие с РЦОД.</w:t>
            </w:r>
          </w:p>
        </w:tc>
      </w:tr>
      <w:tr>
        <w:trPr>
          <w:trHeight w:val="450" w:hRule="atLeast"/>
        </w:trPr>
        <w:tc>
          <w:tcPr>
            <w:tcW w:w="497" w:type="dxa"/>
            <w:vMerge w:val="restart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Calibri" w:cs="Times New Roman"/>
              </w:rPr>
            </w:pPr>
            <w:r>
              <w:rPr>
                <w:rFonts w:eastAsia="Calibri" w:cs="Times New Roman" w:ascii="Times New Roman" w:hAnsi="Times New Roman"/>
              </w:rPr>
              <w:t>9</w:t>
            </w:r>
          </w:p>
        </w:tc>
        <w:tc>
          <w:tcPr>
            <w:tcW w:w="1794" w:type="dxa"/>
            <w:vMerge w:val="restart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Calibri" w:cs="Times New Roman"/>
              </w:rPr>
            </w:pPr>
            <w:r>
              <w:rPr>
                <w:rFonts w:eastAsia="Calibri" w:cs="Times New Roman" w:ascii="Times New Roman" w:hAnsi="Times New Roman"/>
              </w:rPr>
              <w:t>Исполнитель</w:t>
            </w:r>
          </w:p>
        </w:tc>
        <w:tc>
          <w:tcPr>
            <w:tcW w:w="3515" w:type="dxa"/>
            <w:vMerge w:val="restart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start"/>
              <w:rPr>
                <w:rFonts w:ascii="Times New Roman" w:hAnsi="Times New Roman" w:eastAsia="Calibri" w:cs="Times New Roman"/>
              </w:rPr>
            </w:pPr>
            <w:r>
              <w:rPr>
                <w:rFonts w:eastAsia="Calibri" w:cs="Times New Roman" w:ascii="Times New Roman" w:hAnsi="Times New Roman"/>
              </w:rPr>
              <w:t>Зафиксировать список АРМов и IP телефонов, подключенных к серверам РЦОД.</w:t>
            </w:r>
          </w:p>
        </w:tc>
        <w:tc>
          <w:tcPr>
            <w:tcW w:w="3539" w:type="dxa"/>
            <w:vMerge w:val="restart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start"/>
              <w:rPr>
                <w:rFonts w:ascii="Times New Roman" w:hAnsi="Times New Roman" w:eastAsia="Calibri" w:cs="Times New Roman"/>
              </w:rPr>
            </w:pPr>
            <w:r>
              <w:rPr>
                <w:rFonts w:eastAsia="Calibri" w:cs="Times New Roman" w:ascii="Times New Roman" w:hAnsi="Times New Roman"/>
              </w:rPr>
              <w:t>Список АРМов и IP телефонов.</w:t>
            </w:r>
          </w:p>
        </w:tc>
      </w:tr>
      <w:tr>
        <w:trPr>
          <w:trHeight w:val="294" w:hRule="atLeast"/>
        </w:trPr>
        <w:tc>
          <w:tcPr>
            <w:tcW w:w="497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Calibri" w:cs="Times New Roman"/>
              </w:rPr>
            </w:pPr>
            <w:r>
              <w:rPr>
                <w:rFonts w:eastAsia="Calibri" w:cs="Times New Roman" w:ascii="Times New Roman" w:hAnsi="Times New Roman"/>
              </w:rPr>
            </w:r>
          </w:p>
        </w:tc>
        <w:tc>
          <w:tcPr>
            <w:tcW w:w="1794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Calibri" w:cs="Times New Roman"/>
              </w:rPr>
            </w:pPr>
            <w:r>
              <w:rPr>
                <w:rFonts w:eastAsia="Calibri" w:cs="Times New Roman" w:ascii="Times New Roman" w:hAnsi="Times New Roman"/>
              </w:rPr>
            </w:r>
          </w:p>
        </w:tc>
        <w:tc>
          <w:tcPr>
            <w:tcW w:w="3515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start"/>
              <w:rPr>
                <w:rFonts w:ascii="Times New Roman" w:hAnsi="Times New Roman" w:eastAsia="Calibri" w:cs="Times New Roman"/>
              </w:rPr>
            </w:pPr>
            <w:r>
              <w:rPr>
                <w:rFonts w:eastAsia="Calibri" w:cs="Times New Roman" w:ascii="Times New Roman" w:hAnsi="Times New Roman"/>
              </w:rPr>
            </w:r>
          </w:p>
        </w:tc>
        <w:tc>
          <w:tcPr>
            <w:tcW w:w="3539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start"/>
              <w:rPr>
                <w:rFonts w:ascii="Times New Roman" w:hAnsi="Times New Roman" w:eastAsia="Calibri" w:cs="Times New Roman"/>
              </w:rPr>
            </w:pPr>
            <w:r>
              <w:rPr>
                <w:rFonts w:eastAsia="Calibri" w:cs="Times New Roman" w:ascii="Times New Roman" w:hAnsi="Times New Roman"/>
              </w:rPr>
            </w:r>
          </w:p>
        </w:tc>
      </w:tr>
      <w:tr>
        <w:trPr>
          <w:trHeight w:val="473" w:hRule="atLeast"/>
        </w:trPr>
        <w:tc>
          <w:tcPr>
            <w:tcW w:w="4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Calibri" w:cs="Times New Roman"/>
              </w:rPr>
            </w:pPr>
            <w:r>
              <w:rPr>
                <w:rFonts w:eastAsia="Calibri" w:cs="Times New Roman" w:ascii="Times New Roman" w:hAnsi="Times New Roman"/>
              </w:rPr>
              <w:t>10</w:t>
            </w:r>
          </w:p>
        </w:tc>
        <w:tc>
          <w:tcPr>
            <w:tcW w:w="179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Calibri" w:cs="Times New Roman"/>
              </w:rPr>
            </w:pPr>
            <w:r>
              <w:rPr>
                <w:rFonts w:eastAsia="Calibri" w:cs="Times New Roman" w:ascii="Times New Roman" w:hAnsi="Times New Roman"/>
              </w:rPr>
              <w:t>Исполнитель</w:t>
            </w:r>
          </w:p>
        </w:tc>
        <w:tc>
          <w:tcPr>
            <w:tcW w:w="351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start"/>
              <w:rPr>
                <w:rFonts w:ascii="Times New Roman" w:hAnsi="Times New Roman" w:eastAsia="Calibri" w:cs="Times New Roman"/>
              </w:rPr>
            </w:pPr>
            <w:r>
              <w:rPr>
                <w:rFonts w:eastAsia="Calibri" w:cs="Times New Roman" w:ascii="Times New Roman" w:hAnsi="Times New Roman"/>
              </w:rPr>
              <w:t>Запустить основной координатор VipNet 1000 в ЦОДе.</w:t>
            </w:r>
          </w:p>
        </w:tc>
        <w:tc>
          <w:tcPr>
            <w:tcW w:w="353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start"/>
              <w:rPr>
                <w:rFonts w:ascii="Times New Roman" w:hAnsi="Times New Roman" w:eastAsia="Calibri" w:cs="Times New Roman"/>
              </w:rPr>
            </w:pPr>
            <w:r>
              <w:rPr>
                <w:rFonts w:eastAsia="Calibri" w:cs="Times New Roman" w:ascii="Times New Roman" w:hAnsi="Times New Roman"/>
              </w:rPr>
              <w:t>Удаленный доступ для НТЦ «Протей» восстановлен.</w:t>
            </w:r>
          </w:p>
        </w:tc>
      </w:tr>
      <w:tr>
        <w:trPr>
          <w:trHeight w:val="644" w:hRule="atLeast"/>
        </w:trPr>
        <w:tc>
          <w:tcPr>
            <w:tcW w:w="4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Calibri" w:cs="Times New Roman"/>
              </w:rPr>
            </w:pPr>
            <w:r>
              <w:rPr>
                <w:rFonts w:eastAsia="Calibri" w:cs="Times New Roman" w:ascii="Times New Roman" w:hAnsi="Times New Roman"/>
              </w:rPr>
              <w:t>11</w:t>
            </w:r>
          </w:p>
        </w:tc>
        <w:tc>
          <w:tcPr>
            <w:tcW w:w="179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Calibri" w:cs="Times New Roman"/>
              </w:rPr>
            </w:pPr>
            <w:r>
              <w:rPr>
                <w:rFonts w:eastAsia="Calibri" w:cs="Times New Roman" w:ascii="Times New Roman" w:hAnsi="Times New Roman"/>
              </w:rPr>
              <w:t>Исполнитель</w:t>
            </w:r>
          </w:p>
        </w:tc>
        <w:tc>
          <w:tcPr>
            <w:tcW w:w="351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start"/>
              <w:rPr>
                <w:rFonts w:ascii="Times New Roman" w:hAnsi="Times New Roman" w:eastAsia="Calibri" w:cs="Times New Roman"/>
              </w:rPr>
            </w:pPr>
            <w:r>
              <w:rPr>
                <w:rFonts w:eastAsia="Calibri" w:cs="Times New Roman" w:ascii="Times New Roman" w:hAnsi="Times New Roman"/>
              </w:rPr>
              <w:t>Запустить остановленные сервисы колл-центра (Applicast, CPE, SPL), шлюзов и Tiger.MS.</w:t>
            </w:r>
          </w:p>
        </w:tc>
        <w:tc>
          <w:tcPr>
            <w:tcW w:w="353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start"/>
              <w:rPr>
                <w:rFonts w:ascii="Times New Roman" w:hAnsi="Times New Roman" w:eastAsia="Calibri" w:cs="Times New Roman"/>
              </w:rPr>
            </w:pPr>
            <w:r>
              <w:rPr>
                <w:rFonts w:eastAsia="Calibri" w:cs="Times New Roman" w:ascii="Times New Roman" w:hAnsi="Times New Roman"/>
              </w:rPr>
              <w:t>Все сервисы вернулись в исходное состояние, работоспособность телефонии на ЦОД восстановлена.</w:t>
            </w:r>
          </w:p>
        </w:tc>
      </w:tr>
      <w:tr>
        <w:trPr>
          <w:trHeight w:val="644" w:hRule="atLeast"/>
        </w:trPr>
        <w:tc>
          <w:tcPr>
            <w:tcW w:w="4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Calibri" w:cs="Times New Roman"/>
              </w:rPr>
            </w:pPr>
            <w:r>
              <w:rPr>
                <w:rFonts w:eastAsia="Calibri" w:cs="Times New Roman" w:ascii="Times New Roman" w:hAnsi="Times New Roman"/>
              </w:rPr>
              <w:t>12</w:t>
            </w:r>
          </w:p>
        </w:tc>
        <w:tc>
          <w:tcPr>
            <w:tcW w:w="179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Calibri" w:cs="Times New Roman"/>
              </w:rPr>
            </w:pPr>
            <w:r>
              <w:rPr>
                <w:rFonts w:eastAsia="Calibri" w:cs="Times New Roman" w:ascii="Times New Roman" w:hAnsi="Times New Roman"/>
              </w:rPr>
              <w:t>Исполнитель</w:t>
            </w:r>
          </w:p>
        </w:tc>
        <w:tc>
          <w:tcPr>
            <w:tcW w:w="351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start"/>
              <w:rPr>
                <w:rFonts w:ascii="Times New Roman" w:hAnsi="Times New Roman" w:eastAsia="Calibri" w:cs="Times New Roman"/>
              </w:rPr>
            </w:pPr>
            <w:r>
              <w:rPr>
                <w:rFonts w:eastAsia="Calibri" w:cs="Times New Roman" w:ascii="Times New Roman" w:hAnsi="Times New Roman"/>
              </w:rPr>
              <w:t>Запуск сервера карточной платформы (основной и резервный ES) ЦОД.</w:t>
            </w:r>
          </w:p>
        </w:tc>
        <w:tc>
          <w:tcPr>
            <w:tcW w:w="353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start"/>
              <w:rPr>
                <w:rFonts w:ascii="Times New Roman" w:hAnsi="Times New Roman" w:eastAsia="Calibri" w:cs="Times New Roman"/>
              </w:rPr>
            </w:pPr>
            <w:r>
              <w:rPr>
                <w:rFonts w:eastAsia="Calibri" w:cs="Times New Roman" w:ascii="Times New Roman" w:hAnsi="Times New Roman"/>
              </w:rPr>
              <w:t>Работоспособность карточной платформы на ЦОД восстановлена.</w:t>
            </w:r>
          </w:p>
        </w:tc>
      </w:tr>
      <w:tr>
        <w:trPr>
          <w:trHeight w:val="273" w:hRule="atLeast"/>
        </w:trPr>
        <w:tc>
          <w:tcPr>
            <w:tcW w:w="4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Calibri" w:cs="Times New Roman"/>
              </w:rPr>
            </w:pPr>
            <w:r>
              <w:rPr>
                <w:rFonts w:eastAsia="Calibri" w:cs="Times New Roman" w:ascii="Times New Roman" w:hAnsi="Times New Roman"/>
              </w:rPr>
              <w:t>13</w:t>
            </w:r>
          </w:p>
        </w:tc>
        <w:tc>
          <w:tcPr>
            <w:tcW w:w="179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Calibri" w:cs="Times New Roman"/>
              </w:rPr>
            </w:pPr>
            <w:r>
              <w:rPr>
                <w:rFonts w:eastAsia="Calibri" w:cs="Times New Roman" w:ascii="Times New Roman" w:hAnsi="Times New Roman"/>
              </w:rPr>
              <w:t>Заказчик</w:t>
            </w:r>
          </w:p>
        </w:tc>
        <w:tc>
          <w:tcPr>
            <w:tcW w:w="351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start"/>
              <w:rPr>
                <w:rFonts w:ascii="Times New Roman" w:hAnsi="Times New Roman" w:eastAsia="Calibri" w:cs="Times New Roman"/>
              </w:rPr>
            </w:pPr>
            <w:r>
              <w:rPr>
                <w:rFonts w:eastAsia="Calibri" w:cs="Times New Roman" w:ascii="Times New Roman" w:hAnsi="Times New Roman"/>
              </w:rPr>
              <w:t>Проверить работоспособность функционала системы на РЦОД с объектами в соответствии с Приложениями А, Б и Д, в том числе:</w:t>
            </w:r>
          </w:p>
          <w:p>
            <w:pPr>
              <w:pStyle w:val="Normal"/>
              <w:jc w:val="start"/>
              <w:rPr>
                <w:rFonts w:ascii="Times New Roman" w:hAnsi="Times New Roman" w:eastAsia="Calibri" w:cs="Times New Roman"/>
              </w:rPr>
            </w:pPr>
            <w:r>
              <w:rPr>
                <w:rFonts w:eastAsia="Calibri" w:cs="Times New Roman" w:ascii="Times New Roman" w:hAnsi="Times New Roman"/>
              </w:rPr>
              <w:t>- внутренняя телефония;</w:t>
            </w:r>
          </w:p>
          <w:p>
            <w:pPr>
              <w:pStyle w:val="Normal"/>
              <w:jc w:val="start"/>
              <w:rPr>
                <w:rFonts w:ascii="Times New Roman" w:hAnsi="Times New Roman" w:eastAsia="Calibri" w:cs="Times New Roman"/>
              </w:rPr>
            </w:pPr>
            <w:r>
              <w:rPr>
                <w:rFonts w:eastAsia="Calibri" w:cs="Times New Roman" w:ascii="Times New Roman" w:hAnsi="Times New Roman"/>
              </w:rPr>
              <w:t>- обработка входящих вызовов;</w:t>
            </w:r>
          </w:p>
          <w:p>
            <w:pPr>
              <w:pStyle w:val="Normal"/>
              <w:jc w:val="start"/>
              <w:rPr>
                <w:rFonts w:ascii="Times New Roman" w:hAnsi="Times New Roman" w:eastAsia="Calibri" w:cs="Times New Roman"/>
              </w:rPr>
            </w:pPr>
            <w:r>
              <w:rPr>
                <w:rFonts w:eastAsia="Calibri" w:cs="Times New Roman" w:ascii="Times New Roman" w:hAnsi="Times New Roman"/>
              </w:rPr>
              <w:t>- обработка исходящих вызовов;</w:t>
            </w:r>
          </w:p>
          <w:p>
            <w:pPr>
              <w:pStyle w:val="Normal"/>
              <w:jc w:val="start"/>
              <w:rPr>
                <w:rFonts w:ascii="Times New Roman" w:hAnsi="Times New Roman" w:eastAsia="Calibri" w:cs="Times New Roman"/>
              </w:rPr>
            </w:pPr>
            <w:r>
              <w:rPr>
                <w:rFonts w:eastAsia="Calibri" w:cs="Times New Roman" w:ascii="Times New Roman" w:hAnsi="Times New Roman"/>
              </w:rPr>
              <w:t>- межрегион Ставропольский край;</w:t>
            </w:r>
          </w:p>
          <w:p>
            <w:pPr>
              <w:pStyle w:val="Normal"/>
              <w:jc w:val="start"/>
              <w:rPr>
                <w:rFonts w:ascii="Times New Roman" w:hAnsi="Times New Roman" w:eastAsia="Calibri" w:cs="Times New Roman"/>
              </w:rPr>
            </w:pPr>
            <w:r>
              <w:rPr>
                <w:rFonts w:eastAsia="Calibri" w:cs="Times New Roman" w:ascii="Times New Roman" w:hAnsi="Times New Roman"/>
              </w:rPr>
              <w:t>- межрегион РСО-Алания;</w:t>
            </w:r>
          </w:p>
          <w:p>
            <w:pPr>
              <w:pStyle w:val="Normal"/>
              <w:jc w:val="start"/>
              <w:rPr>
                <w:rFonts w:ascii="Times New Roman" w:hAnsi="Times New Roman" w:eastAsia="Calibri" w:cs="Times New Roman"/>
              </w:rPr>
            </w:pPr>
            <w:r>
              <w:rPr>
                <w:rFonts w:eastAsia="Calibri" w:cs="Times New Roman" w:ascii="Times New Roman" w:hAnsi="Times New Roman"/>
              </w:rPr>
              <w:t>- межрегион КЧР;</w:t>
            </w:r>
          </w:p>
          <w:p>
            <w:pPr>
              <w:pStyle w:val="Normal"/>
              <w:jc w:val="start"/>
              <w:rPr>
                <w:rFonts w:ascii="Times New Roman" w:hAnsi="Times New Roman" w:eastAsia="Calibri" w:cs="Times New Roman"/>
              </w:rPr>
            </w:pPr>
            <w:r>
              <w:rPr>
                <w:rFonts w:eastAsia="Calibri" w:cs="Times New Roman" w:ascii="Times New Roman" w:hAnsi="Times New Roman"/>
              </w:rPr>
              <w:t>- поступление данных геолокации;</w:t>
            </w:r>
          </w:p>
          <w:p>
            <w:pPr>
              <w:pStyle w:val="Normal"/>
              <w:jc w:val="start"/>
              <w:rPr>
                <w:rFonts w:ascii="Times New Roman" w:hAnsi="Times New Roman" w:eastAsia="Calibri" w:cs="Times New Roman"/>
              </w:rPr>
            </w:pPr>
            <w:r>
              <w:rPr>
                <w:rFonts w:eastAsia="Calibri" w:cs="Times New Roman" w:ascii="Times New Roman" w:hAnsi="Times New Roman"/>
              </w:rPr>
              <w:t>- работоспособность АРМов ЕДДС, ДДС и IP телефонов;</w:t>
            </w:r>
          </w:p>
          <w:p>
            <w:pPr>
              <w:pStyle w:val="Normal"/>
              <w:jc w:val="start"/>
              <w:rPr>
                <w:rFonts w:ascii="Times New Roman" w:hAnsi="Times New Roman" w:eastAsia="Calibri" w:cs="Times New Roman"/>
              </w:rPr>
            </w:pPr>
            <w:r>
              <w:rPr>
                <w:rFonts w:eastAsia="Calibri" w:cs="Times New Roman" w:ascii="Times New Roman" w:hAnsi="Times New Roman"/>
              </w:rPr>
              <w:t>- действующие интеграции.</w:t>
            </w:r>
          </w:p>
        </w:tc>
        <w:tc>
          <w:tcPr>
            <w:tcW w:w="353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start"/>
              <w:rPr>
                <w:rFonts w:ascii="Times New Roman" w:hAnsi="Times New Roman" w:eastAsia="Calibri" w:cs="Times New Roman"/>
              </w:rPr>
            </w:pPr>
            <w:r>
              <w:rPr>
                <w:rFonts w:eastAsia="Calibri" w:cs="Times New Roman" w:ascii="Times New Roman" w:hAnsi="Times New Roman"/>
              </w:rPr>
              <w:t>Базовые сценарии работают нормально.</w:t>
            </w:r>
          </w:p>
          <w:p>
            <w:pPr>
              <w:pStyle w:val="Normal"/>
              <w:jc w:val="start"/>
              <w:rPr>
                <w:rFonts w:ascii="Times New Roman" w:hAnsi="Times New Roman" w:eastAsia="Calibri" w:cs="Times New Roman"/>
              </w:rPr>
            </w:pPr>
            <w:r>
              <w:rPr>
                <w:rFonts w:eastAsia="Calibri" w:cs="Times New Roman" w:ascii="Times New Roman" w:hAnsi="Times New Roman"/>
              </w:rPr>
              <w:t>Отражать в документации интеграции с которыми не настроено взаимодействие с РЦОД.</w:t>
            </w:r>
          </w:p>
        </w:tc>
      </w:tr>
    </w:tbl>
    <w:p>
      <w:pPr>
        <w:pStyle w:val="Normal"/>
        <w:jc w:val="center"/>
        <w:rPr>
          <w:rFonts w:ascii="Times New Roman" w:hAnsi="Times New Roman" w:eastAsia="Noto Serif CJK SC" w:cs="Times New Roman"/>
          <w:b/>
          <w:bCs/>
          <w:kern w:val="2"/>
          <w:sz w:val="24"/>
          <w:szCs w:val="24"/>
          <w:lang w:eastAsia="zh-CN" w:bidi="hi-IN"/>
        </w:rPr>
      </w:pPr>
      <w:r>
        <w:rPr>
          <w:rFonts w:eastAsia="Noto Serif CJK SC" w:cs="Times New Roman" w:ascii="Times New Roman" w:hAnsi="Times New Roman"/>
          <w:b/>
          <w:bCs/>
          <w:kern w:val="2"/>
          <w:sz w:val="24"/>
          <w:szCs w:val="24"/>
          <w:lang w:eastAsia="zh-CN" w:bidi="hi-IN"/>
        </w:rPr>
      </w:r>
    </w:p>
    <w:p>
      <w:pPr>
        <w:pStyle w:val="Normal"/>
        <w:jc w:val="center"/>
        <w:rPr>
          <w:rFonts w:ascii="Times New Roman" w:hAnsi="Times New Roman" w:eastAsia="Noto Serif CJK SC" w:cs="Times New Roman"/>
          <w:b/>
          <w:bCs/>
          <w:kern w:val="2"/>
          <w:sz w:val="24"/>
          <w:szCs w:val="24"/>
          <w:lang w:eastAsia="zh-CN" w:bidi="hi-IN"/>
        </w:rPr>
      </w:pPr>
      <w:r>
        <w:rPr>
          <w:rFonts w:eastAsia="Noto Serif CJK SC" w:cs="Times New Roman" w:ascii="Times New Roman" w:hAnsi="Times New Roman"/>
          <w:b/>
          <w:bCs/>
          <w:kern w:val="2"/>
          <w:sz w:val="24"/>
          <w:szCs w:val="24"/>
          <w:lang w:eastAsia="zh-CN" w:bidi="hi-IN"/>
        </w:rPr>
      </w:r>
    </w:p>
    <w:p>
      <w:pPr>
        <w:pStyle w:val="Normal"/>
        <w:jc w:val="center"/>
        <w:rPr>
          <w:rFonts w:ascii="Times New Roman" w:hAnsi="Times New Roman" w:eastAsia="Noto Serif CJK SC" w:cs="Times New Roman"/>
          <w:b/>
          <w:bCs/>
          <w:kern w:val="2"/>
          <w:sz w:val="24"/>
          <w:szCs w:val="24"/>
          <w:lang w:eastAsia="zh-CN" w:bidi="hi-IN"/>
        </w:rPr>
      </w:pPr>
      <w:r>
        <w:rPr>
          <w:rFonts w:eastAsia="Noto Serif CJK SC" w:cs="Times New Roman" w:ascii="Times New Roman" w:hAnsi="Times New Roman"/>
          <w:b/>
          <w:bCs/>
          <w:kern w:val="2"/>
          <w:sz w:val="24"/>
          <w:szCs w:val="24"/>
          <w:lang w:eastAsia="zh-CN" w:bidi="hi-IN"/>
        </w:rPr>
      </w:r>
    </w:p>
    <w:p>
      <w:pPr>
        <w:pStyle w:val="Normal"/>
        <w:jc w:val="center"/>
        <w:rPr>
          <w:rFonts w:ascii="Times New Roman" w:hAnsi="Times New Roman" w:eastAsia="Noto Serif CJK SC" w:cs="Times New Roman"/>
          <w:b/>
          <w:bCs/>
          <w:kern w:val="2"/>
          <w:sz w:val="24"/>
          <w:szCs w:val="24"/>
          <w:lang w:eastAsia="zh-CN" w:bidi="hi-IN"/>
        </w:rPr>
      </w:pPr>
      <w:r>
        <w:rPr>
          <w:rFonts w:eastAsia="Noto Serif CJK SC" w:cs="Times New Roman" w:ascii="Times New Roman" w:hAnsi="Times New Roman"/>
          <w:b/>
          <w:bCs/>
          <w:kern w:val="2"/>
          <w:sz w:val="24"/>
          <w:szCs w:val="24"/>
          <w:lang w:eastAsia="zh-CN" w:bidi="hi-IN"/>
        </w:rPr>
      </w:r>
    </w:p>
    <w:p>
      <w:pPr>
        <w:pStyle w:val="Normal"/>
        <w:jc w:val="center"/>
        <w:rPr>
          <w:rFonts w:ascii="Times New Roman" w:hAnsi="Times New Roman" w:eastAsia="Noto Serif CJK SC" w:cs="Times New Roman"/>
          <w:b/>
          <w:bCs/>
          <w:kern w:val="2"/>
          <w:sz w:val="24"/>
          <w:szCs w:val="24"/>
          <w:lang w:eastAsia="zh-CN" w:bidi="hi-IN"/>
        </w:rPr>
      </w:pPr>
      <w:r>
        <w:rPr>
          <w:rFonts w:eastAsia="Noto Serif CJK SC" w:cs="Times New Roman" w:ascii="Times New Roman" w:hAnsi="Times New Roman"/>
          <w:b/>
          <w:bCs/>
          <w:kern w:val="2"/>
          <w:sz w:val="24"/>
          <w:szCs w:val="24"/>
          <w:lang w:eastAsia="zh-CN" w:bidi="hi-IN"/>
        </w:rPr>
      </w:r>
    </w:p>
    <w:p>
      <w:pPr>
        <w:pStyle w:val="Normal"/>
        <w:ind w:firstLine="709" w:start="5672"/>
        <w:jc w:val="end"/>
        <w:rPr>
          <w:rFonts w:ascii="Times New Roman" w:hAnsi="Times New Roman" w:cs="Times New Roman"/>
          <w:bCs/>
          <w:color w:val="000000"/>
          <w:kern w:val="2"/>
          <w:sz w:val="24"/>
          <w:szCs w:val="24"/>
          <w:lang w:eastAsia="zh-CN"/>
        </w:rPr>
      </w:pPr>
      <w:r>
        <w:rPr>
          <w:rFonts w:cs="Times New Roman" w:ascii="Times New Roman" w:hAnsi="Times New Roman"/>
          <w:bCs/>
          <w:color w:val="000000"/>
          <w:kern w:val="2"/>
          <w:sz w:val="24"/>
          <w:szCs w:val="24"/>
          <w:lang w:eastAsia="zh-CN"/>
        </w:rPr>
        <w:t>Приложение Г</w:t>
      </w:r>
    </w:p>
    <w:p>
      <w:pPr>
        <w:pStyle w:val="Normal"/>
        <w:ind w:firstLine="709" w:start="5672"/>
        <w:jc w:val="end"/>
        <w:rPr>
          <w:rFonts w:ascii="Times New Roman" w:hAnsi="Times New Roman" w:cs="Times New Roman"/>
          <w:bCs/>
          <w:color w:val="000000"/>
          <w:kern w:val="2"/>
          <w:sz w:val="24"/>
          <w:szCs w:val="24"/>
          <w:lang w:eastAsia="zh-CN"/>
        </w:rPr>
      </w:pPr>
      <w:r>
        <w:rPr>
          <w:rFonts w:cs="Times New Roman" w:ascii="Times New Roman" w:hAnsi="Times New Roman"/>
          <w:bCs/>
          <w:color w:val="000000"/>
          <w:kern w:val="2"/>
          <w:sz w:val="24"/>
          <w:szCs w:val="24"/>
          <w:lang w:eastAsia="zh-CN"/>
        </w:rPr>
        <w:t>к Техническому заданию</w:t>
      </w:r>
    </w:p>
    <w:p>
      <w:pPr>
        <w:pStyle w:val="Normal"/>
        <w:jc w:val="center"/>
        <w:rPr>
          <w:rFonts w:ascii="Times New Roman" w:hAnsi="Times New Roman" w:cs="Times New Roman"/>
          <w:b/>
          <w:bCs/>
        </w:rPr>
      </w:pPr>
      <w:r>
        <w:rPr>
          <w:rFonts w:cs="Times New Roman" w:ascii="Times New Roman" w:hAnsi="Times New Roman"/>
          <w:b/>
          <w:bCs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</w:rPr>
      </w:pPr>
      <w:r>
        <w:rPr>
          <w:rFonts w:cs="Times New Roman" w:ascii="Times New Roman" w:hAnsi="Times New Roman"/>
          <w:b/>
          <w:bCs/>
        </w:rPr>
        <w:t>Лист проверки функционирования (тестирования) Системы-112</w:t>
      </w:r>
    </w:p>
    <w:p>
      <w:pPr>
        <w:pStyle w:val="Normal"/>
        <w:jc w:val="center"/>
        <w:rPr>
          <w:rFonts w:ascii="Times New Roman" w:hAnsi="Times New Roman" w:cs="Times New Roman"/>
          <w:b/>
          <w:bCs/>
        </w:rPr>
      </w:pPr>
      <w:r>
        <w:rPr>
          <w:rFonts w:cs="Times New Roman" w:ascii="Times New Roman" w:hAnsi="Times New Roman"/>
          <w:b/>
          <w:bCs/>
        </w:rPr>
      </w:r>
    </w:p>
    <w:tbl>
      <w:tblPr>
        <w:tblW w:w="9778" w:type="dxa"/>
        <w:jc w:val="start"/>
        <w:tblInd w:w="103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562"/>
        <w:gridCol w:w="1792"/>
        <w:gridCol w:w="993"/>
        <w:gridCol w:w="1610"/>
        <w:gridCol w:w="850"/>
        <w:gridCol w:w="1287"/>
        <w:gridCol w:w="129"/>
        <w:gridCol w:w="1086"/>
        <w:gridCol w:w="1469"/>
      </w:tblGrid>
      <w:tr>
        <w:trPr>
          <w:trHeight w:val="301" w:hRule="atLeast"/>
        </w:trPr>
        <w:tc>
          <w:tcPr>
            <w:tcW w:w="56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№</w:t>
            </w:r>
          </w:p>
        </w:tc>
        <w:tc>
          <w:tcPr>
            <w:tcW w:w="17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Ответственный</w:t>
            </w:r>
          </w:p>
        </w:tc>
        <w:tc>
          <w:tcPr>
            <w:tcW w:w="2603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Проводимые работы</w:t>
            </w:r>
          </w:p>
        </w:tc>
        <w:tc>
          <w:tcPr>
            <w:tcW w:w="2137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Контрольный параметр</w:t>
            </w:r>
          </w:p>
        </w:tc>
        <w:tc>
          <w:tcPr>
            <w:tcW w:w="1215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Результат</w:t>
            </w:r>
          </w:p>
        </w:tc>
        <w:tc>
          <w:tcPr>
            <w:tcW w:w="146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Примечание</w:t>
            </w:r>
          </w:p>
        </w:tc>
      </w:tr>
      <w:tr>
        <w:trPr>
          <w:trHeight w:val="603" w:hRule="atLeast"/>
        </w:trPr>
        <w:tc>
          <w:tcPr>
            <w:tcW w:w="562" w:type="dxa"/>
            <w:vMerge w:val="restart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</w:t>
            </w:r>
          </w:p>
        </w:tc>
        <w:tc>
          <w:tcPr>
            <w:tcW w:w="1792" w:type="dxa"/>
            <w:vMerge w:val="restart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Noto Serif CJK SC" w:cs="Times New Roman" w:ascii="Times New Roman" w:hAnsi="Times New Roman"/>
                <w:kern w:val="2"/>
                <w:lang w:eastAsia="zh-CN" w:bidi="hi-IN"/>
              </w:rPr>
              <w:t>Исполнитель</w:t>
            </w:r>
          </w:p>
        </w:tc>
        <w:tc>
          <w:tcPr>
            <w:tcW w:w="2603" w:type="dxa"/>
            <w:gridSpan w:val="2"/>
            <w:vMerge w:val="restart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jc w:val="star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Зафиксировать количество список АРМ и телефонов, подключенных к серверам ЦОД.</w:t>
            </w:r>
          </w:p>
          <w:p>
            <w:pPr>
              <w:pStyle w:val="Normal"/>
              <w:jc w:val="star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Включить дампы на шлюзах телефонии.</w:t>
            </w:r>
          </w:p>
        </w:tc>
        <w:tc>
          <w:tcPr>
            <w:tcW w:w="2137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Выгружен список  АРМ и IP телефонов</w:t>
            </w:r>
          </w:p>
        </w:tc>
        <w:tc>
          <w:tcPr>
            <w:tcW w:w="1215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46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597" w:hRule="atLeast"/>
        </w:trPr>
        <w:tc>
          <w:tcPr>
            <w:tcW w:w="562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792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603" w:type="dxa"/>
            <w:gridSpan w:val="2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jc w:val="star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137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Дампы включены</w:t>
            </w:r>
          </w:p>
        </w:tc>
        <w:tc>
          <w:tcPr>
            <w:tcW w:w="1215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46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603" w:hRule="atLeast"/>
        </w:trPr>
        <w:tc>
          <w:tcPr>
            <w:tcW w:w="56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</w:t>
            </w:r>
          </w:p>
        </w:tc>
        <w:tc>
          <w:tcPr>
            <w:tcW w:w="17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Noto Serif CJK SC" w:cs="Times New Roman" w:ascii="Times New Roman" w:hAnsi="Times New Roman"/>
                <w:kern w:val="2"/>
                <w:lang w:eastAsia="zh-CN" w:bidi="hi-IN"/>
              </w:rPr>
              <w:t>Исполнитель</w:t>
            </w:r>
          </w:p>
        </w:tc>
        <w:tc>
          <w:tcPr>
            <w:tcW w:w="2603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jc w:val="star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Отключить сервера карточной платформы (основной и резервный ES) ЦОД.</w:t>
            </w:r>
          </w:p>
        </w:tc>
        <w:tc>
          <w:tcPr>
            <w:tcW w:w="2137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Сервера карточной платформы отключены</w:t>
            </w:r>
          </w:p>
        </w:tc>
        <w:tc>
          <w:tcPr>
            <w:tcW w:w="1215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46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603" w:hRule="atLeast"/>
        </w:trPr>
        <w:tc>
          <w:tcPr>
            <w:tcW w:w="56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3</w:t>
            </w:r>
          </w:p>
        </w:tc>
        <w:tc>
          <w:tcPr>
            <w:tcW w:w="17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Noto Serif CJK SC" w:cs="Times New Roman" w:ascii="Times New Roman" w:hAnsi="Times New Roman"/>
                <w:kern w:val="2"/>
                <w:lang w:eastAsia="zh-CN" w:bidi="hi-IN"/>
              </w:rPr>
              <w:t>Исполнитель</w:t>
            </w:r>
          </w:p>
        </w:tc>
        <w:tc>
          <w:tcPr>
            <w:tcW w:w="2603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jc w:val="star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Остановить основной сервер колл-центра (Applicast, CPE, SPL) в ЦОД</w:t>
            </w:r>
          </w:p>
        </w:tc>
        <w:tc>
          <w:tcPr>
            <w:tcW w:w="2137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Сервер колл-центра остановлен</w:t>
            </w:r>
          </w:p>
        </w:tc>
        <w:tc>
          <w:tcPr>
            <w:tcW w:w="1215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46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603" w:hRule="atLeast"/>
        </w:trPr>
        <w:tc>
          <w:tcPr>
            <w:tcW w:w="56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4</w:t>
            </w:r>
          </w:p>
        </w:tc>
        <w:tc>
          <w:tcPr>
            <w:tcW w:w="17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Noto Serif CJK SC" w:cs="Times New Roman" w:ascii="Times New Roman" w:hAnsi="Times New Roman"/>
                <w:kern w:val="2"/>
                <w:lang w:eastAsia="zh-CN" w:bidi="hi-IN"/>
              </w:rPr>
              <w:t>Исполнитель</w:t>
            </w:r>
          </w:p>
        </w:tc>
        <w:tc>
          <w:tcPr>
            <w:tcW w:w="2603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jc w:val="star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Остановить шлюзы Tiger.MS в ЦОД</w:t>
            </w:r>
          </w:p>
        </w:tc>
        <w:tc>
          <w:tcPr>
            <w:tcW w:w="2137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Шлюзы Tiger.MS остановлены</w:t>
            </w:r>
          </w:p>
        </w:tc>
        <w:tc>
          <w:tcPr>
            <w:tcW w:w="1215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46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467" w:hRule="atLeast"/>
        </w:trPr>
        <w:tc>
          <w:tcPr>
            <w:tcW w:w="56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5</w:t>
            </w:r>
          </w:p>
        </w:tc>
        <w:tc>
          <w:tcPr>
            <w:tcW w:w="17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Noto Serif CJK SC" w:cs="Times New Roman" w:ascii="Times New Roman" w:hAnsi="Times New Roman"/>
                <w:kern w:val="2"/>
                <w:lang w:eastAsia="zh-CN" w:bidi="hi-IN"/>
              </w:rPr>
              <w:t>Исполнитель</w:t>
            </w:r>
          </w:p>
        </w:tc>
        <w:tc>
          <w:tcPr>
            <w:tcW w:w="2603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jc w:val="star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Остановить АТС в ЦОД</w:t>
            </w:r>
          </w:p>
        </w:tc>
        <w:tc>
          <w:tcPr>
            <w:tcW w:w="2137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АТС остановлена</w:t>
            </w:r>
          </w:p>
        </w:tc>
        <w:tc>
          <w:tcPr>
            <w:tcW w:w="1215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46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571" w:hRule="atLeast"/>
        </w:trPr>
        <w:tc>
          <w:tcPr>
            <w:tcW w:w="562" w:type="dxa"/>
            <w:vMerge w:val="restart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6</w:t>
            </w:r>
          </w:p>
        </w:tc>
        <w:tc>
          <w:tcPr>
            <w:tcW w:w="1792" w:type="dxa"/>
            <w:vMerge w:val="restart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Заказчик</w:t>
            </w:r>
          </w:p>
        </w:tc>
        <w:tc>
          <w:tcPr>
            <w:tcW w:w="2603" w:type="dxa"/>
            <w:gridSpan w:val="2"/>
            <w:vMerge w:val="restart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jc w:val="star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Проверить работоспособность функционала  системы на РЦОД</w:t>
            </w:r>
          </w:p>
        </w:tc>
        <w:tc>
          <w:tcPr>
            <w:tcW w:w="2137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Внутренняя телефония</w:t>
            </w:r>
          </w:p>
        </w:tc>
        <w:tc>
          <w:tcPr>
            <w:tcW w:w="1215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46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301" w:hRule="atLeast"/>
        </w:trPr>
        <w:tc>
          <w:tcPr>
            <w:tcW w:w="562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792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603" w:type="dxa"/>
            <w:gridSpan w:val="2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jc w:val="star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137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Входящий вызов в ЦОВ</w:t>
            </w:r>
          </w:p>
        </w:tc>
        <w:tc>
          <w:tcPr>
            <w:tcW w:w="1215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46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603" w:hRule="atLeast"/>
        </w:trPr>
        <w:tc>
          <w:tcPr>
            <w:tcW w:w="562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792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603" w:type="dxa"/>
            <w:gridSpan w:val="2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jc w:val="star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137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Исходящий вызов из СПО</w:t>
            </w:r>
          </w:p>
        </w:tc>
        <w:tc>
          <w:tcPr>
            <w:tcW w:w="1215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46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301" w:hRule="atLeast"/>
        </w:trPr>
        <w:tc>
          <w:tcPr>
            <w:tcW w:w="562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792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603" w:type="dxa"/>
            <w:gridSpan w:val="2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jc w:val="star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137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Межрегион</w:t>
            </w:r>
          </w:p>
        </w:tc>
        <w:tc>
          <w:tcPr>
            <w:tcW w:w="1215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46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301" w:hRule="atLeast"/>
        </w:trPr>
        <w:tc>
          <w:tcPr>
            <w:tcW w:w="562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792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603" w:type="dxa"/>
            <w:gridSpan w:val="2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jc w:val="star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137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Геолокация</w:t>
            </w:r>
          </w:p>
        </w:tc>
        <w:tc>
          <w:tcPr>
            <w:tcW w:w="1215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46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301" w:hRule="atLeast"/>
        </w:trPr>
        <w:tc>
          <w:tcPr>
            <w:tcW w:w="562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792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603" w:type="dxa"/>
            <w:gridSpan w:val="2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jc w:val="star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137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 xml:space="preserve">Работоспособность АРМов </w:t>
            </w:r>
            <w:r>
              <w:rPr>
                <w:rFonts w:eastAsia="Calibri" w:cs="Times New Roman" w:ascii="Times New Roman" w:hAnsi="Times New Roman"/>
              </w:rPr>
              <w:t>ЕДДС, ДДС и IP телефонов</w:t>
            </w:r>
          </w:p>
        </w:tc>
        <w:tc>
          <w:tcPr>
            <w:tcW w:w="1215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46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311" w:hRule="atLeast"/>
        </w:trPr>
        <w:tc>
          <w:tcPr>
            <w:tcW w:w="562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792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603" w:type="dxa"/>
            <w:gridSpan w:val="2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jc w:val="star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137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Интеграции</w:t>
            </w:r>
          </w:p>
        </w:tc>
        <w:tc>
          <w:tcPr>
            <w:tcW w:w="1215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46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301" w:hRule="atLeast"/>
        </w:trPr>
        <w:tc>
          <w:tcPr>
            <w:tcW w:w="56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7</w:t>
            </w:r>
          </w:p>
        </w:tc>
        <w:tc>
          <w:tcPr>
            <w:tcW w:w="17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Noto Serif CJK SC" w:cs="Times New Roman" w:ascii="Times New Roman" w:hAnsi="Times New Roman"/>
                <w:kern w:val="2"/>
                <w:lang w:eastAsia="zh-CN" w:bidi="hi-IN"/>
              </w:rPr>
              <w:t>Исполнитель</w:t>
            </w:r>
          </w:p>
        </w:tc>
        <w:tc>
          <w:tcPr>
            <w:tcW w:w="2603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jc w:val="star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Остановить основной координатор VipNet 1000 в ЦОДе</w:t>
            </w:r>
          </w:p>
        </w:tc>
        <w:tc>
          <w:tcPr>
            <w:tcW w:w="2137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Координатор остановлен</w:t>
            </w:r>
          </w:p>
        </w:tc>
        <w:tc>
          <w:tcPr>
            <w:tcW w:w="1215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46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603" w:hRule="atLeast"/>
        </w:trPr>
        <w:tc>
          <w:tcPr>
            <w:tcW w:w="562" w:type="dxa"/>
            <w:vMerge w:val="restart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8</w:t>
            </w:r>
          </w:p>
        </w:tc>
        <w:tc>
          <w:tcPr>
            <w:tcW w:w="1792" w:type="dxa"/>
            <w:vMerge w:val="restart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Заказчик</w:t>
            </w:r>
          </w:p>
        </w:tc>
        <w:tc>
          <w:tcPr>
            <w:tcW w:w="2603" w:type="dxa"/>
            <w:gridSpan w:val="2"/>
            <w:vMerge w:val="restart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jc w:val="star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Проверить работоспособность функционала  системы на РЦОД</w:t>
            </w:r>
          </w:p>
        </w:tc>
        <w:tc>
          <w:tcPr>
            <w:tcW w:w="2137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Внутренняя телефония</w:t>
            </w:r>
          </w:p>
        </w:tc>
        <w:tc>
          <w:tcPr>
            <w:tcW w:w="1215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46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301" w:hRule="atLeast"/>
        </w:trPr>
        <w:tc>
          <w:tcPr>
            <w:tcW w:w="562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792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603" w:type="dxa"/>
            <w:gridSpan w:val="2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jc w:val="star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137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Входящий вызов в ЦОВ</w:t>
            </w:r>
          </w:p>
        </w:tc>
        <w:tc>
          <w:tcPr>
            <w:tcW w:w="1215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46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603" w:hRule="atLeast"/>
        </w:trPr>
        <w:tc>
          <w:tcPr>
            <w:tcW w:w="562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792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603" w:type="dxa"/>
            <w:gridSpan w:val="2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jc w:val="star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137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Исходящий вызов из СПО</w:t>
            </w:r>
          </w:p>
        </w:tc>
        <w:tc>
          <w:tcPr>
            <w:tcW w:w="1215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46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301" w:hRule="atLeast"/>
        </w:trPr>
        <w:tc>
          <w:tcPr>
            <w:tcW w:w="562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792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603" w:type="dxa"/>
            <w:gridSpan w:val="2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jc w:val="star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137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Межрегион</w:t>
            </w:r>
          </w:p>
        </w:tc>
        <w:tc>
          <w:tcPr>
            <w:tcW w:w="1215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46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301" w:hRule="atLeast"/>
        </w:trPr>
        <w:tc>
          <w:tcPr>
            <w:tcW w:w="562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792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603" w:type="dxa"/>
            <w:gridSpan w:val="2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jc w:val="star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137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Геолокация</w:t>
            </w:r>
          </w:p>
        </w:tc>
        <w:tc>
          <w:tcPr>
            <w:tcW w:w="1215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46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301" w:hRule="atLeast"/>
        </w:trPr>
        <w:tc>
          <w:tcPr>
            <w:tcW w:w="562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792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603" w:type="dxa"/>
            <w:gridSpan w:val="2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jc w:val="star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137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 xml:space="preserve">Работоспособность АРМов </w:t>
            </w:r>
            <w:r>
              <w:rPr>
                <w:rFonts w:eastAsia="Calibri" w:cs="Times New Roman" w:ascii="Times New Roman" w:hAnsi="Times New Roman"/>
              </w:rPr>
              <w:t>ЕДДС, ДДС и IP телефонов</w:t>
            </w:r>
          </w:p>
        </w:tc>
        <w:tc>
          <w:tcPr>
            <w:tcW w:w="1215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46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323" w:hRule="atLeast"/>
        </w:trPr>
        <w:tc>
          <w:tcPr>
            <w:tcW w:w="562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792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603" w:type="dxa"/>
            <w:gridSpan w:val="2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jc w:val="star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137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Интеграции</w:t>
            </w:r>
          </w:p>
        </w:tc>
        <w:tc>
          <w:tcPr>
            <w:tcW w:w="1215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46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603" w:hRule="atLeast"/>
        </w:trPr>
        <w:tc>
          <w:tcPr>
            <w:tcW w:w="56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9</w:t>
            </w:r>
          </w:p>
        </w:tc>
        <w:tc>
          <w:tcPr>
            <w:tcW w:w="17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Noto Serif CJK SC" w:cs="Times New Roman" w:ascii="Times New Roman" w:hAnsi="Times New Roman"/>
                <w:kern w:val="2"/>
                <w:lang w:eastAsia="zh-CN" w:bidi="hi-IN"/>
              </w:rPr>
              <w:t>Исполнитель</w:t>
            </w:r>
          </w:p>
        </w:tc>
        <w:tc>
          <w:tcPr>
            <w:tcW w:w="2603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jc w:val="star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Зафиксировать список АРМов и IP телефонов, подключенных к серверам РЦОД</w:t>
            </w:r>
          </w:p>
        </w:tc>
        <w:tc>
          <w:tcPr>
            <w:tcW w:w="2137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Выгружен список  АРМ и IP телефонов</w:t>
            </w:r>
          </w:p>
        </w:tc>
        <w:tc>
          <w:tcPr>
            <w:tcW w:w="1215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46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301" w:hRule="atLeast"/>
        </w:trPr>
        <w:tc>
          <w:tcPr>
            <w:tcW w:w="56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10</w:t>
            </w:r>
          </w:p>
        </w:tc>
        <w:tc>
          <w:tcPr>
            <w:tcW w:w="17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Noto Serif CJK SC" w:cs="Times New Roman" w:ascii="Times New Roman" w:hAnsi="Times New Roman"/>
                <w:kern w:val="2"/>
                <w:lang w:eastAsia="zh-CN" w:bidi="hi-IN"/>
              </w:rPr>
              <w:t>Исполнитель</w:t>
            </w:r>
          </w:p>
        </w:tc>
        <w:tc>
          <w:tcPr>
            <w:tcW w:w="2603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jc w:val="star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Запустить основной координатор VipNet 1000 в ЦОДе</w:t>
            </w:r>
          </w:p>
        </w:tc>
        <w:tc>
          <w:tcPr>
            <w:tcW w:w="2137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Координатор запущен</w:t>
            </w:r>
          </w:p>
        </w:tc>
        <w:tc>
          <w:tcPr>
            <w:tcW w:w="1215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46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905" w:hRule="atLeast"/>
        </w:trPr>
        <w:tc>
          <w:tcPr>
            <w:tcW w:w="56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11</w:t>
            </w:r>
          </w:p>
        </w:tc>
        <w:tc>
          <w:tcPr>
            <w:tcW w:w="17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Noto Serif CJK SC" w:cs="Times New Roman" w:ascii="Times New Roman" w:hAnsi="Times New Roman"/>
                <w:kern w:val="2"/>
                <w:lang w:eastAsia="zh-CN" w:bidi="hi-IN"/>
              </w:rPr>
              <w:t>Исполнитель</w:t>
            </w:r>
          </w:p>
        </w:tc>
        <w:tc>
          <w:tcPr>
            <w:tcW w:w="2603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jc w:val="star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Запустить остановленные сервисы колл-центра (Applicast, CPE, SPL), шлюзов и Tiger.MS</w:t>
            </w:r>
          </w:p>
        </w:tc>
        <w:tc>
          <w:tcPr>
            <w:tcW w:w="2137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Сервисы и шлюзы на ЦОД запущены</w:t>
            </w:r>
          </w:p>
        </w:tc>
        <w:tc>
          <w:tcPr>
            <w:tcW w:w="1215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46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603" w:hRule="atLeast"/>
        </w:trPr>
        <w:tc>
          <w:tcPr>
            <w:tcW w:w="56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12</w:t>
            </w:r>
          </w:p>
        </w:tc>
        <w:tc>
          <w:tcPr>
            <w:tcW w:w="17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Noto Serif CJK SC" w:cs="Times New Roman" w:ascii="Times New Roman" w:hAnsi="Times New Roman"/>
                <w:kern w:val="2"/>
                <w:lang w:eastAsia="zh-CN" w:bidi="hi-IN"/>
              </w:rPr>
              <w:t>Исполнитель</w:t>
            </w:r>
          </w:p>
        </w:tc>
        <w:tc>
          <w:tcPr>
            <w:tcW w:w="2603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jc w:val="star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Запуск сервера карточной платформы (основной и резервный ES) ЦОД.</w:t>
            </w:r>
          </w:p>
        </w:tc>
        <w:tc>
          <w:tcPr>
            <w:tcW w:w="2137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Карточная платформа на ЦОД запущена</w:t>
            </w:r>
          </w:p>
        </w:tc>
        <w:tc>
          <w:tcPr>
            <w:tcW w:w="1215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46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301" w:hRule="atLeast"/>
        </w:trPr>
        <w:tc>
          <w:tcPr>
            <w:tcW w:w="562" w:type="dxa"/>
            <w:vMerge w:val="restart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13</w:t>
            </w:r>
          </w:p>
        </w:tc>
        <w:tc>
          <w:tcPr>
            <w:tcW w:w="1792" w:type="dxa"/>
            <w:vMerge w:val="restart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Заказчик</w:t>
            </w:r>
          </w:p>
        </w:tc>
        <w:tc>
          <w:tcPr>
            <w:tcW w:w="2603" w:type="dxa"/>
            <w:gridSpan w:val="2"/>
            <w:vMerge w:val="restart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jc w:val="star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Проверить работоспособность системы на ЦОД</w:t>
            </w:r>
          </w:p>
        </w:tc>
        <w:tc>
          <w:tcPr>
            <w:tcW w:w="2137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Внутренняя телефония</w:t>
            </w:r>
          </w:p>
        </w:tc>
        <w:tc>
          <w:tcPr>
            <w:tcW w:w="1215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46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301" w:hRule="atLeast"/>
        </w:trPr>
        <w:tc>
          <w:tcPr>
            <w:tcW w:w="562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792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603" w:type="dxa"/>
            <w:gridSpan w:val="2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jc w:val="star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137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Входящий вызов в ЦОВ</w:t>
            </w:r>
          </w:p>
        </w:tc>
        <w:tc>
          <w:tcPr>
            <w:tcW w:w="1215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46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422" w:hRule="atLeast"/>
        </w:trPr>
        <w:tc>
          <w:tcPr>
            <w:tcW w:w="562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792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603" w:type="dxa"/>
            <w:gridSpan w:val="2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jc w:val="star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137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Исходящий вызов из СПО</w:t>
            </w:r>
          </w:p>
        </w:tc>
        <w:tc>
          <w:tcPr>
            <w:tcW w:w="1215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46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301" w:hRule="atLeast"/>
        </w:trPr>
        <w:tc>
          <w:tcPr>
            <w:tcW w:w="562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792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603" w:type="dxa"/>
            <w:gridSpan w:val="2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jc w:val="star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137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Межрегион</w:t>
            </w:r>
          </w:p>
        </w:tc>
        <w:tc>
          <w:tcPr>
            <w:tcW w:w="1215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46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301" w:hRule="atLeast"/>
        </w:trPr>
        <w:tc>
          <w:tcPr>
            <w:tcW w:w="562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792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603" w:type="dxa"/>
            <w:gridSpan w:val="2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jc w:val="star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137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Геолокация</w:t>
            </w:r>
          </w:p>
        </w:tc>
        <w:tc>
          <w:tcPr>
            <w:tcW w:w="1215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46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301" w:hRule="atLeast"/>
        </w:trPr>
        <w:tc>
          <w:tcPr>
            <w:tcW w:w="562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792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603" w:type="dxa"/>
            <w:gridSpan w:val="2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jc w:val="star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137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 xml:space="preserve">Работоспособность АРМов </w:t>
            </w:r>
            <w:r>
              <w:rPr>
                <w:rFonts w:eastAsia="Calibri" w:cs="Times New Roman" w:ascii="Times New Roman" w:hAnsi="Times New Roman"/>
              </w:rPr>
              <w:t>ЕДДС, ДДС и IP телефонов</w:t>
            </w:r>
          </w:p>
        </w:tc>
        <w:tc>
          <w:tcPr>
            <w:tcW w:w="1215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46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301" w:hRule="atLeast"/>
        </w:trPr>
        <w:tc>
          <w:tcPr>
            <w:tcW w:w="562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792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603" w:type="dxa"/>
            <w:gridSpan w:val="2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jc w:val="star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137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Интеграции</w:t>
            </w:r>
          </w:p>
        </w:tc>
        <w:tc>
          <w:tcPr>
            <w:tcW w:w="1215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46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301" w:hRule="atLeast"/>
        </w:trPr>
        <w:tc>
          <w:tcPr>
            <w:tcW w:w="9778" w:type="dxa"/>
            <w:gridSpan w:val="9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jc w:val="star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Выявленные замечания:</w:t>
            </w:r>
          </w:p>
        </w:tc>
      </w:tr>
      <w:tr>
        <w:trPr>
          <w:trHeight w:val="301" w:hRule="atLeast"/>
        </w:trPr>
        <w:tc>
          <w:tcPr>
            <w:tcW w:w="9778" w:type="dxa"/>
            <w:gridSpan w:val="9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jc w:val="star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301" w:hRule="atLeast"/>
        </w:trPr>
        <w:tc>
          <w:tcPr>
            <w:tcW w:w="9778" w:type="dxa"/>
            <w:gridSpan w:val="9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jc w:val="star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Заключение:</w:t>
            </w:r>
          </w:p>
        </w:tc>
      </w:tr>
      <w:tr>
        <w:trPr>
          <w:trHeight w:val="301" w:hRule="atLeast"/>
        </w:trPr>
        <w:tc>
          <w:tcPr>
            <w:tcW w:w="9778" w:type="dxa"/>
            <w:gridSpan w:val="9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jc w:val="star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301" w:hRule="atLeast"/>
        </w:trPr>
        <w:tc>
          <w:tcPr>
            <w:tcW w:w="9778" w:type="dxa"/>
            <w:gridSpan w:val="9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jc w:val="star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Проверка проведена:</w:t>
            </w:r>
          </w:p>
        </w:tc>
      </w:tr>
      <w:tr>
        <w:trPr>
          <w:trHeight w:val="301" w:hRule="atLeast"/>
        </w:trPr>
        <w:tc>
          <w:tcPr>
            <w:tcW w:w="3347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jc w:val="star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Представители исполнителя</w:t>
            </w:r>
          </w:p>
        </w:tc>
        <w:tc>
          <w:tcPr>
            <w:tcW w:w="2460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jc w:val="star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(должность)</w:t>
            </w:r>
          </w:p>
        </w:tc>
        <w:tc>
          <w:tcPr>
            <w:tcW w:w="1416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(подпись)</w:t>
            </w:r>
          </w:p>
        </w:tc>
        <w:tc>
          <w:tcPr>
            <w:tcW w:w="2555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(Ф.И.О.)</w:t>
            </w:r>
          </w:p>
        </w:tc>
      </w:tr>
      <w:tr>
        <w:trPr>
          <w:trHeight w:val="301" w:hRule="atLeast"/>
        </w:trPr>
        <w:tc>
          <w:tcPr>
            <w:tcW w:w="3347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jc w:val="star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Представители заказчика</w:t>
            </w:r>
          </w:p>
        </w:tc>
        <w:tc>
          <w:tcPr>
            <w:tcW w:w="2460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jc w:val="star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(должность)</w:t>
            </w:r>
          </w:p>
        </w:tc>
        <w:tc>
          <w:tcPr>
            <w:tcW w:w="1416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(подпись)</w:t>
            </w:r>
          </w:p>
        </w:tc>
        <w:tc>
          <w:tcPr>
            <w:tcW w:w="2555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(Ф.И.О.)</w:t>
            </w:r>
          </w:p>
        </w:tc>
      </w:tr>
    </w:tbl>
    <w:p>
      <w:pPr>
        <w:pStyle w:val="Normal"/>
        <w:jc w:val="center"/>
        <w:rPr>
          <w:rFonts w:ascii="Times New Roman" w:hAnsi="Times New Roman" w:cs="Times New Roman"/>
          <w:b/>
          <w:bCs/>
          <w:lang w:eastAsia="zh-CN"/>
        </w:rPr>
      </w:pPr>
      <w:r>
        <w:rPr>
          <w:rFonts w:cs="Times New Roman" w:ascii="Times New Roman" w:hAnsi="Times New Roman"/>
          <w:b/>
          <w:bCs/>
          <w:lang w:eastAsia="zh-CN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  <w:r>
        <w:br w:type="page"/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ind w:firstLine="709" w:start="5672"/>
        <w:jc w:val="end"/>
        <w:rPr>
          <w:rFonts w:ascii="Times New Roman" w:hAnsi="Times New Roman" w:cs="Times New Roman"/>
          <w:bCs/>
          <w:color w:val="000000"/>
          <w:kern w:val="2"/>
          <w:sz w:val="24"/>
          <w:szCs w:val="24"/>
          <w:lang w:eastAsia="zh-CN"/>
        </w:rPr>
      </w:pPr>
      <w:r>
        <w:rPr>
          <w:rFonts w:cs="Times New Roman" w:ascii="Times New Roman" w:hAnsi="Times New Roman"/>
          <w:bCs/>
          <w:color w:val="000000"/>
          <w:kern w:val="2"/>
          <w:sz w:val="24"/>
          <w:szCs w:val="24"/>
          <w:lang w:eastAsia="zh-CN"/>
        </w:rPr>
        <w:t>Приложение Д</w:t>
      </w:r>
    </w:p>
    <w:p>
      <w:pPr>
        <w:pStyle w:val="Normal"/>
        <w:ind w:firstLine="709" w:start="5672"/>
        <w:jc w:val="end"/>
        <w:rPr>
          <w:rFonts w:ascii="Times New Roman" w:hAnsi="Times New Roman" w:cs="Times New Roman"/>
          <w:bCs/>
          <w:color w:val="000000"/>
          <w:kern w:val="2"/>
          <w:sz w:val="24"/>
          <w:szCs w:val="24"/>
          <w:lang w:eastAsia="zh-CN"/>
        </w:rPr>
      </w:pPr>
      <w:r>
        <w:rPr>
          <w:rFonts w:cs="Times New Roman" w:ascii="Times New Roman" w:hAnsi="Times New Roman"/>
          <w:bCs/>
          <w:color w:val="000000"/>
          <w:kern w:val="2"/>
          <w:sz w:val="24"/>
          <w:szCs w:val="24"/>
          <w:lang w:eastAsia="zh-CN"/>
        </w:rPr>
        <w:t>к Техническому заданию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color w:val="000000"/>
          <w:kern w:val="2"/>
          <w:sz w:val="24"/>
          <w:szCs w:val="24"/>
          <w:lang w:eastAsia="zh-CN"/>
        </w:rPr>
      </w:pPr>
      <w:r>
        <w:rPr>
          <w:rFonts w:cs="Times New Roman" w:ascii="Times New Roman" w:hAnsi="Times New Roman"/>
          <w:b/>
          <w:bCs/>
          <w:color w:val="000000"/>
          <w:kern w:val="2"/>
          <w:sz w:val="24"/>
          <w:szCs w:val="24"/>
          <w:lang w:eastAsia="zh-CN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color w:val="000000"/>
          <w:kern w:val="2"/>
          <w:sz w:val="24"/>
          <w:szCs w:val="24"/>
          <w:lang w:eastAsia="zh-CN"/>
        </w:rPr>
      </w:pPr>
      <w:r>
        <w:rPr>
          <w:rFonts w:cs="Times New Roman" w:ascii="Times New Roman" w:hAnsi="Times New Roman"/>
          <w:b/>
          <w:bCs/>
          <w:color w:val="000000"/>
          <w:kern w:val="2"/>
          <w:sz w:val="24"/>
          <w:szCs w:val="24"/>
          <w:lang w:eastAsia="zh-CN"/>
        </w:rPr>
        <w:t>Схема маршрутизации Системы-112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/>
        <w:object>
          <v:shapetype id="_x0000_tole_rId3" coordsize="21600,21600" o:spt="3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3" type="_x0000_tole_rId3" style="width:472.5pt;height:644.25pt;mso-wrap-distance-right:0pt" filled="f" o:ole="">
            <v:imagedata r:id="rId4" o:title=""/>
          </v:shape>
          <o:OLEObject Type="Embed" ProgID="FoxitPhantomPDF.Document" ShapeID="ole_rId3" DrawAspect="Content" ObjectID="_1008633544" r:id="rId3"/>
        </w:objec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709" w:start="5672"/>
        <w:jc w:val="end"/>
        <w:rPr>
          <w:rFonts w:ascii="Times New Roman" w:hAnsi="Times New Roman" w:cs="Times New Roman"/>
          <w:bCs/>
          <w:color w:val="000000"/>
          <w:kern w:val="2"/>
          <w:sz w:val="24"/>
          <w:szCs w:val="24"/>
          <w:lang w:eastAsia="zh-CN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sectPr>
      <w:type w:val="nextPage"/>
      <w:pgSz w:w="11906" w:h="16838"/>
      <w:pgMar w:left="1701" w:right="850" w:gutter="0" w:header="0" w:top="1134" w:footer="0" w:bottom="709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Calibri">
    <w:charset w:val="01" w:characterSet="utf-8"/>
    <w:family w:val="roman"/>
    <w:pitch w:val="variable"/>
  </w:font>
  <w:font w:name="Times New Roman"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Segoe UI">
    <w:charset w:val="01" w:characterSet="utf-8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Symbol">
    <w:charset w:val="02"/>
    <w:family w:val="auto"/>
    <w:pitch w:val="default"/>
  </w:font>
  <w:font w:name="Courier New">
    <w:charset w:val="01"/>
    <w:family w:val="modern"/>
    <w:pitch w:val="fixed"/>
  </w:font>
  <w:font w:name="Wingdings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pStyle w:val="Heading1"/>
      <w:suff w:val="space"/>
      <w:lvlText w:val="%1."/>
      <w:lvlJc w:val="start"/>
      <w:pPr>
        <w:tabs>
          <w:tab w:val="num" w:pos="0"/>
        </w:tabs>
        <w:ind w:start="851" w:hanging="0"/>
      </w:pPr>
      <w:rPr>
        <w:rFonts w:ascii="Times New Roman" w:hAnsi="Times New Roman" w:eastAsia="Times New Roman" w:cs="Times New Roman"/>
      </w:rPr>
    </w:lvl>
    <w:lvl w:ilvl="1">
      <w:start w:val="1"/>
      <w:numFmt w:val="decimal"/>
      <w:pStyle w:val="Heading2"/>
      <w:suff w:val="space"/>
      <w:lvlText w:val="%1.%2"/>
      <w:lvlJc w:val="start"/>
      <w:pPr>
        <w:tabs>
          <w:tab w:val="num" w:pos="0"/>
        </w:tabs>
        <w:ind w:start="7514" w:hanging="0"/>
      </w:pPr>
      <w:rPr/>
    </w:lvl>
    <w:lvl w:ilvl="2">
      <w:start w:val="1"/>
      <w:numFmt w:val="decimal"/>
      <w:pStyle w:val="Heading3"/>
      <w:suff w:val="space"/>
      <w:lvlText w:val="%1.%2.%3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decimal"/>
      <w:pStyle w:val="Heading4"/>
      <w:suff w:val="space"/>
      <w:lvlText w:val="%1.%2.%3.%4"/>
      <w:lvlJc w:val="start"/>
      <w:pPr>
        <w:tabs>
          <w:tab w:val="num" w:pos="0"/>
        </w:tabs>
        <w:ind w:start="851" w:hanging="0"/>
      </w:pPr>
      <w:rPr/>
    </w:lvl>
    <w:lvl w:ilvl="4">
      <w:start w:val="1"/>
      <w:numFmt w:val="decimal"/>
      <w:pStyle w:val="Heading5"/>
      <w:suff w:val="space"/>
      <w:lvlText w:val="%1.%2.%3.%4.%5"/>
      <w:lvlJc w:val="start"/>
      <w:pPr>
        <w:tabs>
          <w:tab w:val="num" w:pos="0"/>
        </w:tabs>
        <w:ind w:start="851" w:hanging="0"/>
      </w:pPr>
      <w:rPr/>
    </w:lvl>
    <w:lvl w:ilvl="5">
      <w:start w:val="1"/>
      <w:numFmt w:val="decimal"/>
      <w:pStyle w:val="Heading6"/>
      <w:suff w:val="space"/>
      <w:lvlText w:val="%1.%2.%3.%4.%5.%6"/>
      <w:lvlJc w:val="start"/>
      <w:pPr>
        <w:tabs>
          <w:tab w:val="num" w:pos="0"/>
        </w:tabs>
        <w:ind w:start="851" w:hanging="0"/>
      </w:pPr>
      <w:rPr/>
    </w:lvl>
    <w:lvl w:ilvl="6">
      <w:start w:val="1"/>
      <w:numFmt w:val="decimal"/>
      <w:pStyle w:val="Heading7"/>
      <w:suff w:val="space"/>
      <w:lvlText w:val="%1.%2.%3.%4.%5.%6.%7"/>
      <w:lvlJc w:val="start"/>
      <w:pPr>
        <w:tabs>
          <w:tab w:val="num" w:pos="0"/>
        </w:tabs>
        <w:ind w:start="851" w:hanging="0"/>
      </w:pPr>
      <w:rPr/>
    </w:lvl>
    <w:lvl w:ilvl="7">
      <w:start w:val="1"/>
      <w:numFmt w:val="decimal"/>
      <w:pStyle w:val="Heading8"/>
      <w:suff w:val="space"/>
      <w:lvlText w:val="%1.%2.%3.%4.%5.%6.%7.%8"/>
      <w:lvlJc w:val="start"/>
      <w:pPr>
        <w:tabs>
          <w:tab w:val="num" w:pos="0"/>
        </w:tabs>
        <w:ind w:start="851" w:hanging="0"/>
      </w:pPr>
      <w:rPr/>
    </w:lvl>
    <w:lvl w:ilvl="8">
      <w:start w:val="1"/>
      <w:numFmt w:val="decimal"/>
      <w:pStyle w:val="Heading9"/>
      <w:suff w:val="space"/>
      <w:lvlText w:val="%1.%2.%3.%4.%5.%6.%7.%8.%9"/>
      <w:lvlJc w:val="start"/>
      <w:pPr>
        <w:tabs>
          <w:tab w:val="num" w:pos="0"/>
        </w:tabs>
        <w:ind w:start="851" w:hanging="0"/>
      </w:pPr>
      <w:rPr/>
    </w:lvl>
  </w:abstractNum>
  <w:abstractNum w:abstractNumId="2">
    <w:lvl w:ilvl="0">
      <w:start w:val="1"/>
      <w:numFmt w:val="decimal"/>
      <w:lvlText w:val="%1."/>
      <w:lvlJc w:val="start"/>
      <w:pPr>
        <w:tabs>
          <w:tab w:val="num" w:pos="360"/>
        </w:tabs>
        <w:ind w:start="360" w:hanging="360"/>
      </w:pPr>
      <w:rPr/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3">
    <w:lvl w:ilvl="0">
      <w:start w:val="1"/>
      <w:numFmt w:val="decimal"/>
      <w:lvlText w:val="%1."/>
      <w:lvlJc w:val="start"/>
      <w:pPr>
        <w:tabs>
          <w:tab w:val="num" w:pos="360"/>
        </w:tabs>
        <w:ind w:start="360" w:hanging="360"/>
      </w:pPr>
      <w:rPr/>
    </w:lvl>
    <w:lvl w:ilvl="1">
      <w:start w:val="6"/>
      <w:numFmt w:val="decimal"/>
      <w:isLgl/>
      <w:lvlText w:val="%1.%2"/>
      <w:lvlJc w:val="start"/>
      <w:pPr>
        <w:tabs>
          <w:tab w:val="num" w:pos="0"/>
        </w:tabs>
        <w:ind w:start="360" w:hanging="360"/>
      </w:pPr>
      <w:rPr/>
    </w:lvl>
    <w:lvl w:ilvl="2">
      <w:start w:val="1"/>
      <w:numFmt w:val="decimal"/>
      <w:isLgl/>
      <w:lvlText w:val="%1.%2.%3"/>
      <w:lvlJc w:val="start"/>
      <w:pPr>
        <w:tabs>
          <w:tab w:val="num" w:pos="0"/>
        </w:tabs>
        <w:ind w:start="720" w:hanging="720"/>
      </w:pPr>
      <w:rPr/>
    </w:lvl>
    <w:lvl w:ilvl="3">
      <w:start w:val="1"/>
      <w:numFmt w:val="decimal"/>
      <w:isLgl/>
      <w:lvlText w:val="%1.%2.%3.%4"/>
      <w:lvlJc w:val="start"/>
      <w:pPr>
        <w:tabs>
          <w:tab w:val="num" w:pos="0"/>
        </w:tabs>
        <w:ind w:start="720" w:hanging="720"/>
      </w:pPr>
      <w:rPr/>
    </w:lvl>
    <w:lvl w:ilvl="4">
      <w:start w:val="1"/>
      <w:numFmt w:val="decimal"/>
      <w:isLgl/>
      <w:lvlText w:val="%1.%2.%3.%4.%5"/>
      <w:lvlJc w:val="start"/>
      <w:pPr>
        <w:tabs>
          <w:tab w:val="num" w:pos="0"/>
        </w:tabs>
        <w:ind w:start="1080" w:hanging="1080"/>
      </w:pPr>
      <w:rPr/>
    </w:lvl>
    <w:lvl w:ilvl="5">
      <w:start w:val="1"/>
      <w:numFmt w:val="decimal"/>
      <w:isLgl/>
      <w:lvlText w:val="%1.%2.%3.%4.%5.%6"/>
      <w:lvlJc w:val="start"/>
      <w:pPr>
        <w:tabs>
          <w:tab w:val="num" w:pos="0"/>
        </w:tabs>
        <w:ind w:start="1080" w:hanging="1080"/>
      </w:pPr>
      <w:rPr/>
    </w:lvl>
    <w:lvl w:ilvl="6">
      <w:start w:val="1"/>
      <w:numFmt w:val="decimal"/>
      <w:isLgl/>
      <w:lvlText w:val="%1.%2.%3.%4.%5.%6.%7"/>
      <w:lvlJc w:val="start"/>
      <w:pPr>
        <w:tabs>
          <w:tab w:val="num" w:pos="0"/>
        </w:tabs>
        <w:ind w:start="1440" w:hanging="1440"/>
      </w:pPr>
      <w:rPr/>
    </w:lvl>
    <w:lvl w:ilvl="7">
      <w:start w:val="1"/>
      <w:numFmt w:val="decimal"/>
      <w:isLgl/>
      <w:lvlText w:val="%1.%2.%3.%4.%5.%6.%7.%8"/>
      <w:lvlJc w:val="start"/>
      <w:pPr>
        <w:tabs>
          <w:tab w:val="num" w:pos="0"/>
        </w:tabs>
        <w:ind w:start="1440" w:hanging="1440"/>
      </w:pPr>
      <w:rPr/>
    </w:lvl>
    <w:lvl w:ilvl="8">
      <w:start w:val="1"/>
      <w:numFmt w:val="decimal"/>
      <w:isLgl/>
      <w:lvlText w:val="%1.%2.%3.%4.%5.%6.%7.%8.%9"/>
      <w:lvlJc w:val="start"/>
      <w:pPr>
        <w:tabs>
          <w:tab w:val="num" w:pos="0"/>
        </w:tabs>
        <w:ind w:start="1800" w:hanging="1800"/>
      </w:pPr>
      <w:rPr/>
    </w:lvl>
  </w:abstractNum>
  <w:abstractNum w:abstractNumId="4">
    <w:lvl w:ilvl="0">
      <w:start w:val="1"/>
      <w:numFmt w:val="decimal"/>
      <w:lvlText w:val="%1."/>
      <w:lvlJc w:val="start"/>
      <w:pPr>
        <w:tabs>
          <w:tab w:val="num" w:pos="360"/>
        </w:tabs>
        <w:ind w:start="360" w:hanging="360"/>
      </w:pPr>
      <w:rPr/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5">
    <w:lvl w:ilvl="0">
      <w:start w:val="1"/>
      <w:numFmt w:val="decimal"/>
      <w:lvlText w:val="%1."/>
      <w:lvlJc w:val="start"/>
      <w:pPr>
        <w:tabs>
          <w:tab w:val="num" w:pos="360"/>
        </w:tabs>
        <w:ind w:start="360" w:hanging="360"/>
      </w:pPr>
      <w:rPr/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6">
    <w:lvl w:ilvl="0">
      <w:start w:val="1"/>
      <w:numFmt w:val="decimal"/>
      <w:lvlText w:val="%1"/>
      <w:lvlJc w:val="start"/>
      <w:pPr>
        <w:tabs>
          <w:tab w:val="num" w:pos="0"/>
        </w:tabs>
        <w:ind w:start="432" w:hanging="432"/>
      </w:pPr>
      <w:rPr/>
    </w:lvl>
    <w:lvl w:ilvl="1">
      <w:start w:val="1"/>
      <w:numFmt w:val="decimal"/>
      <w:lvlText w:val="%1.%2"/>
      <w:lvlJc w:val="start"/>
      <w:pPr>
        <w:tabs>
          <w:tab w:val="num" w:pos="0"/>
        </w:tabs>
        <w:ind w:start="576" w:hanging="576"/>
      </w:pPr>
      <w:rPr/>
    </w:lvl>
    <w:lvl w:ilvl="2">
      <w:start w:val="1"/>
      <w:numFmt w:val="decimal"/>
      <w:lvlText w:val="%1.%2.%3"/>
      <w:lvlJc w:val="start"/>
      <w:pPr>
        <w:tabs>
          <w:tab w:val="num" w:pos="0"/>
        </w:tabs>
        <w:ind w:start="720" w:hanging="720"/>
      </w:pPr>
      <w:rPr/>
    </w:lvl>
    <w:lvl w:ilvl="3">
      <w:start w:val="1"/>
      <w:numFmt w:val="decimal"/>
      <w:lvlText w:val="%1.%2.%3.%4"/>
      <w:lvlJc w:val="start"/>
      <w:pPr>
        <w:tabs>
          <w:tab w:val="num" w:pos="0"/>
        </w:tabs>
        <w:ind w:start="864" w:hanging="864"/>
      </w:pPr>
      <w:rPr/>
    </w:lvl>
    <w:lvl w:ilvl="4">
      <w:start w:val="1"/>
      <w:numFmt w:val="decimal"/>
      <w:lvlText w:val="%1.%2.%3.%4.%5"/>
      <w:lvlJc w:val="start"/>
      <w:pPr>
        <w:tabs>
          <w:tab w:val="num" w:pos="0"/>
        </w:tabs>
        <w:ind w:start="1008" w:hanging="1008"/>
      </w:pPr>
      <w:rPr/>
    </w:lvl>
    <w:lvl w:ilvl="5">
      <w:start w:val="1"/>
      <w:numFmt w:val="decimal"/>
      <w:lvlText w:val="%1.%2.%3.%4.%5.%6"/>
      <w:lvlJc w:val="start"/>
      <w:pPr>
        <w:tabs>
          <w:tab w:val="num" w:pos="0"/>
        </w:tabs>
        <w:ind w:start="1152" w:hanging="1152"/>
      </w:pPr>
      <w:rPr/>
    </w:lvl>
    <w:lvl w:ilvl="6">
      <w:start w:val="1"/>
      <w:numFmt w:val="decimal"/>
      <w:lvlText w:val="%1.%2.%3.%4.%5.%6.%7"/>
      <w:lvlJc w:val="start"/>
      <w:pPr>
        <w:tabs>
          <w:tab w:val="num" w:pos="0"/>
        </w:tabs>
        <w:ind w:start="1296" w:hanging="1296"/>
      </w:pPr>
      <w:rPr/>
    </w:lvl>
    <w:lvl w:ilvl="7">
      <w:start w:val="1"/>
      <w:numFmt w:val="decimal"/>
      <w:lvlText w:val="%1.%2.%3.%4.%5.%6.%7.%8"/>
      <w:lvlJc w:val="start"/>
      <w:pPr>
        <w:tabs>
          <w:tab w:val="num" w:pos="0"/>
        </w:tabs>
        <w:ind w:start="1440" w:hanging="1440"/>
      </w:pPr>
      <w:rPr/>
    </w:lvl>
    <w:lvl w:ilvl="8">
      <w:start w:val="1"/>
      <w:numFmt w:val="decimal"/>
      <w:lvlText w:val="%1.%2.%3.%4.%5.%6.%7.%8.%9"/>
      <w:lvlJc w:val="start"/>
      <w:pPr>
        <w:tabs>
          <w:tab w:val="num" w:pos="0"/>
        </w:tabs>
        <w:ind w:start="1584" w:hanging="1584"/>
      </w:pPr>
      <w:rPr/>
    </w:lvl>
  </w:abstractNum>
  <w:abstractNum w:abstractNumId="7">
    <w:lvl w:ilvl="0">
      <w:start w:val="1"/>
      <w:numFmt w:val="bullet"/>
      <w:lvlText w:val=""/>
      <w:lvlJc w:val="start"/>
      <w:pPr>
        <w:tabs>
          <w:tab w:val="num" w:pos="0"/>
        </w:tabs>
        <w:ind w:start="1211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start"/>
      <w:pPr>
        <w:tabs>
          <w:tab w:val="num" w:pos="0"/>
        </w:tabs>
        <w:ind w:star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0"/>
        </w:tabs>
        <w:ind w:star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start"/>
      <w:pPr>
        <w:tabs>
          <w:tab w:val="num" w:pos="0"/>
        </w:tabs>
        <w:ind w:star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0"/>
        </w:tabs>
        <w:ind w:star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0"/>
        </w:tabs>
        <w:ind w:star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start"/>
      <w:pPr>
        <w:tabs>
          <w:tab w:val="num" w:pos="0"/>
        </w:tabs>
        <w:ind w:star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0"/>
        </w:tabs>
        <w:ind w:star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0"/>
        </w:tabs>
        <w:ind w:start="7189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SimSun" w:cs="" w:asciiTheme="minorHAnsi" w:cstheme="minorBid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1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Block Text" w:uiPriority="0"/>
    <w:lsdException w:name="Hyperlink" w:uiPriority="0"/>
    <w:lsdException w:name="Strong" w:uiPriority="22" w:semiHidden="0" w:unhideWhenUsed="0" w:qFormat="1"/>
    <w:lsdException w:name="Emphasis" w:uiPriority="20" w:semiHidden="0" w:unhideWhenUsed="0" w:qFormat="1"/>
    <w:lsdException w:name="Normal (Web)" w:uiPriority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0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9629ce"/>
    <w:pPr>
      <w:widowControl/>
      <w:suppressAutoHyphens w:val="true"/>
      <w:bidi w:val="0"/>
      <w:spacing w:lineRule="auto" w:line="240" w:before="0" w:after="0"/>
      <w:jc w:val="both"/>
    </w:pPr>
    <w:rPr>
      <w:rFonts w:ascii="Calibri" w:hAnsi="Calibri" w:eastAsia="SimSun" w:cs="" w:asciiTheme="minorHAnsi" w:cstheme="minorBidi" w:hAnsi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14"/>
    <w:next w:val="14"/>
    <w:link w:val="11"/>
    <w:qFormat/>
    <w:rsid w:val="001048cc"/>
    <w:pPr>
      <w:keepNext w:val="true"/>
      <w:pageBreakBefore/>
      <w:numPr>
        <w:ilvl w:val="0"/>
        <w:numId w:val="1"/>
      </w:numPr>
      <w:suppressAutoHyphens w:val="false"/>
      <w:spacing w:lineRule="auto" w:line="360" w:before="240" w:after="60"/>
      <w:ind w:start="426"/>
      <w:jc w:val="both"/>
      <w:outlineLvl w:val="0"/>
    </w:pPr>
    <w:rPr>
      <w:b/>
      <w:bCs/>
      <w:caps/>
      <w:kern w:val="2"/>
      <w:sz w:val="28"/>
      <w:szCs w:val="28"/>
    </w:rPr>
  </w:style>
  <w:style w:type="paragraph" w:styleId="Heading2">
    <w:name w:val="heading 2"/>
    <w:basedOn w:val="14"/>
    <w:next w:val="14"/>
    <w:link w:val="2"/>
    <w:qFormat/>
    <w:rsid w:val="001048cc"/>
    <w:pPr>
      <w:keepNext w:val="true"/>
      <w:numPr>
        <w:ilvl w:val="1"/>
        <w:numId w:val="1"/>
      </w:numPr>
      <w:suppressAutoHyphens w:val="false"/>
      <w:spacing w:lineRule="auto" w:line="360" w:before="240" w:after="60"/>
      <w:outlineLvl w:val="1"/>
    </w:pPr>
    <w:rPr>
      <w:b/>
      <w:bCs/>
      <w:szCs w:val="24"/>
    </w:rPr>
  </w:style>
  <w:style w:type="paragraph" w:styleId="Heading3">
    <w:name w:val="heading 3"/>
    <w:basedOn w:val="14"/>
    <w:next w:val="14"/>
    <w:link w:val="3"/>
    <w:qFormat/>
    <w:rsid w:val="001048cc"/>
    <w:pPr>
      <w:keepNext w:val="true"/>
      <w:numPr>
        <w:ilvl w:val="2"/>
        <w:numId w:val="1"/>
      </w:numPr>
      <w:suppressAutoHyphens w:val="false"/>
      <w:spacing w:lineRule="auto" w:line="360" w:before="240" w:after="60"/>
      <w:jc w:val="both"/>
      <w:outlineLvl w:val="2"/>
    </w:pPr>
    <w:rPr>
      <w:b/>
      <w:bCs/>
      <w:color w:val="000000"/>
      <w:szCs w:val="24"/>
    </w:rPr>
  </w:style>
  <w:style w:type="paragraph" w:styleId="Heading4">
    <w:name w:val="heading 4"/>
    <w:basedOn w:val="14"/>
    <w:next w:val="14"/>
    <w:link w:val="4"/>
    <w:qFormat/>
    <w:rsid w:val="001048cc"/>
    <w:pPr>
      <w:keepNext w:val="true"/>
      <w:numPr>
        <w:ilvl w:val="3"/>
        <w:numId w:val="1"/>
      </w:numPr>
      <w:suppressAutoHyphens w:val="false"/>
      <w:spacing w:lineRule="auto" w:line="360" w:before="240" w:after="60"/>
      <w:jc w:val="both"/>
      <w:outlineLvl w:val="3"/>
    </w:pPr>
    <w:rPr>
      <w:b/>
      <w:bCs/>
      <w:szCs w:val="28"/>
    </w:rPr>
  </w:style>
  <w:style w:type="paragraph" w:styleId="Heading5">
    <w:name w:val="heading 5"/>
    <w:basedOn w:val="14"/>
    <w:next w:val="14"/>
    <w:link w:val="5"/>
    <w:qFormat/>
    <w:rsid w:val="001048cc"/>
    <w:pPr>
      <w:numPr>
        <w:ilvl w:val="4"/>
        <w:numId w:val="1"/>
      </w:numPr>
      <w:suppressAutoHyphens w:val="false"/>
      <w:spacing w:lineRule="auto" w:line="360" w:before="240" w:after="60"/>
      <w:jc w:val="both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6"/>
    <w:qFormat/>
    <w:rsid w:val="001048cc"/>
    <w:pPr>
      <w:numPr>
        <w:ilvl w:val="5"/>
        <w:numId w:val="1"/>
      </w:numPr>
      <w:spacing w:before="240" w:after="60"/>
      <w:jc w:val="start"/>
      <w:outlineLvl w:val="5"/>
    </w:pPr>
    <w:rPr>
      <w:rFonts w:ascii="Times New Roman" w:hAnsi="Times New Roman" w:eastAsia="Times New Roman" w:cs="Times New Roman"/>
      <w:b/>
      <w:bCs/>
      <w:lang w:eastAsia="ru-RU"/>
    </w:rPr>
  </w:style>
  <w:style w:type="paragraph" w:styleId="Heading7">
    <w:name w:val="heading 7"/>
    <w:basedOn w:val="Normal"/>
    <w:next w:val="Normal"/>
    <w:link w:val="7"/>
    <w:qFormat/>
    <w:rsid w:val="001048cc"/>
    <w:pPr>
      <w:numPr>
        <w:ilvl w:val="6"/>
        <w:numId w:val="1"/>
      </w:numPr>
      <w:spacing w:before="240" w:after="60"/>
      <w:jc w:val="start"/>
      <w:outlineLvl w:val="6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Heading8">
    <w:name w:val="heading 8"/>
    <w:basedOn w:val="Normal"/>
    <w:next w:val="Normal"/>
    <w:link w:val="8"/>
    <w:qFormat/>
    <w:rsid w:val="001048cc"/>
    <w:pPr>
      <w:numPr>
        <w:ilvl w:val="7"/>
        <w:numId w:val="1"/>
      </w:numPr>
      <w:spacing w:before="240" w:after="60"/>
      <w:jc w:val="start"/>
      <w:outlineLvl w:val="7"/>
    </w:pPr>
    <w:rPr>
      <w:rFonts w:ascii="Times New Roman" w:hAnsi="Times New Roman" w:eastAsia="Times New Roman" w:cs="Times New Roman"/>
      <w:i/>
      <w:iCs/>
      <w:sz w:val="24"/>
      <w:szCs w:val="24"/>
      <w:lang w:eastAsia="ru-RU"/>
    </w:rPr>
  </w:style>
  <w:style w:type="paragraph" w:styleId="Heading9">
    <w:name w:val="heading 9"/>
    <w:basedOn w:val="Normal"/>
    <w:next w:val="Normal"/>
    <w:link w:val="9"/>
    <w:qFormat/>
    <w:rsid w:val="001048cc"/>
    <w:pPr>
      <w:numPr>
        <w:ilvl w:val="8"/>
        <w:numId w:val="1"/>
      </w:numPr>
      <w:spacing w:before="240" w:after="60"/>
      <w:jc w:val="start"/>
      <w:outlineLvl w:val="8"/>
    </w:pPr>
    <w:rPr>
      <w:rFonts w:ascii="Arial" w:hAnsi="Arial" w:eastAsia="Times New Roman" w:cs="Arial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5" w:customStyle="1">
    <w:name w:val="Абзац списка Знак"/>
    <w:link w:val="ListParagraph"/>
    <w:qFormat/>
    <w:locked/>
    <w:rsid w:val="009629ce"/>
    <w:rPr/>
  </w:style>
  <w:style w:type="character" w:styleId="FontStyle12" w:customStyle="1">
    <w:name w:val="Font Style12"/>
    <w:qFormat/>
    <w:rsid w:val="009629ce"/>
    <w:rPr>
      <w:rFonts w:ascii="Times New Roman" w:hAnsi="Times New Roman" w:cs="Times New Roman"/>
      <w:b/>
      <w:bCs/>
      <w:color w:val="000000"/>
      <w:sz w:val="26"/>
      <w:szCs w:val="26"/>
    </w:rPr>
  </w:style>
  <w:style w:type="character" w:styleId="Style6" w:customStyle="1">
    <w:name w:val="Название объекта Знак"/>
    <w:uiPriority w:val="10"/>
    <w:qFormat/>
    <w:rsid w:val="009629ce"/>
    <w:rPr>
      <w:rFonts w:ascii="Times New Roman" w:hAnsi="Times New Roman" w:eastAsia="MS Mincho" w:cs="Times New Roman"/>
      <w:b/>
      <w:sz w:val="24"/>
      <w:szCs w:val="24"/>
      <w:lang w:eastAsia="ru-RU"/>
    </w:rPr>
  </w:style>
  <w:style w:type="character" w:styleId="1" w:customStyle="1">
    <w:name w:val="Заголовок №1"/>
    <w:qFormat/>
    <w:rsid w:val="009629ce"/>
    <w:rPr>
      <w:rFonts w:ascii="Times New Roman" w:hAnsi="Times New Roman" w:eastAsia="Times New Roman" w:cs="Times New Roman"/>
      <w:b/>
      <w:bCs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4"/>
      <w:szCs w:val="24"/>
      <w:u w:val="none"/>
      <w:lang w:val="ru-RU" w:eastAsia="ru-RU" w:bidi="ru-RU"/>
    </w:rPr>
  </w:style>
  <w:style w:type="character" w:styleId="ConsPlusNormal" w:customStyle="1">
    <w:name w:val="ConsPlusNormal Знак"/>
    <w:link w:val="ConsPlusNormal1"/>
    <w:qFormat/>
    <w:locked/>
    <w:rsid w:val="009629ce"/>
    <w:rPr>
      <w:rFonts w:ascii="Arial" w:hAnsi="Arial" w:eastAsia="Arial" w:cs="Times New Roman"/>
      <w:kern w:val="2"/>
      <w:sz w:val="20"/>
      <w:szCs w:val="20"/>
      <w:lang w:eastAsia="ar-SA"/>
    </w:rPr>
  </w:style>
  <w:style w:type="character" w:styleId="basictext" w:customStyle="1">
    <w:name w:val="basic_text Знак"/>
    <w:link w:val="basictext1"/>
    <w:qFormat/>
    <w:locked/>
    <w:rsid w:val="00c979b8"/>
    <w:rPr>
      <w:rFonts w:ascii="Times New Roman" w:hAnsi="Times New Roman" w:eastAsia="Times New Roman" w:cs="Times New Roman"/>
      <w:sz w:val="24"/>
      <w:szCs w:val="28"/>
      <w:lang w:eastAsia="ja-JP"/>
    </w:rPr>
  </w:style>
  <w:style w:type="character" w:styleId="headII" w:customStyle="1">
    <w:name w:val="head_II Знак"/>
    <w:link w:val="headII1"/>
    <w:qFormat/>
    <w:rsid w:val="00c979b8"/>
    <w:rPr>
      <w:rFonts w:ascii="Times New Roman" w:hAnsi="Times New Roman" w:eastAsia="Times New Roman" w:cs="Times New Roman"/>
      <w:b/>
      <w:color w:val="365F91"/>
      <w:sz w:val="24"/>
      <w:szCs w:val="24"/>
      <w:lang w:eastAsia="ru-RU"/>
    </w:rPr>
  </w:style>
  <w:style w:type="character" w:styleId="list1" w:customStyle="1">
    <w:name w:val="list_1 Знак"/>
    <w:link w:val="list11"/>
    <w:qFormat/>
    <w:rsid w:val="00c979b8"/>
    <w:rPr>
      <w:rFonts w:ascii="Times New Roman" w:hAnsi="Times New Roman" w:eastAsia="Times New Roman" w:cs="Times New Roman"/>
      <w:sz w:val="24"/>
      <w:szCs w:val="28"/>
      <w:lang w:eastAsia="ja-JP"/>
    </w:rPr>
  </w:style>
  <w:style w:type="character" w:styleId="11" w:customStyle="1">
    <w:name w:val="Заголовок 1 Знак"/>
    <w:basedOn w:val="DefaultParagraphFont"/>
    <w:qFormat/>
    <w:rsid w:val="001048cc"/>
    <w:rPr>
      <w:rFonts w:ascii="Times New Roman" w:hAnsi="Times New Roman" w:eastAsia="Times New Roman" w:cs="Times New Roman"/>
      <w:b/>
      <w:bCs/>
      <w:caps/>
      <w:kern w:val="2"/>
      <w:sz w:val="28"/>
      <w:szCs w:val="28"/>
      <w:lang w:eastAsia="ru-RU"/>
    </w:rPr>
  </w:style>
  <w:style w:type="character" w:styleId="2" w:customStyle="1">
    <w:name w:val="Заголовок 2 Знак"/>
    <w:basedOn w:val="DefaultParagraphFont"/>
    <w:qFormat/>
    <w:rsid w:val="001048cc"/>
    <w:rPr>
      <w:rFonts w:ascii="Times New Roman" w:hAnsi="Times New Roman" w:eastAsia="Times New Roman" w:cs="Times New Roman"/>
      <w:b/>
      <w:bCs/>
      <w:sz w:val="24"/>
      <w:szCs w:val="24"/>
      <w:lang w:eastAsia="ru-RU"/>
    </w:rPr>
  </w:style>
  <w:style w:type="character" w:styleId="3" w:customStyle="1">
    <w:name w:val="Заголовок 3 Знак"/>
    <w:basedOn w:val="DefaultParagraphFont"/>
    <w:qFormat/>
    <w:rsid w:val="001048cc"/>
    <w:rPr>
      <w:rFonts w:ascii="Times New Roman" w:hAnsi="Times New Roman" w:eastAsia="Times New Roman" w:cs="Times New Roman"/>
      <w:b/>
      <w:bCs/>
      <w:color w:val="000000"/>
      <w:sz w:val="24"/>
      <w:szCs w:val="24"/>
      <w:lang w:eastAsia="ru-RU"/>
    </w:rPr>
  </w:style>
  <w:style w:type="character" w:styleId="4" w:customStyle="1">
    <w:name w:val="Заголовок 4 Знак"/>
    <w:basedOn w:val="DefaultParagraphFont"/>
    <w:qFormat/>
    <w:rsid w:val="001048cc"/>
    <w:rPr>
      <w:rFonts w:ascii="Times New Roman" w:hAnsi="Times New Roman" w:eastAsia="Times New Roman" w:cs="Times New Roman"/>
      <w:b/>
      <w:bCs/>
      <w:sz w:val="24"/>
      <w:szCs w:val="28"/>
      <w:lang w:eastAsia="ru-RU"/>
    </w:rPr>
  </w:style>
  <w:style w:type="character" w:styleId="5" w:customStyle="1">
    <w:name w:val="Заголовок 5 Знак"/>
    <w:basedOn w:val="DefaultParagraphFont"/>
    <w:qFormat/>
    <w:rsid w:val="001048cc"/>
    <w:rPr>
      <w:rFonts w:ascii="Times New Roman" w:hAnsi="Times New Roman" w:eastAsia="Times New Roman" w:cs="Times New Roman"/>
      <w:b/>
      <w:bCs/>
      <w:i/>
      <w:iCs/>
      <w:sz w:val="26"/>
      <w:szCs w:val="26"/>
      <w:lang w:eastAsia="ru-RU"/>
    </w:rPr>
  </w:style>
  <w:style w:type="character" w:styleId="6" w:customStyle="1">
    <w:name w:val="Заголовок 6 Знак"/>
    <w:basedOn w:val="DefaultParagraphFont"/>
    <w:qFormat/>
    <w:rsid w:val="001048cc"/>
    <w:rPr>
      <w:rFonts w:ascii="Times New Roman" w:hAnsi="Times New Roman" w:eastAsia="Times New Roman" w:cs="Times New Roman"/>
      <w:b/>
      <w:bCs/>
      <w:lang w:eastAsia="ru-RU"/>
    </w:rPr>
  </w:style>
  <w:style w:type="character" w:styleId="7" w:customStyle="1">
    <w:name w:val="Заголовок 7 Знак"/>
    <w:basedOn w:val="DefaultParagraphFont"/>
    <w:qFormat/>
    <w:rsid w:val="001048cc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8" w:customStyle="1">
    <w:name w:val="Заголовок 8 Знак"/>
    <w:basedOn w:val="DefaultParagraphFont"/>
    <w:qFormat/>
    <w:rsid w:val="001048cc"/>
    <w:rPr>
      <w:rFonts w:ascii="Times New Roman" w:hAnsi="Times New Roman" w:eastAsia="Times New Roman" w:cs="Times New Roman"/>
      <w:i/>
      <w:iCs/>
      <w:sz w:val="24"/>
      <w:szCs w:val="24"/>
      <w:lang w:eastAsia="ru-RU"/>
    </w:rPr>
  </w:style>
  <w:style w:type="character" w:styleId="9" w:customStyle="1">
    <w:name w:val="Заголовок 9 Знак"/>
    <w:basedOn w:val="DefaultParagraphFont"/>
    <w:qFormat/>
    <w:rsid w:val="001048cc"/>
    <w:rPr>
      <w:rFonts w:ascii="Arial" w:hAnsi="Arial" w:eastAsia="Times New Roman" w:cs="Arial"/>
      <w:lang w:eastAsia="ru-RU"/>
    </w:rPr>
  </w:style>
  <w:style w:type="character" w:styleId="CharChar" w:customStyle="1">
    <w:name w:val="Обычный Char Char"/>
    <w:link w:val="14"/>
    <w:qFormat/>
    <w:rsid w:val="00f73552"/>
    <w:rPr>
      <w:rFonts w:ascii="Times New Roman" w:hAnsi="Times New Roman" w:eastAsia="Times New Roman" w:cs="Times New Roman"/>
      <w:sz w:val="24"/>
      <w:szCs w:val="20"/>
      <w:lang w:eastAsia="ru-RU"/>
    </w:rPr>
  </w:style>
  <w:style w:type="character" w:styleId="Style7" w:customStyle="1">
    <w:name w:val="Сф_Абзац Знак"/>
    <w:link w:val="Style13"/>
    <w:qFormat/>
    <w:rsid w:val="004d6c05"/>
    <w:rPr>
      <w:rFonts w:ascii="Times New Roman" w:hAnsi="Times New Roman" w:eastAsia="Times New Roman" w:cs="Times New Roman"/>
      <w:kern w:val="2"/>
      <w:sz w:val="26"/>
      <w:szCs w:val="20"/>
      <w:lang w:eastAsia="ru-RU"/>
    </w:rPr>
  </w:style>
  <w:style w:type="character" w:styleId="21" w:customStyle="1">
    <w:name w:val="_Заголовок 2 Знак"/>
    <w:link w:val="23"/>
    <w:qFormat/>
    <w:locked/>
    <w:rsid w:val="008e4700"/>
    <w:rPr>
      <w:rFonts w:ascii="Times New Roman" w:hAnsi="Times New Roman" w:eastAsia="Calibri" w:cs="Times New Roman"/>
      <w:b/>
      <w:color w:val="00000A"/>
      <w:spacing w:val="2"/>
      <w:sz w:val="26"/>
      <w:szCs w:val="26"/>
      <w:lang w:val="zh-CN" w:eastAsia="zh-CN"/>
    </w:rPr>
  </w:style>
  <w:style w:type="character" w:styleId="Strong">
    <w:name w:val="Strong"/>
    <w:uiPriority w:val="22"/>
    <w:qFormat/>
    <w:rsid w:val="008e4700"/>
    <w:rPr>
      <w:b/>
      <w:bCs/>
    </w:rPr>
  </w:style>
  <w:style w:type="character" w:styleId="12" w:customStyle="1">
    <w:name w:val="Основной текст Знак1"/>
    <w:basedOn w:val="DefaultParagraphFont"/>
    <w:uiPriority w:val="99"/>
    <w:qFormat/>
    <w:rsid w:val="001f77d8"/>
    <w:rPr>
      <w:sz w:val="25"/>
      <w:szCs w:val="25"/>
      <w:shd w:fill="FFFFFF" w:val="clear"/>
    </w:rPr>
  </w:style>
  <w:style w:type="character" w:styleId="Style8" w:customStyle="1">
    <w:name w:val="Основной текст Знак"/>
    <w:basedOn w:val="DefaultParagraphFont"/>
    <w:uiPriority w:val="99"/>
    <w:semiHidden/>
    <w:qFormat/>
    <w:rsid w:val="001f77d8"/>
    <w:rPr/>
  </w:style>
  <w:style w:type="character" w:styleId="Hyperlink">
    <w:name w:val="Hyperlink"/>
    <w:unhideWhenUsed/>
    <w:rsid w:val="00284449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d12e87"/>
    <w:rPr>
      <w:i/>
      <w:iCs/>
    </w:rPr>
  </w:style>
  <w:style w:type="character" w:styleId="Style9" w:customStyle="1">
    <w:name w:val="Текст выноски Знак"/>
    <w:basedOn w:val="DefaultParagraphFont"/>
    <w:link w:val="BalloonText"/>
    <w:uiPriority w:val="99"/>
    <w:semiHidden/>
    <w:qFormat/>
    <w:rsid w:val="002b3474"/>
    <w:rPr>
      <w:rFonts w:ascii="Segoe UI" w:hAnsi="Segoe UI" w:cs="Segoe UI"/>
      <w:sz w:val="18"/>
      <w:szCs w:val="18"/>
    </w:rPr>
  </w:style>
  <w:style w:type="character" w:styleId="Style10" w:customStyle="1">
    <w:name w:val="_Текст таблицы Знак"/>
    <w:link w:val="Style16"/>
    <w:qFormat/>
    <w:rsid w:val="00405ea1"/>
    <w:rPr>
      <w:rFonts w:ascii="Calibri" w:hAnsi="Calibri" w:eastAsia="Times New Roman" w:cs="Times New Roman"/>
      <w:sz w:val="20"/>
      <w:szCs w:val="20"/>
      <w:lang w:val="zh-CN" w:eastAsia="zh-CN"/>
    </w:rPr>
  </w:style>
  <w:style w:type="character" w:styleId="selectable-text1" w:customStyle="1">
    <w:name w:val="selectable-text1"/>
    <w:basedOn w:val="DefaultParagraphFont"/>
    <w:qFormat/>
    <w:rsid w:val="00ce7cba"/>
    <w:rPr/>
  </w:style>
  <w:style w:type="paragraph" w:styleId="Style11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Tahoma" w:cs="Noto Sans"/>
      <w:sz w:val="28"/>
      <w:szCs w:val="28"/>
    </w:rPr>
  </w:style>
  <w:style w:type="paragraph" w:styleId="BodyText">
    <w:name w:val="Body Text"/>
    <w:basedOn w:val="Normal"/>
    <w:link w:val="12"/>
    <w:uiPriority w:val="99"/>
    <w:rsid w:val="001f77d8"/>
    <w:pPr>
      <w:shd w:val="clear" w:color="auto" w:fill="FFFFFF"/>
      <w:spacing w:lineRule="exact" w:line="226"/>
      <w:jc w:val="center"/>
    </w:pPr>
    <w:rPr>
      <w:sz w:val="25"/>
      <w:szCs w:val="25"/>
    </w:rPr>
  </w:style>
  <w:style w:type="paragraph" w:styleId="List">
    <w:name w:val="List"/>
    <w:basedOn w:val="BodyText"/>
    <w:pPr/>
    <w:rPr>
      <w:rFonts w:cs="Noto Sans"/>
    </w:rPr>
  </w:style>
  <w:style w:type="paragraph" w:styleId="Caption">
    <w:name w:val="caption"/>
    <w:basedOn w:val="Normal"/>
    <w:next w:val="Normal"/>
    <w:link w:val="Style6"/>
    <w:uiPriority w:val="10"/>
    <w:qFormat/>
    <w:rsid w:val="009629ce"/>
    <w:pPr>
      <w:keepNext w:val="true"/>
      <w:tabs>
        <w:tab w:val="clear" w:pos="708"/>
        <w:tab w:val="left" w:pos="1418" w:leader="none"/>
      </w:tabs>
      <w:spacing w:lineRule="auto" w:line="276" w:before="240" w:after="0"/>
      <w:ind w:hanging="1418" w:start="1418"/>
    </w:pPr>
    <w:rPr>
      <w:rFonts w:ascii="Times New Roman" w:hAnsi="Times New Roman" w:eastAsia="MS Mincho" w:cs="Times New Roman"/>
      <w:b/>
      <w:sz w:val="24"/>
      <w:szCs w:val="24"/>
      <w:lang w:eastAsia="ru-RU"/>
    </w:rPr>
  </w:style>
  <w:style w:type="paragraph" w:styleId="Style12">
    <w:name w:val="Указатель"/>
    <w:basedOn w:val="Normal"/>
    <w:qFormat/>
    <w:pPr>
      <w:suppressLineNumbers/>
    </w:pPr>
    <w:rPr>
      <w:rFonts w:cs="Noto Sans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Tahoma" w:cs="Noto Sans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Noto Sans"/>
    </w:rPr>
  </w:style>
  <w:style w:type="paragraph" w:styleId="ListParagraph">
    <w:name w:val="List Paragraph"/>
    <w:basedOn w:val="Normal"/>
    <w:link w:val="Style5"/>
    <w:qFormat/>
    <w:rsid w:val="009629ce"/>
    <w:pPr>
      <w:spacing w:before="0" w:after="0"/>
      <w:ind w:start="720"/>
      <w:contextualSpacing/>
    </w:pPr>
    <w:rPr/>
  </w:style>
  <w:style w:type="paragraph" w:styleId="Style61" w:customStyle="1">
    <w:name w:val="Style6"/>
    <w:basedOn w:val="Normal"/>
    <w:qFormat/>
    <w:rsid w:val="009629ce"/>
    <w:pPr>
      <w:widowControl w:val="false"/>
      <w:jc w:val="start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3" w:customStyle="1">
    <w:name w:val="Абзац списка1"/>
    <w:basedOn w:val="Normal"/>
    <w:uiPriority w:val="34"/>
    <w:qFormat/>
    <w:rsid w:val="009629ce"/>
    <w:pPr>
      <w:suppressAutoHyphens w:val="true"/>
      <w:spacing w:before="0" w:after="0"/>
      <w:ind w:start="720"/>
      <w:contextualSpacing/>
      <w:jc w:val="start"/>
    </w:pPr>
    <w:rPr>
      <w:rFonts w:ascii="Times New Roman" w:hAnsi="Times New Roman" w:eastAsia="Times New Roman" w:cs="Times New Roman"/>
      <w:color w:val="00000A"/>
      <w:kern w:val="2"/>
      <w:sz w:val="24"/>
      <w:szCs w:val="24"/>
      <w:lang w:eastAsia="zh-CN"/>
    </w:rPr>
  </w:style>
  <w:style w:type="paragraph" w:styleId="BlockText">
    <w:name w:val="Block Text"/>
    <w:basedOn w:val="Normal"/>
    <w:qFormat/>
    <w:rsid w:val="009629ce"/>
    <w:pPr>
      <w:widowControl w:val="false"/>
      <w:spacing w:lineRule="auto" w:line="262"/>
      <w:ind w:hanging="585" w:start="567" w:end="2200"/>
      <w:jc w:val="start"/>
    </w:pPr>
    <w:rPr>
      <w:rFonts w:ascii="Times New Roman" w:hAnsi="Times New Roman" w:eastAsia="Times New Roman" w:cs="Times New Roman"/>
      <w:szCs w:val="20"/>
    </w:rPr>
  </w:style>
  <w:style w:type="paragraph" w:styleId="14" w:customStyle="1">
    <w:name w:val="Обычный1"/>
    <w:link w:val="CharChar"/>
    <w:qFormat/>
    <w:rsid w:val="009629ce"/>
    <w:pPr>
      <w:widowControl/>
      <w:suppressAutoHyphens w:val="true"/>
      <w:bidi w:val="0"/>
      <w:spacing w:lineRule="auto" w:line="240" w:before="0" w:after="0"/>
      <w:jc w:val="star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paragraph" w:styleId="ConsPlusNormal1" w:customStyle="1">
    <w:name w:val="ConsPlusNormal"/>
    <w:next w:val="Normal"/>
    <w:link w:val="ConsPlusNormal"/>
    <w:qFormat/>
    <w:rsid w:val="009629ce"/>
    <w:pPr>
      <w:widowControl w:val="false"/>
      <w:suppressAutoHyphens w:val="true"/>
      <w:bidi w:val="0"/>
      <w:spacing w:lineRule="auto" w:line="240" w:before="0" w:after="0"/>
      <w:ind w:firstLine="720"/>
      <w:jc w:val="start"/>
    </w:pPr>
    <w:rPr>
      <w:rFonts w:ascii="Arial" w:hAnsi="Arial" w:eastAsia="Arial" w:cs="Times New Roman"/>
      <w:color w:val="auto"/>
      <w:kern w:val="2"/>
      <w:sz w:val="20"/>
      <w:szCs w:val="20"/>
      <w:lang w:val="ru-RU" w:eastAsia="ar-SA" w:bidi="ar-SA"/>
    </w:rPr>
  </w:style>
  <w:style w:type="paragraph" w:styleId="basictext1" w:customStyle="1">
    <w:name w:val="basic_text"/>
    <w:basedOn w:val="Normal"/>
    <w:link w:val="basictext"/>
    <w:qFormat/>
    <w:rsid w:val="00c979b8"/>
    <w:pPr>
      <w:spacing w:lineRule="auto" w:line="360" w:before="0" w:after="120"/>
      <w:ind w:firstLine="709"/>
    </w:pPr>
    <w:rPr>
      <w:rFonts w:ascii="Times New Roman" w:hAnsi="Times New Roman" w:eastAsia="Times New Roman" w:cs="Times New Roman"/>
      <w:sz w:val="24"/>
      <w:szCs w:val="28"/>
      <w:lang w:eastAsia="ja-JP"/>
    </w:rPr>
  </w:style>
  <w:style w:type="paragraph" w:styleId="headI" w:customStyle="1">
    <w:name w:val="head_I"/>
    <w:basedOn w:val="Normal"/>
    <w:qFormat/>
    <w:rsid w:val="00c979b8"/>
    <w:pPr>
      <w:keepNext w:val="true"/>
      <w:keepLines/>
      <w:pageBreakBefore/>
      <w:numPr>
        <w:ilvl w:val="0"/>
        <w:numId w:val="6"/>
      </w:numPr>
      <w:spacing w:before="480" w:after="240"/>
      <w:jc w:val="start"/>
      <w:outlineLvl w:val="0"/>
    </w:pPr>
    <w:rPr>
      <w:rFonts w:ascii="Times New Roman" w:hAnsi="Times New Roman" w:eastAsia="Times New Roman" w:cs="Times New Roman"/>
      <w:b/>
      <w:sz w:val="28"/>
      <w:szCs w:val="24"/>
      <w:lang w:eastAsia="ru-RU"/>
    </w:rPr>
  </w:style>
  <w:style w:type="paragraph" w:styleId="headII1" w:customStyle="1">
    <w:name w:val="head_II"/>
    <w:basedOn w:val="headI"/>
    <w:link w:val="headII"/>
    <w:qFormat/>
    <w:rsid w:val="00c979b8"/>
    <w:pPr>
      <w:pageBreakBefore w:val="false"/>
      <w:spacing w:before="240" w:after="240"/>
      <w:outlineLvl w:val="1"/>
    </w:pPr>
    <w:rPr>
      <w:color w:val="365F91"/>
      <w:sz w:val="24"/>
    </w:rPr>
  </w:style>
  <w:style w:type="paragraph" w:styleId="headIII" w:customStyle="1">
    <w:name w:val="head_III"/>
    <w:basedOn w:val="headII1"/>
    <w:qFormat/>
    <w:rsid w:val="00c979b8"/>
    <w:pPr/>
    <w:rPr/>
  </w:style>
  <w:style w:type="paragraph" w:styleId="list11" w:customStyle="1">
    <w:name w:val="list_1"/>
    <w:basedOn w:val="basictext1"/>
    <w:link w:val="list1"/>
    <w:qFormat/>
    <w:rsid w:val="00c979b8"/>
    <w:pPr>
      <w:numPr>
        <w:ilvl w:val="0"/>
        <w:numId w:val="7"/>
      </w:numPr>
      <w:ind w:start="1429"/>
    </w:pPr>
    <w:rPr/>
  </w:style>
  <w:style w:type="paragraph" w:styleId="Style13" w:customStyle="1">
    <w:name w:val="Сф_Абзац"/>
    <w:basedOn w:val="Normal"/>
    <w:link w:val="Style7"/>
    <w:qFormat/>
    <w:rsid w:val="004d6c05"/>
    <w:pPr>
      <w:widowControl w:val="false"/>
      <w:spacing w:lineRule="auto" w:line="288" w:before="120" w:after="120"/>
      <w:ind w:firstLine="851"/>
    </w:pPr>
    <w:rPr>
      <w:rFonts w:ascii="Times New Roman" w:hAnsi="Times New Roman" w:eastAsia="Times New Roman" w:cs="Times New Roman"/>
      <w:kern w:val="2"/>
      <w:sz w:val="26"/>
      <w:szCs w:val="20"/>
      <w:lang w:eastAsia="ru-RU"/>
    </w:rPr>
  </w:style>
  <w:style w:type="paragraph" w:styleId="22" w:customStyle="1">
    <w:name w:val="Абзац списка2"/>
    <w:basedOn w:val="Normal"/>
    <w:qFormat/>
    <w:rsid w:val="006d035f"/>
    <w:pPr>
      <w:spacing w:lineRule="auto" w:line="276" w:before="0" w:after="200"/>
      <w:ind w:start="720"/>
      <w:contextualSpacing/>
      <w:jc w:val="start"/>
    </w:pPr>
    <w:rPr>
      <w:rFonts w:ascii="Calibri" w:hAnsi="Calibri" w:eastAsia="Times New Roman" w:cs="Times New Roman"/>
    </w:rPr>
  </w:style>
  <w:style w:type="paragraph" w:styleId="Style14" w:customStyle="1">
    <w:name w:val="Содержимое таблицы"/>
    <w:basedOn w:val="Normal"/>
    <w:qFormat/>
    <w:rsid w:val="000f4530"/>
    <w:pPr>
      <w:spacing w:lineRule="auto" w:line="276" w:before="0" w:after="200"/>
      <w:jc w:val="start"/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Style15" w:customStyle="1">
    <w:name w:val="Заголовок таблицы"/>
    <w:basedOn w:val="Normal"/>
    <w:qFormat/>
    <w:rsid w:val="000f4530"/>
    <w:pPr>
      <w:spacing w:lineRule="auto" w:line="276" w:before="57" w:after="57"/>
      <w:jc w:val="center"/>
    </w:pPr>
    <w:rPr>
      <w:rFonts w:ascii="Times New Roman" w:hAnsi="Times New Roman" w:eastAsia="Calibri" w:cs="Times New Roman"/>
      <w:b/>
      <w:bCs/>
      <w:lang w:eastAsia="zh-CN"/>
    </w:rPr>
  </w:style>
  <w:style w:type="paragraph" w:styleId="23" w:customStyle="1">
    <w:name w:val="_Заголовок 2"/>
    <w:basedOn w:val="Normal"/>
    <w:link w:val="21"/>
    <w:qFormat/>
    <w:rsid w:val="008e4700"/>
    <w:pPr>
      <w:keepNext w:val="true"/>
      <w:keepLines/>
      <w:tabs>
        <w:tab w:val="clear" w:pos="708"/>
        <w:tab w:val="left" w:pos="1134" w:leader="none"/>
      </w:tabs>
      <w:spacing w:lineRule="auto" w:line="288"/>
      <w:ind w:firstLine="624"/>
      <w:outlineLvl w:val="1"/>
    </w:pPr>
    <w:rPr>
      <w:rFonts w:ascii="Times New Roman" w:hAnsi="Times New Roman" w:eastAsia="Calibri" w:cs="Times New Roman"/>
      <w:b/>
      <w:color w:val="00000A"/>
      <w:spacing w:val="2"/>
      <w:sz w:val="26"/>
      <w:szCs w:val="26"/>
      <w:lang w:val="zh-CN" w:eastAsia="zh-CN"/>
    </w:rPr>
  </w:style>
  <w:style w:type="paragraph" w:styleId="NoSpacing">
    <w:name w:val="No Spacing"/>
    <w:uiPriority w:val="1"/>
    <w:qFormat/>
    <w:rsid w:val="00284449"/>
    <w:pPr>
      <w:widowControl/>
      <w:suppressAutoHyphens w:val="true"/>
      <w:bidi w:val="0"/>
      <w:spacing w:lineRule="auto" w:line="240" w:before="0" w:after="0"/>
      <w:jc w:val="start"/>
    </w:pPr>
    <w:rPr>
      <w:rFonts w:ascii="Times New Roman" w:hAnsi="Times New Roman" w:eastAsia="Times New Roman" w:cs="Times New Roman"/>
      <w:b/>
      <w:bCs/>
      <w:color w:val="000000"/>
      <w:kern w:val="0"/>
      <w:sz w:val="24"/>
      <w:szCs w:val="24"/>
      <w:lang w:val="ru-RU" w:eastAsia="ru-RU" w:bidi="ar-SA"/>
    </w:rPr>
  </w:style>
  <w:style w:type="paragraph" w:styleId="BalloonText">
    <w:name w:val="Balloon Text"/>
    <w:basedOn w:val="Normal"/>
    <w:link w:val="Style9"/>
    <w:uiPriority w:val="99"/>
    <w:semiHidden/>
    <w:unhideWhenUsed/>
    <w:qFormat/>
    <w:rsid w:val="002b3474"/>
    <w:pPr/>
    <w:rPr>
      <w:rFonts w:ascii="Segoe UI" w:hAnsi="Segoe UI" w:cs="Segoe UI"/>
      <w:sz w:val="18"/>
      <w:szCs w:val="18"/>
    </w:rPr>
  </w:style>
  <w:style w:type="paragraph" w:styleId="Style16" w:customStyle="1">
    <w:name w:val="_Текст таблицы"/>
    <w:basedOn w:val="Normal"/>
    <w:link w:val="Style10"/>
    <w:qFormat/>
    <w:rsid w:val="00405ea1"/>
    <w:pPr>
      <w:jc w:val="start"/>
    </w:pPr>
    <w:rPr>
      <w:rFonts w:ascii="Calibri" w:hAnsi="Calibri" w:eastAsia="Times New Roman" w:cs="Times New Roman"/>
      <w:sz w:val="20"/>
      <w:szCs w:val="20"/>
      <w:lang w:val="zh-CN" w:eastAsia="zh-CN"/>
    </w:rPr>
  </w:style>
  <w:style w:type="paragraph" w:styleId="NormalWeb">
    <w:name w:val="Normal (Web)"/>
    <w:basedOn w:val="Normal"/>
    <w:unhideWhenUsed/>
    <w:qFormat/>
    <w:rsid w:val="00695315"/>
    <w:pPr>
      <w:spacing w:beforeAutospacing="1" w:afterAutospacing="1"/>
      <w:jc w:val="start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docdata" w:customStyle="1">
    <w:name w:val="docdata"/>
    <w:basedOn w:val="Normal"/>
    <w:qFormat/>
    <w:rsid w:val="00695315"/>
    <w:pPr>
      <w:spacing w:beforeAutospacing="1" w:afterAutospacing="1"/>
      <w:jc w:val="start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andardWW" w:customStyle="1">
    <w:name w:val="Standard (WW)"/>
    <w:qFormat/>
    <w:rsid w:val="00f91271"/>
    <w:pPr>
      <w:widowControl w:val="false"/>
      <w:suppressAutoHyphens w:val="true"/>
      <w:bidi w:val="0"/>
      <w:spacing w:lineRule="auto" w:line="240" w:before="0" w:after="200"/>
      <w:jc w:val="start"/>
    </w:pPr>
    <w:rPr>
      <w:rFonts w:ascii="Liberation Serif" w:hAnsi="Liberation Serif" w:eastAsia="NSimSun" w:cs="Lucida Sans"/>
      <w:color w:val="auto"/>
      <w:kern w:val="0"/>
      <w:sz w:val="24"/>
      <w:szCs w:val="24"/>
      <w:lang w:val="ru-RU" w:eastAsia="zh-CN" w:bidi="hi-IN"/>
    </w:rPr>
  </w:style>
  <w:style w:type="numbering" w:styleId="user2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9629ce"/>
    <w:pPr>
      <w:spacing w:after="0" w:line="240" w:lineRule="auto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oleObject" Target="embeddings/oleObject1.bin"/><Relationship Id="rId4" Type="http://schemas.openxmlformats.org/officeDocument/2006/relationships/image" Target="media/image2.png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20593</TotalTime>
  <Application>LibreOffice/25.8.7.3$Linux_X86_64 LibreOffice_project/30742500f2d3eb4366ac312fa33d3dcabdb3eba5</Application>
  <AppVersion>15.0000</AppVersion>
  <Pages>29</Pages>
  <Words>8702</Words>
  <Characters>60641</Characters>
  <CharactersWithSpaces>68448</CharactersWithSpaces>
  <Paragraphs>981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2023-03-10T09:28:00Z</dcterms:created>
  <dc:creator>ЦОВ-112</dc:creator>
  <dc:description/>
  <dc:language>ru-RU</dc:language>
  <cp:lastModifiedBy/>
  <cp:lastPrinted>2025-03-14T08:24:00Z</cp:lastPrinted>
  <dcterms:modified xsi:type="dcterms:W3CDTF">2026-09-11T14:40:42Z</dcterms:modified>
  <cp:revision>84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