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/>
      </w:pPr>
      <w:r>
        <w:rPr>
          <w:rStyle w:val="Strong1"/>
          <w:rFonts w:cs="Times New Roman" w:ascii="Times New Roman" w:hAnsi="Times New Roman"/>
          <w:b w:val="false"/>
          <w:color w:val="000000"/>
          <w:sz w:val="28"/>
          <w:szCs w:val="28"/>
          <w:lang w:eastAsia="ru-RU"/>
        </w:rPr>
        <w:t>ОКПД 2: 26.30.50.131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</w:rPr>
        <w:t>оставка досмотрового оборудования</w:t>
      </w:r>
    </w:p>
    <w:p>
      <w:pPr>
        <w:pStyle w:val="Normal"/>
        <w:widowControl w:val="false"/>
        <w:spacing w:lineRule="auto" w:line="264" w:before="0" w:after="0"/>
        <w:jc w:val="center"/>
        <w:rPr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для нужд Кубанского филиала.</w:t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64" w:before="0" w:after="0"/>
        <w:ind w:firstLine="851" w:left="0"/>
        <w:jc w:val="center"/>
        <w:outlineLvl w:val="1"/>
        <w:rPr>
          <w:sz w:val="24"/>
          <w:szCs w:val="24"/>
        </w:rPr>
      </w:pPr>
      <w:bookmarkStart w:id="1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1"/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сведения………………………………………………………………………….……………..3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продукции.…………………………………………………….3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продукции.………………………………………………………………………………3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продукции……………………………………………...3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продукции…………………………………………………………………….4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3. Требования к документации по ценообразованию на этапе закупки...………………………..…...8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hanging="0" w:left="720"/>
        <w:jc w:val="center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1. Общ</w:t>
      </w:r>
      <w:bookmarkStart w:id="2" w:name="_Toc75446566"/>
      <w:bookmarkStart w:id="3" w:name="_Toc125473240"/>
      <w:bookmarkStart w:id="4" w:name="_Toc125476050"/>
      <w:bookmarkStart w:id="5" w:name="_Toc51339692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2"/>
      <w:bookmarkEnd w:id="3"/>
      <w:bookmarkEnd w:id="4"/>
      <w:bookmarkEnd w:id="5"/>
    </w:p>
    <w:p>
      <w:pPr>
        <w:pStyle w:val="Normal"/>
        <w:numPr>
          <w:ilvl w:val="0"/>
          <w:numId w:val="0"/>
        </w:numPr>
        <w:spacing w:lineRule="auto" w:line="240" w:before="120" w:after="60"/>
        <w:ind w:hanging="0" w:left="720"/>
        <w:jc w:val="center"/>
        <w:outlineLvl w:val="0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6" w:name="_Toc125476051"/>
      <w:bookmarkStart w:id="7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6"/>
      <w:bookmarkEnd w:id="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</w:t>
      </w:r>
    </w:p>
    <w:p>
      <w:pPr>
        <w:pStyle w:val="Normal"/>
        <w:widowControl w:val="false"/>
        <w:spacing w:lineRule="auto" w:line="264" w:before="0" w:after="0"/>
        <w:jc w:val="both"/>
        <w:rPr>
          <w:sz w:val="24"/>
          <w:szCs w:val="24"/>
        </w:rPr>
      </w:pPr>
      <w:r>
        <w:rPr>
          <w:rStyle w:val="Strong1"/>
          <w:rFonts w:cs="Times New Roman" w:ascii="Times New Roman" w:hAnsi="Times New Roman"/>
          <w:b w:val="false"/>
          <w:color w:val="000000"/>
          <w:sz w:val="24"/>
          <w:szCs w:val="24"/>
          <w:lang w:eastAsia="ru-RU"/>
        </w:rPr>
        <w:t>ОКПД 2: 26.30.50.131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оставка досмотрового оборудования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для нужд Кубанского филиала.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contextualSpacing/>
        <w:outlineLvl w:val="1"/>
        <w:rPr>
          <w:sz w:val="24"/>
          <w:szCs w:val="24"/>
        </w:rPr>
      </w:pPr>
      <w:bookmarkStart w:id="8" w:name="_Toc125473242"/>
      <w:bookmarkStart w:id="9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8"/>
      <w:bookmarkEnd w:id="9"/>
    </w:p>
    <w:p>
      <w:pPr>
        <w:pStyle w:val="Normal"/>
        <w:numPr>
          <w:ilvl w:val="1"/>
        </w:numPr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Calibri" w:cs="Times New Roman"/>
          <w:b w:val="false"/>
          <w:bCs w:val="false"/>
          <w:iCs/>
          <w:color w:val="000000"/>
          <w:kern w:val="0"/>
          <w:lang w:val="ru-RU" w:bidi="ar-SA"/>
        </w:rPr>
      </w:pPr>
      <w:r>
        <w:rPr>
          <w:rFonts w:eastAsia="Times New Roman" w:cs="Times New Roman" w:ascii="Times New Roman" w:hAnsi="Times New Roman"/>
          <w:b w:val="false"/>
          <w:bCs/>
          <w:iCs/>
          <w:color w:val="000000"/>
          <w:kern w:val="0"/>
          <w:sz w:val="24"/>
          <w:szCs w:val="24"/>
          <w:shd w:fill="FFFFFF" w:val="clear"/>
          <w:lang w:val="ru-RU" w:eastAsia="ru-RU" w:bidi="ar-SA"/>
        </w:rPr>
        <w:t>Исполнение обязательств по Лоту № 0012-ТПиР БЕЗОП-2026-КЧФ 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ГЭС-ГАЭС, планируемый к заключению договора между АО «УК ГидроОГК» и АО «Гидроремонт-ВКК».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0"/>
        <w:jc w:val="center"/>
        <w:outlineLvl w:val="0"/>
        <w:rPr>
          <w:sz w:val="24"/>
          <w:szCs w:val="24"/>
        </w:rPr>
      </w:pPr>
      <w:bookmarkStart w:id="10" w:name="_Toc125473249"/>
      <w:bookmarkStart w:id="11" w:name="_Toc125476056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2. </w:t>
      </w:r>
      <w:bookmarkStart w:id="12" w:name="_Toc51339693"/>
      <w:bookmarkStart w:id="13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0"/>
      <w:bookmarkEnd w:id="11"/>
    </w:p>
    <w:p>
      <w:pPr>
        <w:pStyle w:val="Normal"/>
        <w:numPr>
          <w:ilvl w:val="0"/>
          <w:numId w:val="0"/>
        </w:numPr>
        <w:spacing w:lineRule="auto" w:line="240" w:before="120" w:after="0"/>
        <w:ind w:hanging="0" w:left="717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1"/>
          <w:numId w:val="3"/>
        </w:numPr>
        <w:spacing w:lineRule="auto" w:line="240" w:before="120" w:after="0"/>
        <w:ind w:hanging="567" w:left="567"/>
        <w:outlineLvl w:val="3"/>
        <w:rPr>
          <w:sz w:val="24"/>
          <w:szCs w:val="24"/>
        </w:rPr>
      </w:pPr>
      <w:bookmarkStart w:id="14" w:name="_Toc7544657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4"/>
    </w:p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1227" w:left="1227"/>
        <w:outlineLvl w:val="2"/>
        <w:rPr>
          <w:sz w:val="24"/>
          <w:szCs w:val="24"/>
        </w:rPr>
      </w:pPr>
      <w:bookmarkStart w:id="15" w:name="_Toc125473250"/>
      <w:bookmarkStart w:id="16" w:name="_Toc125476057"/>
      <w:bookmarkStart w:id="17" w:name="_Toc75446575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bookmarkStart w:id="18" w:name="_Toc125473251"/>
      <w:bookmarkStart w:id="19" w:name="_Toc125476058"/>
      <w:bookmarkStart w:id="20" w:name="_Toc75446576"/>
      <w:bookmarkStart w:id="21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1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8"/>
      <w:bookmarkEnd w:id="19"/>
      <w:bookmarkEnd w:id="20"/>
    </w:p>
    <w:tbl>
      <w:tblPr>
        <w:tblW w:w="10258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94"/>
        <w:gridCol w:w="6637"/>
        <w:gridCol w:w="1331"/>
        <w:gridCol w:w="1395"/>
      </w:tblGrid>
      <w:tr>
        <w:trPr/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</w:t>
            </w:r>
          </w:p>
        </w:tc>
      </w:tr>
      <w:tr>
        <w:trPr/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Фонарь досмотровый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25" w:hRule="atLeast"/>
        </w:trPr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Досмотровое зеркало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51" w:hRule="atLeast"/>
        </w:trPr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Металлодетектор ручной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51" w:hRule="atLeast"/>
        </w:trPr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Ионно-дрейфовый детектор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bookmarkStart w:id="22" w:name="_Toc125476060"/>
      <w:bookmarkStart w:id="23" w:name="_Toc75446579"/>
      <w:bookmarkStart w:id="24" w:name="_Toc125473253"/>
      <w:bookmarkStart w:id="25" w:name="_Toc50125127"/>
      <w:bookmarkStart w:id="26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7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27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2"/>
      <w:bookmarkEnd w:id="23"/>
      <w:bookmarkEnd w:id="24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217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71"/>
        <w:gridCol w:w="3549"/>
        <w:gridCol w:w="2241"/>
        <w:gridCol w:w="3555"/>
      </w:tblGrid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color="auto" w:fill="FFFFFF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jc w:val="center"/>
              <w:rPr>
                <w:sz w:val="24"/>
                <w:szCs w:val="24"/>
              </w:rPr>
            </w:pPr>
            <w:r>
              <w:rPr>
                <w:rStyle w:val="Strong1"/>
                <w:rFonts w:cs="Times New Roman" w:ascii="Times New Roman" w:hAnsi="Times New Roman"/>
                <w:b w:val="false"/>
                <w:color w:val="000000"/>
                <w:sz w:val="24"/>
                <w:szCs w:val="24"/>
                <w:lang w:eastAsia="ru-RU"/>
              </w:rPr>
              <w:t>ОКПД 2: 26.30.50.131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оставка досмотрового оборудования</w:t>
            </w:r>
          </w:p>
          <w:p>
            <w:pPr>
              <w:pStyle w:val="Normal"/>
              <w:widowControl w:val="false"/>
              <w:spacing w:lineRule="auto" w:line="264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для нужд Кубанского филиала.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30 календарных дней с даты подписания договора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  <w:bookmarkStart w:id="28" w:name="_Toc125476061_Копия_1_Копия_1_Копия_1_Ко"/>
      <w:bookmarkStart w:id="29" w:name="_Toc125473255_Копия_1_Копия_1_Копия_1_Ко"/>
      <w:bookmarkStart w:id="30" w:name="_Toc125476061_Копия_1_Копия_1_Копия_1_Ко"/>
      <w:bookmarkStart w:id="31" w:name="_Toc125473255_Копия_1_Копия_1_Копия_1_Ко"/>
      <w:bookmarkStart w:id="32" w:name="_Toc125473255_Копия_1_Копия_1"/>
      <w:bookmarkStart w:id="33" w:name="_Toc125473255_Копия_1"/>
      <w:bookmarkStart w:id="34" w:name="_Toc125476061_Копия_1_Копия_1"/>
      <w:bookmarkStart w:id="35" w:name="_Toc125476061_Копия_1"/>
      <w:bookmarkStart w:id="36" w:name="_Toc125473255_Копия_1_Копия_1_Копия_1"/>
      <w:bookmarkStart w:id="37" w:name="_Toc125476061_Копия_1_Копия_1_Копия_1"/>
      <w:bookmarkStart w:id="38" w:name="_Toc125476061_Копия_1_Копия_1_Копия_1_Ко"/>
      <w:bookmarkStart w:id="39" w:name="_Toc125473255_Копия_1_Копия_1_Копия_1_Ко"/>
      <w:bookmarkStart w:id="40" w:name="_Toc125476061_Копия_1_Копия_1_Копия_1_Ко"/>
      <w:bookmarkStart w:id="41" w:name="_Toc125473255_Копия_1_Копия_1_Копия_1_Ко"/>
      <w:bookmarkStart w:id="42" w:name="_Toc125476061_Копия_1_Копия_1_Копия_1_Ко"/>
      <w:bookmarkStart w:id="43" w:name="_Toc125473255_Копия_1_Копия_1_Копия_1_Ко"/>
      <w:bookmarkStart w:id="44" w:name="_Toc125473255_Копия_1_Копия_1"/>
      <w:bookmarkStart w:id="45" w:name="_Toc125473255_Копия_1"/>
      <w:bookmarkStart w:id="46" w:name="_Toc125476061_Копия_1_Копия_1"/>
      <w:bookmarkStart w:id="47" w:name="_Toc125476061_Копия_1"/>
      <w:bookmarkStart w:id="48" w:name="_Toc125473255_Копия_1_Копия_1_Копия_1"/>
      <w:bookmarkStart w:id="49" w:name="_Toc125476061_Копия_1_Копия_1_Копия_1"/>
      <w:bookmarkStart w:id="50" w:name="_Toc125476061_Копия_1_Копия_1_Копия_1_Ко"/>
      <w:bookmarkStart w:id="51" w:name="_Toc125473255_Копия_1_Копия_1_Копия_1_Ко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65536"/>
        </w:sectPr>
        <w:pStyle w:val="Normal"/>
        <w:spacing w:lineRule="auto" w:line="240" w:before="0" w:after="0"/>
        <w:rPr>
          <w:sz w:val="24"/>
          <w:szCs w:val="24"/>
        </w:rPr>
      </w:pPr>
      <w:bookmarkStart w:id="52" w:name="_Toc125476061_Копия_1_Копия_1_Копия_1_Ко"/>
      <w:bookmarkStart w:id="53" w:name="_Toc125473255_Копия_1_Копия_1_Копия_1_Ко"/>
      <w:bookmarkEnd w:id="52"/>
      <w:bookmarkEnd w:id="53"/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                    </w:t>
      </w:r>
      <w:bookmarkStart w:id="54" w:name="_Toc125476062_Копия_1"/>
      <w:bookmarkStart w:id="55" w:name="_Toc125473256_Копия_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качеству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продукции</w:t>
      </w:r>
      <w:bookmarkEnd w:id="54"/>
      <w:bookmarkEnd w:id="5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ind w:hanging="0" w:left="119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shd w:fill="FFFFFF" w:val="clear"/>
          <w:lang w:eastAsia="ar-SA"/>
        </w:rPr>
        <w:t>Наименование продукции: согласно Таблицы 1.1 Перечень и объем закупаемой продукции</w:t>
      </w:r>
      <w:r>
        <w:rPr>
          <w:rFonts w:eastAsia="Times New Roman" w:cs="Times New Roman" w:ascii="Times New Roman" w:hAnsi="Times New Roman"/>
          <w:bCs/>
          <w:iCs/>
          <w:color w:val="000000"/>
          <w:sz w:val="24"/>
          <w:szCs w:val="24"/>
          <w:shd w:fill="FFFFFF" w:val="clear"/>
          <w:lang w:eastAsia="ru-RU"/>
        </w:rPr>
        <w:t>.</w:t>
      </w:r>
    </w:p>
    <w:tbl>
      <w:tblPr>
        <w:tblW w:w="14620" w:type="dxa"/>
        <w:jc w:val="left"/>
        <w:tblInd w:w="13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909"/>
        <w:gridCol w:w="4345"/>
        <w:gridCol w:w="3838"/>
        <w:gridCol w:w="2475"/>
        <w:gridCol w:w="3053"/>
      </w:tblGrid>
      <w:tr>
        <w:trPr>
          <w:trHeight w:val="675" w:hRule="atLeast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05" w:hRule="atLeast"/>
        </w:trPr>
        <w:tc>
          <w:tcPr>
            <w:tcW w:w="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4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9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требованиям.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7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Фонарь досмотровый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38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contextualSpacing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160"/>
              <w:rPr>
                <w:lang w:val="ru-RU" w:eastAsia="zh-C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zh-CN" w:bidi="hi-IN"/>
              </w:rPr>
              <w:t>ФПС 4/6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33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contextualSpacing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питания: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contextualSpacing/>
              <w:outlineLvl w:val="1"/>
              <w:rPr/>
            </w:pP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>Аккумуляторный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30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rong"/>
                <w:rFonts w:ascii="Times New Roman" w:hAnsi="Times New Roman"/>
                <w:color w:val="000000"/>
                <w:sz w:val="24"/>
                <w:szCs w:val="24"/>
              </w:rPr>
              <w:t>Максимальная освещённость на расстоянии 1 м,  люкс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>15 000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Батарея: А/ч,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/>
            </w:pP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62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зарядное устройство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>В комплекте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Освещение на расстоянии, м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Hyperlink"/>
                <w:rFonts w:ascii="Times New Roman" w:hAnsi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8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Досмотровое зеркало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contextualSpacing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Сфинкс ДУ-101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3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изделия, мм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700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3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2000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Зеркало,мм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43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 поворота зеркала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 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светодиодов шт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ААА (4.5В)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94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Вес, кг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Металлодетектор ручной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contextualSpacing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0" w:after="160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SPHINX Сфинкс ВМ-611 ВИХРЬ ПРО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Max глубина обнаружения, м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Частота обнаружения, Гц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hyperlink r:id="rId3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аккумулятор</w:t>
              </w:r>
            </w:hyperlink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Индикатор заряда батареи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непрерывной работы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 часов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Вес, кг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Детектор взрывчатых веществ Кербер-Т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измерения приведенной подвижности анализируемых ионов,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см2 В-1 с-1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635" w:hRule="atLeast"/>
        </w:trPr>
        <w:tc>
          <w:tcPr>
            <w:tcW w:w="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43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детектирования малолетучих органических веществ по 2,4,6-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тринитротолуолу (ТНТ), г,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1,0·10-11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3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До 2,0·10-7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значение концентрации паров ТНТ, полученное на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метрологически аттестованном оборудовании, г/см3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1,0·10-13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установления рабочего режима, мин,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измерения, с,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очистки детектора при нормальных условиях эксплуатации, мин,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ложного срабатывания %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1.4.8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Масса, кг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более 3,7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1.4.9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непрерывной работы, ч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4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4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177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 продукцию устанавливается гарантийный срок не менее 36 (тридцати шести) месяцев с даты ввода в эксплуатацию, но не более 42 месяцев с момента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83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01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Сертификат страны происхождения (РФ)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9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>
          <w:trHeight w:val="4116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1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200"/>
              <w:ind w:hanging="0" w:left="57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4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before="0" w:after="14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sectPr>
      <w:footerReference w:type="default" r:id="rId4"/>
      <w:footerReference w:type="first" r:id="rId5"/>
      <w:type w:val="nextPage"/>
      <w:pgSz w:orient="landscape" w:w="16838" w:h="11906"/>
      <w:pgMar w:left="454" w:right="454" w:gutter="0" w:header="0" w:top="450" w:footer="0" w:bottom="624"/>
      <w:pgNumType w:fmt="decimal"/>
      <w:formProt w:val="false"/>
      <w:textDirection w:val="lrTb"/>
      <w:docGrid w:type="default" w:linePitch="360" w:charSpace="6553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7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3">
    <w:name w:val="Heading 3"/>
    <w:basedOn w:val="Title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</w:rPr>
  </w:style>
  <w:style w:type="paragraph" w:styleId="Heading4">
    <w:name w:val="Heading 4"/>
    <w:basedOn w:val="Title"/>
    <w:next w:val="BodyText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 w:customStyle="1">
    <w:name w:val="Нижний колонтитул Знак1"/>
    <w:basedOn w:val="DefaultParagraphFont"/>
    <w:qFormat/>
    <w:rPr/>
  </w:style>
  <w:style w:type="character" w:styleId="Style6" w:customStyle="1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 w:customStyle="1">
    <w:name w:val="line number1"/>
    <w:qFormat/>
    <w:rPr/>
  </w:style>
  <w:style w:type="character" w:styleId="Linenumber">
    <w:name w:val="line number"/>
    <w:qFormat/>
    <w:rPr/>
  </w:style>
  <w:style w:type="character" w:styleId="Style7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8" w:customStyle="1">
    <w:name w:val="Маркеры"/>
    <w:qFormat/>
    <w:rPr>
      <w:rFonts w:ascii="OpenSymbol" w:hAnsi="OpenSymbol" w:eastAsia="OpenSymbol" w:cs="OpenSymbol"/>
    </w:rPr>
  </w:style>
  <w:style w:type="character" w:styleId="Style9" w:customStyle="1">
    <w:name w:val="Ссылка указателя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qFormat/>
    <w:rPr>
      <w:b/>
      <w:bCs/>
      <w:sz w:val="20"/>
      <w:szCs w:val="20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6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Style17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hanging="0" w:left="283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hanging="0" w:left="567"/>
    </w:pPr>
    <w:rPr/>
  </w:style>
  <w:style w:type="paragraph" w:styleId="Annotationtext">
    <w:name w:val="annotation text"/>
    <w:basedOn w:val="Normal"/>
    <w:link w:val="Style10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qFormat/>
    <w:pPr/>
    <w:rPr>
      <w:b/>
      <w:bCs/>
    </w:rPr>
  </w:style>
  <w:style w:type="paragraph" w:styleId="Header">
    <w:name w:val="Header"/>
    <w:basedOn w:val="Style14"/>
    <w:pPr>
      <w:suppressLineNumbers/>
      <w:tabs>
        <w:tab w:val="clear" w:pos="708"/>
        <w:tab w:val="center" w:pos="5074" w:leader="none"/>
        <w:tab w:val="right" w:pos="1014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9124036821" w:customStyle="1">
    <w:name w:val="9124036821"/>
    <w:qFormat/>
  </w:style>
  <w:style w:type="numbering" w:styleId="26549995371" w:customStyle="1">
    <w:name w:val="26549995371"/>
    <w:qFormat/>
  </w:style>
  <w:style w:type="numbering" w:styleId="8885772351" w:customStyle="1">
    <w:name w:val="888577235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https://www.vseinstrumenti.ru/tag-page/metalloiskateli-na-akkumulyatore-1718915/" TargetMode="Externa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18931</TotalTime>
  <Application>AlterOffice/2026.2.1.0$Linux_X86_64 LibreOffice_project/f008988ffacaa0b2bf57911c2759d08ca79831df</Application>
  <AppVersion>15.0000</AppVersion>
  <Pages>7</Pages>
  <Words>787</Words>
  <Characters>5458</Characters>
  <CharactersWithSpaces>6152</CharactersWithSpaces>
  <Paragraphs>214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2024-11-20T06:48:00Z</dcterms:created>
  <dc:creator>Бухарев Сергей Викторович</dc:creator>
  <dc:description/>
  <dc:language>ru-RU</dc:language>
  <cp:lastModifiedBy>velikosvyatnn@corp.gidroogk.com</cp:lastModifiedBy>
  <cp:lastPrinted>2025-08-04T09:31:00Z</cp:lastPrinted>
  <dcterms:modified xsi:type="dcterms:W3CDTF">2026-09-11T18:34:53Z</dcterms:modified>
  <cp:revision>177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