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ind w:firstLine="851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Heading1"/>
        <w:widowControl w:val="false"/>
        <w:spacing w:before="0" w:after="0"/>
        <w:jc w:val="center"/>
        <w:rPr/>
      </w:pPr>
      <w:r>
        <w:rPr>
          <w:color w:val="000000"/>
          <w:lang w:eastAsia="ru-RU"/>
        </w:rPr>
        <w:t>ОКПД 2: 26.70.13.000</w:t>
      </w:r>
      <w:r>
        <w:rPr>
          <w:b/>
          <w:bCs/>
          <w:color w:val="000000"/>
          <w:lang w:eastAsia="ru-RU"/>
        </w:rPr>
        <w:t xml:space="preserve"> </w:t>
      </w:r>
      <w:r>
        <w:rPr>
          <w:lang w:eastAsia="ru-RU"/>
        </w:rPr>
        <w:t>Поставка оборудования охранного телевидения</w:t>
      </w:r>
      <w:r>
        <w:rPr>
          <w:color w:val="000000"/>
          <w:lang w:eastAsia="ru-RU"/>
        </w:rPr>
        <w:t xml:space="preserve"> для нужд Кубанского филиала</w:t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ind w:firstLine="851" w:left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2"/>
            <w:shd w:fill="FFFFFF" w:val="clear"/>
            <w:spacing w:before="0" w:after="0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sz w:val="24"/>
              <w:b/>
              <w:szCs w:val="24"/>
              <w:rFonts w:cs="Times New Roman" w:ascii="Times New Roman" w:hAnsi="Times New Roman"/>
              <w:lang w:eastAsia="ru-RU"/>
            </w:rPr>
            <w:instrText xml:space="preserve"> TOC \o "1-3" \h</w:instrText>
          </w:r>
          <w:r>
            <w:rPr>
              <w:sz w:val="24"/>
              <w:b/>
              <w:szCs w:val="24"/>
              <w:rFonts w:cs="Times New Roman" w:ascii="Times New Roman" w:hAnsi="Times New Roman"/>
              <w:lang w:eastAsia="ru-RU"/>
            </w:rPr>
            <w:fldChar w:fldCharType="separate"/>
          </w:r>
          <w:r>
            <w:rPr>
              <w:rFonts w:cs="Times New Roman" w:ascii="Times New Roman" w:hAnsi="Times New Roman"/>
              <w:b/>
              <w:sz w:val="24"/>
              <w:szCs w:val="24"/>
              <w:lang w:eastAsia="ru-RU"/>
            </w:rPr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1.Общие сведения</w:t>
            <w:tab/>
            <w:t>3</w:t>
          </w:r>
        </w:p>
        <w:p>
          <w:pPr>
            <w:pStyle w:val="TOC2"/>
            <w:shd w:val="clear" w:color="auto" w:fill="FFFFFF"/>
            <w:spacing w:before="0" w:after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fill="FFFFFF" w:val="clear"/>
            </w:rPr>
            <w:t>1.1.</w:t>
            <w:tab/>
            <w:t>Наименование закупаемой продукции.</w:t>
            <w:tab/>
            <w:t>3</w:t>
          </w:r>
        </w:p>
        <w:p>
          <w:pPr>
            <w:pStyle w:val="TOC2"/>
            <w:shd w:val="clear" w:color="auto" w:fill="FFFFFF"/>
            <w:spacing w:before="0" w:after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fill="FFFFFF" w:val="clear"/>
            </w:rPr>
            <w:t xml:space="preserve"> </w:t>
          </w:r>
          <w:r>
            <w:rPr>
              <w:rFonts w:ascii="Times New Roman" w:hAnsi="Times New Roman"/>
              <w:color w:val="000000"/>
              <w:sz w:val="24"/>
              <w:szCs w:val="24"/>
              <w:shd w:fill="FFFFFF" w:val="clear"/>
            </w:rPr>
            <w:t>1.2.</w:t>
            <w:tab/>
            <w:t>Цель использования закупаемой продукции.</w:t>
            <w:tab/>
            <w:t>3</w:t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2.Требования к продукции.</w:t>
            <w:tab/>
            <w:t>3</w:t>
          </w:r>
        </w:p>
        <w:p>
          <w:pPr>
            <w:pStyle w:val="TOC3"/>
            <w:shd w:val="clear" w:color="auto" w:fill="FFFFFF"/>
            <w:spacing w:before="0" w:after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fill="FFFFFF" w:val="clear"/>
            </w:rPr>
            <w:t>2.1.1</w:t>
            <w:tab/>
            <w:t>Перечень и объем закупаемой продукции</w:t>
            <w:tab/>
            <w:t>3</w:t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Таблица 1.1 Перечень и объем закупаемой продукции</w:t>
            <w:tab/>
            <w:t>3</w:t>
          </w:r>
        </w:p>
        <w:p>
          <w:pPr>
            <w:pStyle w:val="TOC3"/>
            <w:shd w:val="clear" w:color="auto" w:fill="FFFFFF"/>
            <w:spacing w:before="0" w:after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fill="FFFFFF" w:val="clear"/>
            </w:rPr>
            <w:t>2.1.2</w:t>
            <w:tab/>
            <w:t>Требования к срокам поставки продукции</w:t>
            <w:tab/>
            <w:t>3</w:t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Таблица 2.1 Требования по срокам поставки продукции</w:t>
            <w:tab/>
            <w:t>3</w:t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2.2 Требование к качеству продукции……………………………………………………………..……4</w:t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Таблица 3. Требования к продукции</w:t>
            <w:tab/>
            <w:t>4</w:t>
          </w:r>
        </w:p>
        <w:p>
          <w:pPr>
            <w:pStyle w:val="TOC1"/>
            <w:spacing w:before="0" w:after="0"/>
            <w:rPr>
              <w:b w:val="false"/>
              <w:sz w:val="24"/>
              <w:szCs w:val="24"/>
            </w:rPr>
          </w:pPr>
          <w:r>
            <w:rPr>
              <w:b w:val="false"/>
              <w:color w:val="000000"/>
              <w:sz w:val="24"/>
              <w:szCs w:val="24"/>
              <w:shd w:fill="FFFFFF" w:val="clear"/>
            </w:rPr>
            <w:t>3.Требования к документации по ценообразованию на этапе закупки.</w:t>
            <w:tab/>
            <w:t>6</w:t>
          </w:r>
          <w:r>
            <w:rPr>
              <w:sz w:val="24"/>
              <w:b w:val="false"/>
              <w:shd w:fill="FFFFFF" w:val="clear"/>
              <w:szCs w:val="24"/>
              <w:color w:val="000000"/>
            </w:rPr>
            <w:fldChar w:fldCharType="end"/>
          </w:r>
        </w:p>
      </w:sdtContent>
    </w:sdt>
    <w:p>
      <w:pPr>
        <w:pStyle w:val="TOC1"/>
        <w:spacing w:before="0" w:after="0"/>
        <w:rPr>
          <w:bCs/>
          <w:lang w:eastAsia="ar-SA"/>
        </w:rPr>
      </w:pPr>
      <w:r>
        <w:rPr>
          <w:bCs/>
          <w:lang w:eastAsia="ar-SA"/>
        </w:rPr>
      </w:r>
    </w:p>
    <w:p>
      <w:pPr>
        <w:pStyle w:val="TOC1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spacing w:before="0" w:after="0"/>
        <w:jc w:val="center"/>
        <w:rPr>
          <w:b/>
          <w:bCs/>
          <w:sz w:val="24"/>
          <w:szCs w:val="24"/>
        </w:rPr>
      </w:pPr>
      <w:bookmarkStart w:id="1" w:name="_Toc125473240"/>
      <w:bookmarkStart w:id="2" w:name="_Toc51339692"/>
      <w:bookmarkStart w:id="3" w:name="_Toc75446566"/>
      <w:bookmarkStart w:id="4" w:name="_Toc125476050"/>
      <w:r>
        <w:rPr>
          <w:b/>
          <w:bCs/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Normal"/>
        <w:spacing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2"/>
        </w:numPr>
        <w:spacing w:before="0" w:after="0"/>
        <w:contextualSpacing/>
        <w:outlineLvl w:val="1"/>
        <w:rPr>
          <w:rFonts w:ascii="Times New Roman" w:hAnsi="Times New Roman"/>
          <w:sz w:val="24"/>
          <w:szCs w:val="24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ОКПД 2: 26.70.13.000 П</w:t>
      </w:r>
      <w:r>
        <w:rPr>
          <w:rFonts w:cs="Times New Roman" w:ascii="Times New Roman" w:hAnsi="Times New Roman"/>
          <w:bCs/>
          <w:color w:val="000000"/>
          <w:sz w:val="24"/>
          <w:szCs w:val="24"/>
          <w:lang w:eastAsia="ru-RU"/>
        </w:rPr>
        <w:t xml:space="preserve">оставка оборудования охранного телевидения для нужд Кубанского филиала </w:t>
      </w:r>
      <w:r>
        <w:rPr>
          <w:rFonts w:cs="Times New Roman" w:ascii="Times New Roman" w:hAnsi="Times New Roman"/>
          <w:sz w:val="24"/>
          <w:szCs w:val="24"/>
        </w:rPr>
        <w:t>(далее продукция).</w:t>
      </w:r>
    </w:p>
    <w:p>
      <w:pPr>
        <w:pStyle w:val="ListParagraph"/>
        <w:widowControl w:val="false"/>
        <w:numPr>
          <w:ilvl w:val="1"/>
          <w:numId w:val="2"/>
        </w:numPr>
        <w:spacing w:before="0" w:after="0"/>
        <w:contextualSpacing/>
        <w:outlineLvl w:val="1"/>
        <w:rPr>
          <w:rFonts w:ascii="Times New Roman" w:hAnsi="Times New Roman"/>
          <w:sz w:val="24"/>
          <w:szCs w:val="24"/>
        </w:rPr>
      </w:pPr>
      <w:bookmarkStart w:id="7" w:name="_Toc125473242"/>
      <w:bookmarkStart w:id="8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numPr>
          <w:ilvl w:val="1"/>
        </w:numPr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 w:eastAsia="Calibri" w:cs="Times New Roman"/>
          <w:b w:val="false"/>
          <w:bCs w:val="false"/>
          <w:iCs/>
          <w:color w:val="000000"/>
          <w:kern w:val="0"/>
          <w:lang w:val="ru-RU" w:bidi="ar-SA"/>
        </w:rPr>
      </w:pPr>
      <w:r>
        <w:rPr>
          <w:rFonts w:eastAsia="Times New Roman" w:cs="Times New Roman" w:ascii="Times New Roman" w:hAnsi="Times New Roman"/>
          <w:b w:val="false"/>
          <w:bCs/>
          <w:iCs/>
          <w:color w:val="000000"/>
          <w:kern w:val="0"/>
          <w:sz w:val="24"/>
          <w:szCs w:val="24"/>
          <w:shd w:fill="FFFFFF" w:val="clear"/>
          <w:lang w:val="ru-RU" w:eastAsia="ru-RU" w:bidi="ar-SA"/>
        </w:rPr>
        <w:t>Исполнение обязательств по Лоту № 0012-ТПиР БЕЗОП-2026-КЧФ Строительно-монтажные работы по модернизации систем: охранной телевизионной, охранной сигнализации, охранного освещения, электропитания, контроля и управления доступом, инженерных средств защиты, оповещения на г/у на р.Большой Зеленчук Зеленчукской ГЭС-ГАЭС, планируемый к заключению договора между АО «УК ГидроОГК» и АО «Гидроремонт-ВКК».</w:t>
      </w:r>
      <w:bookmarkStart w:id="9" w:name="_Toc125473249"/>
      <w:bookmarkStart w:id="10" w:name="_Toc125476056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rPr>
          <w:rFonts w:ascii="Times New Roman" w:hAnsi="Times New Roman" w:eastAsia="Times New Roman" w:cs="Times New Roman"/>
          <w:bCs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shd w:fill="FFFFFF" w:val="clear"/>
          <w:lang w:eastAsia="ru-RU"/>
        </w:rPr>
      </w:r>
    </w:p>
    <w:p>
      <w:pPr>
        <w:pStyle w:val="Normal"/>
        <w:keepNext w:val="true"/>
        <w:keepLines/>
        <w:numPr>
          <w:ilvl w:val="0"/>
          <w:numId w:val="3"/>
        </w:numPr>
        <w:jc w:val="center"/>
        <w:outlineLvl w:val="0"/>
        <w:rPr>
          <w:rFonts w:ascii="Times New Roman" w:hAnsi="Times New Roman"/>
          <w:sz w:val="24"/>
          <w:szCs w:val="24"/>
        </w:rPr>
      </w:pPr>
      <w:bookmarkStart w:id="11" w:name="_Toc75446573"/>
      <w:bookmarkStart w:id="12" w:name="_Toc51339693"/>
      <w:r>
        <w:rPr>
          <w:rFonts w:cs="Times New Roman" w:ascii="Times New Roman" w:hAnsi="Times New Roman"/>
          <w:b/>
          <w:iCs/>
          <w:sz w:val="24"/>
          <w:szCs w:val="24"/>
          <w:lang w:val="zh-CN" w:eastAsia="zh-CN"/>
        </w:rPr>
        <w:t>Требования к продукции</w:t>
      </w:r>
      <w:bookmarkEnd w:id="11"/>
      <w:bookmarkEnd w:id="12"/>
      <w:r>
        <w:rPr>
          <w:rFonts w:cs="Times New Roman" w:ascii="Times New Roman" w:hAnsi="Times New Roman"/>
          <w:b/>
          <w:iCs/>
          <w:sz w:val="24"/>
          <w:szCs w:val="24"/>
          <w:lang w:eastAsia="zh-CN"/>
        </w:rPr>
        <w:t>.</w:t>
      </w:r>
      <w:bookmarkEnd w:id="9"/>
      <w:bookmarkEnd w:id="10"/>
    </w:p>
    <w:p>
      <w:pPr>
        <w:pStyle w:val="Normal"/>
        <w:numPr>
          <w:ilvl w:val="0"/>
          <w:numId w:val="0"/>
        </w:numPr>
        <w:ind w:hanging="0" w:left="717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Heading4"/>
        <w:numPr>
          <w:ilvl w:val="1"/>
          <w:numId w:val="4"/>
        </w:numPr>
        <w:spacing w:before="0" w:after="0"/>
        <w:ind w:hanging="567" w:left="567"/>
        <w:rPr/>
      </w:pPr>
      <w:bookmarkStart w:id="13" w:name="_Toc75446574"/>
      <w:r>
        <w:rPr>
          <w:bCs w:val="false"/>
        </w:rPr>
        <w:t xml:space="preserve"> </w:t>
      </w:r>
      <w:r>
        <w:rPr>
          <w:b/>
        </w:rPr>
        <w:t xml:space="preserve">Требования к </w:t>
      </w:r>
      <w:r>
        <w:rPr>
          <w:b/>
          <w:lang w:val="ru-RU"/>
        </w:rPr>
        <w:t>объёмам</w:t>
      </w:r>
      <w:r>
        <w:rPr>
          <w:b/>
        </w:rPr>
        <w:t xml:space="preserve"> и срокам поставки</w:t>
      </w:r>
      <w:bookmarkEnd w:id="13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ind w:hanging="1227" w:left="1227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14" w:name="_Toc75446575"/>
      <w:bookmarkStart w:id="15" w:name="_Toc125473250"/>
      <w:bookmarkStart w:id="16" w:name="_Toc125476057"/>
      <w:r>
        <w:rPr>
          <w:rFonts w:cs="Times New Roman" w:ascii="Times New Roman" w:hAnsi="Times New Roman"/>
          <w:b/>
          <w:bCs/>
          <w:sz w:val="24"/>
          <w:szCs w:val="24"/>
          <w:lang w:eastAsia="zh-CN"/>
        </w:rPr>
        <w:t>Перечень и объем закупаемой продукции</w:t>
      </w:r>
      <w:bookmarkEnd w:id="14"/>
      <w:bookmarkEnd w:id="15"/>
      <w:bookmarkEnd w:id="16"/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7" w:name="_Toc75446576"/>
      <w:bookmarkStart w:id="18" w:name="_Toc125476058"/>
      <w:bookmarkStart w:id="19" w:name="_Toc125473251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zh-CN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zh-CN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zh-CN"/>
        </w:rPr>
        <w:t>и объем закупаемой продукции</w:t>
      </w:r>
      <w:bookmarkEnd w:id="17"/>
      <w:bookmarkEnd w:id="18"/>
      <w:bookmarkEnd w:id="19"/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925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61"/>
        <w:gridCol w:w="6436"/>
        <w:gridCol w:w="1372"/>
        <w:gridCol w:w="1455"/>
      </w:tblGrid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SV81715-R23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шт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7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SV81710RBZ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шт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26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SV81710D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Адаптер крепления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>
        <w:trPr/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Универсальный адаптер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ind w:hanging="0" w:left="0"/>
        <w:outlineLvl w:val="2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ind w:hanging="1227" w:left="1227"/>
        <w:outlineLvl w:val="2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eastAsia="zh-CN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21" w:name="_Toc125476060"/>
      <w:bookmarkStart w:id="22" w:name="_Toc125473253"/>
      <w:bookmarkStart w:id="23" w:name="_Toc75446579"/>
      <w:bookmarkStart w:id="24" w:name="_Toc51339697"/>
      <w:bookmarkStart w:id="25" w:name="_Toc50125127"/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zh-CN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zh-CN"/>
        </w:rPr>
        <w:t>поставки продукции</w:t>
      </w:r>
      <w:bookmarkEnd w:id="21"/>
      <w:bookmarkEnd w:id="22"/>
      <w:bookmarkEnd w:id="23"/>
    </w:p>
    <w:p>
      <w:pPr>
        <w:pStyle w:val="Normal"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975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16"/>
        <w:gridCol w:w="2991"/>
        <w:gridCol w:w="2852"/>
        <w:gridCol w:w="3615"/>
      </w:tblGrid>
      <w:tr>
        <w:trPr/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>
          <w:trHeight w:val="1348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ОКПД 2: 26.70.13.000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Поставка оборудования охранного телевидения для нужд Кубанского филиала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120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624" w:gutter="0" w:header="0" w:top="454" w:footer="0" w:bottom="454"/>
          <w:pgNumType w:fmt="decimal"/>
          <w:formProt w:val="false"/>
          <w:textDirection w:val="lrTb"/>
          <w:docGrid w:type="default" w:linePitch="360" w:charSpace="20480"/>
        </w:sectPr>
      </w:pPr>
    </w:p>
    <w:p>
      <w:pPr>
        <w:pStyle w:val="Normal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Heading4"/>
        <w:numPr>
          <w:ilvl w:val="1"/>
          <w:numId w:val="4"/>
        </w:numPr>
        <w:spacing w:before="0" w:after="0"/>
        <w:ind w:hanging="567" w:left="567"/>
        <w:rPr/>
      </w:pPr>
      <w:r>
        <w:rPr/>
        <w:t xml:space="preserve"> </w:t>
      </w:r>
      <w:bookmarkStart w:id="27" w:name="_Toc125476061"/>
      <w:bookmarkStart w:id="28" w:name="_Toc125473255"/>
      <w:r>
        <w:rPr>
          <w:b/>
        </w:rPr>
        <w:t>Требования к качеству продукции</w:t>
      </w:r>
      <w:bookmarkEnd w:id="27"/>
      <w:bookmarkEnd w:id="28"/>
    </w:p>
    <w:p>
      <w:pPr>
        <w:pStyle w:val="Normal"/>
        <w:keepNext w:val="true"/>
        <w:keepLines/>
        <w:numPr>
          <w:ilvl w:val="0"/>
          <w:numId w:val="0"/>
        </w:numPr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29" w:name="_Toc125476062"/>
      <w:bookmarkStart w:id="30" w:name="_Toc125473256"/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>Таблица 3. Требования к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zh-CN" w:eastAsia="zh-CN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ar-SA"/>
        </w:rPr>
      </w:pPr>
      <w:bookmarkStart w:id="31" w:name="_Toc125473257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«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  <w:lang w:eastAsia="zh-CN"/>
        </w:rPr>
        <w:t>Перечень и объем закупаемой продукции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»</w:t>
      </w:r>
      <w:bookmarkEnd w:id="31"/>
    </w:p>
    <w:tbl>
      <w:tblPr>
        <w:tblStyle w:val="aff1"/>
        <w:tblW w:w="147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79"/>
        <w:gridCol w:w="3856"/>
        <w:gridCol w:w="4709"/>
        <w:gridCol w:w="2715"/>
        <w:gridCol w:w="2671"/>
      </w:tblGrid>
      <w:tr>
        <w:trPr/>
        <w:tc>
          <w:tcPr>
            <w:tcW w:w="7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85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/>
              </w:rPr>
              <w:t>Наименование параметра</w:t>
            </w:r>
          </w:p>
        </w:tc>
        <w:tc>
          <w:tcPr>
            <w:tcW w:w="4709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Технические характеристики продукции</w:t>
            </w:r>
          </w:p>
        </w:tc>
        <w:tc>
          <w:tcPr>
            <w:tcW w:w="5386" w:type="dxa"/>
            <w:gridSpan w:val="2"/>
            <w:tcBorders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79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3856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470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715" w:type="dxa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671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38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470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2715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ar-SA"/>
              </w:rPr>
              <w:t>.</w:t>
            </w:r>
          </w:p>
        </w:tc>
        <w:tc>
          <w:tcPr>
            <w:tcW w:w="8565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715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</w:t>
            </w:r>
          </w:p>
        </w:tc>
        <w:tc>
          <w:tcPr>
            <w:tcW w:w="2671" w:type="dxa"/>
            <w:vMerge w:val="restart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ar-SA"/>
              </w:rPr>
              <w:t>1.1</w:t>
            </w:r>
          </w:p>
        </w:tc>
        <w:tc>
          <w:tcPr>
            <w:tcW w:w="8565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 xml:space="preserve">Камера </w:t>
            </w:r>
            <w:r>
              <w:rPr>
                <w:rFonts w:eastAsia="Calibri" w:cs="Tahoma"/>
                <w:b/>
                <w:bCs/>
                <w:i/>
                <w:iCs/>
                <w:color w:val="auto"/>
                <w:kern w:val="0"/>
                <w:sz w:val="22"/>
                <w:szCs w:val="22"/>
                <w:lang w:val="ru-RU" w:eastAsia="en-US" w:bidi="ar-SA"/>
              </w:rPr>
              <w:t>SV81715-R23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Исполнение камеры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Поворотная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Дальность подсветки, м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200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Макс. Разрешение, пикс.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1920×1080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385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Рабочая температура, °C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Не менее -40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2"/>
                <w:szCs w:val="22"/>
                <w:lang w:eastAsia="ar-SA"/>
              </w:rPr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Не более +60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1.1.5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Объектив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Моторизованный с АРД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1.1.6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Размер матрицы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1/2.8"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1.1.7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Монтажная коробка HB-165-P2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в комплекте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zh-CN" w:bidi="hi-IN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1.1.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Питание В DC, Вт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24 В 3 А (AC, DC), High PoE (802.3at) 30 Вт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1.2</w:t>
            </w:r>
          </w:p>
        </w:tc>
        <w:tc>
          <w:tcPr>
            <w:tcW w:w="8565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/>
              </w:rPr>
              <w:t xml:space="preserve">Камера </w:t>
            </w:r>
            <w:r>
              <w:rPr>
                <w:rFonts w:eastAsia="Calibri" w:cs="Tahoma" w:ascii="Times New Roman" w:hAnsi="Times New Roman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SV81710RBZ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1.2.1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Исполнение камеры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Цилиндрическая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1.2.2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Дальность подсветки, м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60 м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1.2.3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Макс. Разрешение, пикс.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1920×1080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1.2.4</w:t>
            </w:r>
          </w:p>
        </w:tc>
        <w:tc>
          <w:tcPr>
            <w:tcW w:w="385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Рабочая температура, °C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Не менее -40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2"/>
                <w:szCs w:val="22"/>
                <w:lang w:eastAsia="ar-SA"/>
              </w:rPr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Не более +60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1.2.5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Объектив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Моторизованный, 2.7-13.5 мм, F1.4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1.2.6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Размер матрицы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1/2.8''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1.2.7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Степень защиты IP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67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szCs w:val="20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1.2.8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Питание В DC, Вт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12В (DC), PoE IEEE 802.3af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1.3</w:t>
            </w:r>
          </w:p>
        </w:tc>
        <w:tc>
          <w:tcPr>
            <w:tcW w:w="8565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Камера </w:t>
            </w:r>
            <w:r>
              <w:rPr>
                <w:rFonts w:eastAsia="Calibri" w:cs="Tahoma" w:ascii="Times New Roman" w:hAnsi="Times New Roman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SV81710D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kern w:val="0"/>
                <w:sz w:val="24"/>
                <w:szCs w:val="24"/>
                <w:lang w:val="ru-RU" w:eastAsia="zh-CN" w:bidi="hi-IN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kern w:val="0"/>
                <w:sz w:val="24"/>
                <w:szCs w:val="24"/>
                <w:lang w:val="ru-RU" w:eastAsia="zh-CN" w:bidi="hi-IN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1.3.1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Исполнение камеры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Купольная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1.3.2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Дальность подсветки, м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25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1.3.3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Макс. Разрешение, пикс.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1920×1080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1.3.4</w:t>
            </w:r>
          </w:p>
        </w:tc>
        <w:tc>
          <w:tcPr>
            <w:tcW w:w="385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Рабочая температура, °C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Не менее -40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38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2"/>
                <w:szCs w:val="22"/>
                <w:lang w:eastAsia="ar-SA"/>
              </w:rPr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Не более +60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1.3.5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Объектив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2.8 / 3.6 мм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1.3.6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Размер матрицы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1/2.8''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1.3.7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 xml:space="preserve">Монтажная коробка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HB-155-D9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kern w:val="0"/>
                <w:sz w:val="22"/>
                <w:szCs w:val="22"/>
                <w:lang w:val="ru-RU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в комплекте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1.3.8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 w:eastAsia="zh-CN" w:bidi="hi-IN"/>
              </w:rPr>
              <w:t>Питание В DC, Вт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2"/>
                <w:szCs w:val="22"/>
                <w:lang w:val="ru-RU"/>
              </w:rPr>
              <w:t>PoE IEEE 802.3 af Class 3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8565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Адаптер крепления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1.4.1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Марка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HT-2615U-01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1.4.2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Материал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br/>
              <w:t>Сталь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restart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1.4.3</w:t>
            </w:r>
          </w:p>
        </w:tc>
        <w:tc>
          <w:tcPr>
            <w:tcW w:w="3856" w:type="dxa"/>
            <w:vMerge w:val="restart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Монтаж на круглые опоры диаметром, мм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От - 70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3856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До -275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Универсальный адаптер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1.5.1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Марка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kern w:val="0"/>
                <w:sz w:val="22"/>
                <w:szCs w:val="22"/>
                <w:lang w:val="ru-RU"/>
              </w:rPr>
            </w:pPr>
            <w:r>
              <w:rPr>
                <w:rFonts w:eastAsia="Calibri" w:cs="Tahoma" w:ascii="Times New Roman" w:hAnsi="Times New Roman"/>
                <w:kern w:val="0"/>
                <w:sz w:val="22"/>
                <w:szCs w:val="22"/>
                <w:lang w:val="ru-RU"/>
              </w:rPr>
              <w:t>HT-2615U-CHS12-A2-01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1.5.2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Материал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ahoma"/>
                <w:kern w:val="0"/>
                <w:sz w:val="22"/>
                <w:szCs w:val="22"/>
                <w:lang w:val="ru-RU"/>
              </w:rPr>
            </w:pPr>
            <w:r>
              <w:rPr>
                <w:rFonts w:eastAsia="Calibri" w:cs="Tahoma" w:ascii="Times New Roman" w:hAnsi="Times New Roman"/>
                <w:kern w:val="0"/>
                <w:sz w:val="22"/>
                <w:szCs w:val="22"/>
                <w:lang w:val="ru-RU"/>
              </w:rPr>
              <w:t>сталь нержавеющая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vMerge w:val="restart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1.5.3</w:t>
            </w:r>
          </w:p>
        </w:tc>
        <w:tc>
          <w:tcPr>
            <w:tcW w:w="3856" w:type="dxa"/>
            <w:vMerge w:val="restart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Монтаж на круглые опоры диаметром, мм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От - 70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>
          <w:trHeight w:val="340" w:hRule="atLeast"/>
        </w:trPr>
        <w:tc>
          <w:tcPr>
            <w:tcW w:w="779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3856" w:type="dxa"/>
            <w:vMerge w:val="continue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before="0" w:after="0"/>
              <w:jc w:val="both"/>
              <w:rPr>
                <w:rFonts w:ascii="Times New Roman" w:hAnsi="Times New Roman" w:eastAsia="Calibri" w:cs="Tahoma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До -120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1.5.4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>
              <w:rPr>
                <w:rFonts w:eastAsia="Calibri" w:cs="Tahoma" w:ascii="Times New Roman" w:hAnsi="Times New Roman"/>
                <w:kern w:val="0"/>
                <w:sz w:val="22"/>
                <w:szCs w:val="22"/>
                <w:lang w:val="ru-RU" w:eastAsia="ar-SA" w:bidi="hi-IN"/>
              </w:rPr>
              <w:t>Комплект поставки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ahoma"/>
                <w:kern w:val="0"/>
                <w:sz w:val="22"/>
                <w:szCs w:val="22"/>
                <w:lang w:val="ru-RU"/>
              </w:rPr>
            </w:pPr>
            <w:r>
              <w:rPr>
                <w:rFonts w:eastAsia="Calibri" w:cs="Tahoma" w:ascii="Times New Roman" w:hAnsi="Times New Roman"/>
                <w:kern w:val="0"/>
                <w:sz w:val="22"/>
                <w:szCs w:val="22"/>
                <w:lang w:val="ru-RU"/>
              </w:rPr>
              <w:t>Адаптер, Силовые хомуты 2 шт, Комплект метизов, Упаковка</w:t>
            </w:r>
          </w:p>
        </w:tc>
        <w:tc>
          <w:tcPr>
            <w:tcW w:w="2715" w:type="dxa"/>
            <w:vMerge w:val="continue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  <w:tc>
          <w:tcPr>
            <w:tcW w:w="267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 w:cs="Tahoma"/>
                <w:kern w:val="0"/>
                <w:lang w:val="ru-RU"/>
              </w:rPr>
            </w:pPr>
            <w:r>
              <w:rPr>
                <w:rFonts w:eastAsia="Calibri" w:cs="Tahoma"/>
                <w:kern w:val="0"/>
                <w:sz w:val="20"/>
                <w:lang w:val="ru-RU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b/>
                <w:bCs/>
                <w:kern w:val="0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ar-SA"/>
              </w:rPr>
              <w:t>2.1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Гарантия, не менее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ar-SA"/>
              </w:rPr>
              <w:t>2.2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/>
              </w:rPr>
              <w:t>организаций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 xml:space="preserve"> или специалистов.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3.1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Паспорт качества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2 экземпляра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3.2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Сертификат соответствия (декларация соответствия)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2 экземпляра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3.3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Сертификат страны происхождения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2 экземпляра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3.4</w:t>
            </w:r>
          </w:p>
        </w:tc>
        <w:tc>
          <w:tcPr>
            <w:tcW w:w="38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Упаковочный лист</w:t>
            </w:r>
          </w:p>
        </w:tc>
        <w:tc>
          <w:tcPr>
            <w:tcW w:w="4709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bookmarkStart w:id="32" w:name="_GoBack_Копия_1"/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1 шт.</w:t>
            </w:r>
            <w:bookmarkEnd w:id="32"/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4.1</w:t>
            </w:r>
          </w:p>
        </w:tc>
        <w:tc>
          <w:tcPr>
            <w:tcW w:w="385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Место поставки</w:t>
            </w:r>
          </w:p>
        </w:tc>
        <w:tc>
          <w:tcPr>
            <w:tcW w:w="470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На склад Покупателя по адресу: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/>
              </w:rPr>
              <w:t>Кубанский филиал АО «Гидроремонт 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kern w:val="0"/>
                <w:sz w:val="24"/>
                <w:szCs w:val="24"/>
                <w:lang w:val="ru-RU"/>
              </w:rPr>
              <w:t>4.2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Условия поставки за счёт средств Поставщика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kern w:val="0"/>
                <w:sz w:val="24"/>
                <w:szCs w:val="24"/>
                <w:lang w:val="ru-RU"/>
              </w:rPr>
              <w:t>4.3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7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Calibri" w:cs="Tahoma" w:ascii="Times New Roman" w:hAnsi="Times New Roman"/>
                <w:kern w:val="0"/>
                <w:sz w:val="24"/>
                <w:szCs w:val="24"/>
                <w:lang w:val="ru-RU"/>
              </w:rPr>
              <w:t>4.4</w:t>
            </w:r>
          </w:p>
        </w:tc>
        <w:tc>
          <w:tcPr>
            <w:tcW w:w="856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/>
              </w:rPr>
              <w:t>Доставка оборудования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учётом перегрузок и длительного хранения.</w:t>
            </w:r>
          </w:p>
        </w:tc>
        <w:tc>
          <w:tcPr>
            <w:tcW w:w="271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  <w:tc>
          <w:tcPr>
            <w:tcW w:w="267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ar-SA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contextualSpacing/>
        <w:outlineLvl w:val="0"/>
        <w:rPr>
          <w:rFonts w:ascii="Times New Roman" w:hAnsi="Times New Roman"/>
          <w:sz w:val="24"/>
          <w:szCs w:val="24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sz w:val="24"/>
      <w:szCs w:val="24"/>
      <w:lang w:val="zh-CN" w:eastAsia="zh-CN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Hyperlink">
    <w:name w:val="Hyper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sz w:val="18"/>
      <w:szCs w:val="18"/>
      <w:u w:val="none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zh-CN" w:eastAsia="zh-CN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zh-CN" w:eastAsia="zh-CN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zh-CN" w:eastAsia="zh-CN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qFormat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Indexheading1" w:customStyle="1">
    <w:name w:val="index heading1"/>
    <w:basedOn w:val="Title"/>
    <w:qFormat/>
    <w:pPr/>
    <w:rPr/>
  </w:style>
  <w:style w:type="paragraph" w:styleId="TOC1">
    <w:name w:val="TOC 1"/>
    <w:basedOn w:val="Normal"/>
    <w:next w:val="Normal"/>
    <w:autoRedefine/>
    <w:pPr>
      <w:shd w:val="clear" w:color="auto" w:fill="FFFFFF"/>
      <w:tabs>
        <w:tab w:val="clear" w:pos="708"/>
        <w:tab w:val="right" w:pos="10138" w:leader="dot"/>
      </w:tabs>
      <w:spacing w:before="0" w:after="100"/>
    </w:pPr>
    <w:rPr>
      <w:rFonts w:ascii="Times New Roman" w:hAnsi="Times New Roman" w:cs="Times New Roman"/>
      <w:b/>
      <w:lang w:eastAsia="ru-RU"/>
    </w:rPr>
  </w:style>
  <w:style w:type="paragraph" w:styleId="TOC3">
    <w:name w:val="TOC 3"/>
    <w:basedOn w:val="Normal"/>
    <w:next w:val="Normal"/>
    <w:autoRedefine/>
    <w:qFormat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/>
      <w:contextualSpacing/>
    </w:pPr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2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2"/>
    <w:qFormat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3" w:customStyle="1">
    <w:name w:val="Заголовок оглавления1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auto"/>
      <w:kern w:val="0"/>
      <w:sz w:val="20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26419302761" w:customStyle="1">
    <w:name w:val="264193027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Table Grid"/>
    <w:basedOn w:val="a1"/>
    <w:uiPriority w:val="3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Application>AlterOffice/2026.2.1.0$Linux_X86_64 LibreOffice_project/f008988ffacaa0b2bf57911c2759d08ca79831df</Application>
  <AppVersion>15.0000</AppVersion>
  <Pages>6</Pages>
  <Words>791</Words>
  <Characters>5121</Characters>
  <CharactersWithSpaces>5695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2024-05-02T12:37:00Z</dcterms:created>
  <dc:creator>Катков Олег Валерьевич</dc:creator>
  <dc:description/>
  <dc:language>ru-RU</dc:language>
  <cp:lastModifiedBy>velikosvyatnn@corp.gidroogk.com</cp:lastModifiedBy>
  <cp:lastPrinted>2023-12-12T08:29:00Z</cp:lastPrinted>
  <dcterms:modified xsi:type="dcterms:W3CDTF">2026-09-11T18:54:38Z</dcterms:modified>
  <cp:revision>137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653A29A6CF97479A86F4C7462C2C1375_12</vt:lpwstr>
  </property>
  <property fmtid="{D5CDD505-2E9C-101B-9397-08002B2CF9AE}" pid="3" name="KSOProductBuildVer">
    <vt:lpwstr>1049-12.2.0.21546</vt:lpwstr>
  </property>
</Properties>
</file>