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/>
        <w:ind w:firstLine="851" w:left="0" w:right="0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ab/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jc w:val="center"/>
        <w:rPr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  <w:t>Технические требования на поставку МТР</w:t>
      </w:r>
    </w:p>
    <w:p>
      <w:pPr>
        <w:pStyle w:val="Heading1"/>
        <w:widowControl w:val="false"/>
        <w:numPr>
          <w:ilvl w:val="0"/>
        </w:numPr>
        <w:spacing w:lineRule="auto" w:line="264"/>
        <w:ind w:hanging="0" w:left="0"/>
        <w:jc w:val="center"/>
        <w:rPr>
          <w:sz w:val="28"/>
          <w:szCs w:val="28"/>
        </w:rPr>
      </w:pPr>
      <w:r>
        <w:rPr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>ОКПД 2: 26.51.66.124</w:t>
      </w:r>
      <w:r>
        <w:rPr>
          <w:rFonts w:eastAsia="Calibri" w:cs="Times New Roman"/>
          <w:b w:val="false"/>
          <w:bCs w:val="false"/>
          <w:sz w:val="28"/>
          <w:szCs w:val="28"/>
          <w:shd w:fill="auto" w:val="clear"/>
          <w:lang w:eastAsia="ru-RU"/>
        </w:rPr>
        <w:t xml:space="preserve"> Поставка тепловизоров</w:t>
      </w:r>
      <w:r>
        <w:rPr>
          <w:rFonts w:eastAsia="Calibri" w:cs="Times New Roman"/>
          <w:b w:val="false"/>
          <w:bCs w:val="false"/>
          <w:color w:val="000000"/>
          <w:sz w:val="28"/>
          <w:szCs w:val="28"/>
          <w:shd w:fill="auto" w:val="clear"/>
          <w:lang w:eastAsia="ru-RU"/>
        </w:rPr>
        <w:t xml:space="preserve"> </w:t>
      </w:r>
      <w:r>
        <w:rPr>
          <w:rFonts w:eastAsia="Calibri" w:cs="Times New Roman"/>
          <w:b w:val="false"/>
          <w:bCs w:val="false"/>
          <w:color w:val="000000"/>
          <w:sz w:val="28"/>
          <w:szCs w:val="28"/>
          <w:u w:val="none"/>
          <w:shd w:fill="auto" w:val="clear"/>
          <w:lang w:eastAsia="ru-RU"/>
        </w:rPr>
        <w:t>для нужд Кубанского филиала.</w:t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jc w:val="center"/>
        <w:outlineLvl w:val="1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hd w:val="clear" w:fill="FFFFFF"/>
        <w:spacing w:lineRule="auto" w:line="264"/>
        <w:ind w:firstLine="851" w:left="0" w:right="0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0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2"/>
            <w:shd w:fill="FFFFFF" w:val="clear"/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</w:pPr>
          <w:r>
            <w:fldChar w:fldCharType="begin"/>
          </w:r>
          <w:r>
            <w:rPr>
              <w:sz w:val="24"/>
              <w:b/>
              <w:szCs w:val="24"/>
              <w:rFonts w:cs="Times New Roman" w:ascii="Times New Roman" w:hAnsi="Times New Roman"/>
              <w:lang w:eastAsia="ru-RU"/>
            </w:rPr>
            <w:instrText xml:space="preserve"> TOC \o "1-3" \h</w:instrText>
          </w:r>
          <w:r>
            <w:rPr>
              <w:sz w:val="24"/>
              <w:b/>
              <w:szCs w:val="24"/>
              <w:rFonts w:cs="Times New Roman" w:ascii="Times New Roman" w:hAnsi="Times New Roman"/>
              <w:lang w:eastAsia="ru-RU"/>
            </w:rPr>
            <w:fldChar w:fldCharType="separate"/>
          </w:r>
          <w:r>
            <w:rPr>
              <w:rFonts w:cs="Times New Roman" w:ascii="Times New Roman" w:hAnsi="Times New Roman"/>
              <w:b/>
              <w:sz w:val="24"/>
              <w:szCs w:val="24"/>
              <w:lang w:eastAsia="ru-RU"/>
            </w:rPr>
          </w:r>
        </w:p>
        <w:p>
          <w:pPr>
            <w:pStyle w:val="TOC1"/>
            <w:spacing w:lineRule="auto" w:line="276"/>
            <w:rPr>
              <w:b w:val="false"/>
              <w:bCs w:val="false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1.Общие сведения</w:t>
            <w:tab/>
            <w:t>3</w:t>
          </w:r>
        </w:p>
        <w:p>
          <w:pPr>
            <w:pStyle w:val="TOC2"/>
            <w:shd w:val="clear" w:fill="FFFFFF"/>
            <w:spacing w:lineRule="auto" w:line="276"/>
            <w:rPr>
              <w:b w:val="false"/>
              <w:bCs w:val="false"/>
            </w:rPr>
          </w:pPr>
          <w:r>
            <w:rPr>
              <w:rFonts w:ascii="Times New Roman" w:hAnsi="Times New Roman"/>
              <w:b w:val="false"/>
              <w:bCs w:val="false"/>
              <w:color w:val="000000"/>
              <w:sz w:val="24"/>
              <w:szCs w:val="24"/>
              <w:shd w:fill="FFFFFF" w:val="clear"/>
            </w:rPr>
            <w:t>1.1.</w:t>
            <w:tab/>
            <w:t>Наименование закупаемой продукции.</w:t>
            <w:tab/>
            <w:t>3</w:t>
          </w:r>
        </w:p>
        <w:p>
          <w:pPr>
            <w:pStyle w:val="TOC2"/>
            <w:shd w:val="clear" w:fill="FFFFFF"/>
            <w:spacing w:lineRule="auto" w:line="276"/>
            <w:rPr>
              <w:b w:val="false"/>
              <w:bCs w:val="false"/>
            </w:rPr>
          </w:pPr>
          <w:r>
            <w:rPr>
              <w:rFonts w:ascii="Times New Roman" w:hAnsi="Times New Roman"/>
              <w:b w:val="false"/>
              <w:bCs w:val="false"/>
              <w:color w:val="000000"/>
              <w:sz w:val="24"/>
              <w:szCs w:val="24"/>
              <w:shd w:fill="FFFFFF" w:val="clear"/>
            </w:rPr>
            <w:t xml:space="preserve"> </w:t>
          </w:r>
          <w:r>
            <w:rPr>
              <w:rFonts w:ascii="Times New Roman" w:hAnsi="Times New Roman"/>
              <w:b w:val="false"/>
              <w:bCs w:val="false"/>
              <w:color w:val="000000"/>
              <w:sz w:val="24"/>
              <w:szCs w:val="24"/>
              <w:shd w:fill="FFFFFF" w:val="clear"/>
            </w:rPr>
            <w:t>1.2.</w:t>
            <w:tab/>
            <w:t>Цель использования закупаемой продукции.</w:t>
            <w:tab/>
            <w:t>3</w:t>
          </w:r>
        </w:p>
        <w:p>
          <w:pPr>
            <w:pStyle w:val="TOC1"/>
            <w:spacing w:lineRule="auto" w:line="276"/>
            <w:rPr>
              <w:b w:val="false"/>
              <w:bCs w:val="false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2.Требования к продукции.</w:t>
            <w:tab/>
            <w:t>3</w:t>
          </w:r>
        </w:p>
        <w:p>
          <w:pPr>
            <w:pStyle w:val="TOC3"/>
            <w:shd w:val="clear" w:fill="FFFFFF"/>
            <w:spacing w:lineRule="auto" w:line="276"/>
            <w:rPr>
              <w:b w:val="false"/>
              <w:bCs w:val="false"/>
            </w:rPr>
          </w:pPr>
          <w:r>
            <w:rPr>
              <w:rFonts w:ascii="Times New Roman" w:hAnsi="Times New Roman"/>
              <w:b w:val="false"/>
              <w:bCs w:val="false"/>
              <w:color w:val="000000"/>
              <w:sz w:val="24"/>
              <w:szCs w:val="24"/>
              <w:shd w:fill="FFFFFF" w:val="clear"/>
            </w:rPr>
            <w:t>2.1.1</w:t>
            <w:tab/>
            <w:t>Перечень и объем закупаемой продукции</w:t>
            <w:tab/>
            <w:t>3</w:t>
          </w:r>
        </w:p>
        <w:p>
          <w:pPr>
            <w:pStyle w:val="TOC1"/>
            <w:spacing w:lineRule="auto" w:line="276"/>
            <w:rPr>
              <w:b w:val="false"/>
              <w:bCs w:val="false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Таблица 1.1 Перечень и объем закупаемой продукции</w:t>
            <w:tab/>
            <w:t>3</w:t>
          </w:r>
        </w:p>
        <w:p>
          <w:pPr>
            <w:pStyle w:val="TOC3"/>
            <w:shd w:val="clear" w:fill="FFFFFF"/>
            <w:spacing w:lineRule="auto" w:line="276"/>
            <w:rPr>
              <w:b w:val="false"/>
              <w:bCs w:val="false"/>
            </w:rPr>
          </w:pPr>
          <w:r>
            <w:rPr>
              <w:rFonts w:ascii="Times New Roman" w:hAnsi="Times New Roman"/>
              <w:b w:val="false"/>
              <w:bCs w:val="false"/>
              <w:color w:val="000000"/>
              <w:sz w:val="24"/>
              <w:szCs w:val="24"/>
              <w:shd w:fill="FFFFFF" w:val="clear"/>
            </w:rPr>
            <w:t>2.1.2</w:t>
            <w:tab/>
            <w:t>Требования к срокам поставки продукции</w:t>
            <w:tab/>
            <w:t>3</w:t>
          </w:r>
        </w:p>
        <w:p>
          <w:pPr>
            <w:pStyle w:val="TOC1"/>
            <w:spacing w:lineRule="auto" w:line="276"/>
            <w:rPr>
              <w:b w:val="false"/>
              <w:bCs w:val="false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Таблица 2.1 Требования по срокам поставки продукции</w:t>
            <w:tab/>
            <w:t>3</w:t>
          </w:r>
        </w:p>
        <w:p>
          <w:pPr>
            <w:pStyle w:val="TOC1"/>
            <w:spacing w:lineRule="auto" w:line="276"/>
            <w:rPr>
              <w:b w:val="false"/>
              <w:bCs w:val="false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2.2 Требование к качеству продукции………………………………………………...………………...4</w:t>
          </w:r>
        </w:p>
        <w:p>
          <w:pPr>
            <w:pStyle w:val="TOC1"/>
            <w:spacing w:lineRule="auto" w:line="276"/>
            <w:rPr>
              <w:b w:val="false"/>
              <w:bCs w:val="false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Таблица 3. Требования к продукции</w:t>
            <w:tab/>
            <w:t>4</w:t>
          </w:r>
        </w:p>
        <w:p>
          <w:pPr>
            <w:pStyle w:val="TOC1"/>
            <w:spacing w:lineRule="auto" w:line="276"/>
            <w:rPr>
              <w:b w:val="false"/>
              <w:bCs w:val="false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3.Требования к документации по ценообразованию на этапе закупки.</w:t>
            <w:tab/>
            <w:t>6</w:t>
          </w:r>
          <w:r>
            <w:rPr>
              <w:sz w:val="24"/>
              <w:b w:val="false"/>
              <w:shd w:fill="FFFFFF" w:val="clear"/>
              <w:szCs w:val="24"/>
              <w:bCs w:val="false"/>
              <w:color w:val="000000"/>
            </w:rPr>
            <w:fldChar w:fldCharType="end"/>
          </w:r>
        </w:p>
      </w:sdtContent>
    </w:sdt>
    <w:p>
      <w:pPr>
        <w:pStyle w:val="TOC1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OC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left="0" w:right="0"/>
        <w:outlineLv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  <w:r>
        <w:br w:type="page"/>
      </w:r>
    </w:p>
    <w:p>
      <w:pPr>
        <w:pStyle w:val="Heading1"/>
        <w:keepLines/>
        <w:numPr>
          <w:ilvl w:val="0"/>
          <w:numId w:val="6"/>
        </w:numPr>
        <w:jc w:val="center"/>
        <w:rPr>
          <w:rFonts w:ascii="Times New Roman" w:hAnsi="Times New Roman"/>
          <w:sz w:val="24"/>
          <w:szCs w:val="24"/>
        </w:rPr>
      </w:pPr>
      <w:bookmarkStart w:id="1" w:name="_Toc125476050"/>
      <w:bookmarkStart w:id="2" w:name="_Toc125473240"/>
      <w:bookmarkStart w:id="3" w:name="_Toc51339692"/>
      <w:bookmarkStart w:id="4" w:name="_Toc75446566"/>
      <w:r>
        <w:rPr>
          <w:sz w:val="24"/>
          <w:szCs w:val="24"/>
          <w:lang w:val="ru-RU"/>
        </w:rPr>
        <w:t>Общие сведения</w:t>
      </w:r>
      <w:bookmarkEnd w:id="1"/>
      <w:bookmarkEnd w:id="2"/>
      <w:bookmarkEnd w:id="3"/>
      <w:bookmarkEnd w:id="4"/>
    </w:p>
    <w:p>
      <w:pPr>
        <w:pStyle w:val="ListParagraph"/>
        <w:widowControl w:val="false"/>
        <w:numPr>
          <w:ilvl w:val="1"/>
          <w:numId w:val="1"/>
        </w:numPr>
        <w:spacing w:before="0" w:after="0"/>
        <w:ind w:hanging="480" w:left="480" w:right="0"/>
        <w:contextualSpacing/>
        <w:outlineLvl w:val="1"/>
        <w:rPr>
          <w:sz w:val="24"/>
          <w:szCs w:val="24"/>
        </w:rPr>
      </w:pPr>
      <w:bookmarkStart w:id="5" w:name="_Toc125476051"/>
      <w:bookmarkStart w:id="6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>
      <w:pPr>
        <w:pStyle w:val="Heading1"/>
        <w:numPr>
          <w:ilvl w:val="0"/>
        </w:numPr>
        <w:ind w:hanging="0" w:left="0"/>
        <w:rPr>
          <w:sz w:val="24"/>
          <w:szCs w:val="24"/>
        </w:rPr>
      </w:pPr>
      <w:r>
        <w:rPr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eastAsia="ru-RU"/>
        </w:rPr>
        <w:t>ОКПД 2: 26.51.66.124</w:t>
      </w:r>
      <w:r>
        <w:rPr>
          <w:rFonts w:eastAsia="Calibri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eastAsia="ru-RU"/>
        </w:rPr>
        <w:t xml:space="preserve"> Поставка тепловизоров для нужд Кубанского филиала.</w:t>
      </w:r>
      <w:r>
        <w:rPr>
          <w:rFonts w:eastAsia="Calibri" w:cs="Times New Roman"/>
          <w:b w:val="false"/>
          <w:bCs w:val="false"/>
          <w:sz w:val="24"/>
          <w:szCs w:val="24"/>
        </w:rPr>
        <w:t>(далее продукция).</w:t>
      </w:r>
    </w:p>
    <w:p>
      <w:pPr>
        <w:pStyle w:val="ListParagraph"/>
        <w:widowControl w:val="false"/>
        <w:numPr>
          <w:ilvl w:val="1"/>
          <w:numId w:val="1"/>
        </w:numPr>
        <w:spacing w:before="0" w:after="0"/>
        <w:ind w:hanging="480" w:left="480" w:right="0"/>
        <w:contextualSpacing/>
        <w:outlineLvl w:val="1"/>
        <w:rPr>
          <w:sz w:val="24"/>
          <w:szCs w:val="24"/>
        </w:rPr>
      </w:pPr>
      <w:bookmarkStart w:id="7" w:name="_Toc125476052"/>
      <w:bookmarkStart w:id="8" w:name="_Toc12547324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</w:p>
    <w:p>
      <w:pPr>
        <w:pStyle w:val="Normal"/>
        <w:numPr>
          <w:ilvl w:val="1"/>
        </w:numPr>
        <w:tabs>
          <w:tab w:val="clear" w:pos="708"/>
          <w:tab w:val="left" w:pos="426" w:leader="none"/>
          <w:tab w:val="left" w:pos="993" w:leader="none"/>
        </w:tabs>
        <w:jc w:val="both"/>
        <w:rPr>
          <w:rFonts w:ascii="Times New Roman" w:hAnsi="Times New Roman" w:eastAsia="Calibri" w:cs="Times New Roman"/>
          <w:b w:val="false"/>
          <w:bCs w:val="false"/>
          <w:iCs/>
          <w:color w:val="000000"/>
          <w:kern w:val="0"/>
          <w:lang w:val="ru-RU" w:bidi="ar-SA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Исполнение обязательств по Лоту № 0012-ТПиР БЕЗОП-2026-КЧФ Строительно-монтажные работы по модернизации систем: охранной телевизионной, охранной сигнализации, охранного освещения, электропитания, контроля и управления доступом, инженерных средств защиты, оповещения на г/у на р.Большой Зеленчук Зеленчукской ГЭС-ГАЭС, планируемый к заключению договора между АО «УК ГидроОГК» и АО «Гидроремонт-ВКК».</w:t>
      </w:r>
      <w:bookmarkStart w:id="9" w:name="_Toc125476056"/>
      <w:bookmarkStart w:id="10" w:name="_Toc125473249"/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left"/>
        <w:rPr>
          <w:rFonts w:ascii="Times New Roman" w:hAnsi="Times New Roman" w:eastAsia="Times New Roman" w:cs="Times New Roman"/>
          <w:bCs/>
          <w:i w:val="false"/>
          <w:i w:val="false"/>
          <w:iCs w:val="false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Cs/>
          <w:i w:val="false"/>
          <w:iCs w:val="false"/>
          <w:sz w:val="24"/>
          <w:szCs w:val="24"/>
          <w:shd w:fill="FFFFFF" w:val="clear"/>
          <w:lang w:eastAsia="ru-RU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before="120" w:after="0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11" w:name="_Toc51339693"/>
      <w:bookmarkStart w:id="12" w:name="_Toc75446573"/>
      <w:r>
        <w:rPr>
          <w:rFonts w:eastAsia="Calibri"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1"/>
      <w:bookmarkEnd w:id="12"/>
      <w:r>
        <w:rPr>
          <w:rFonts w:eastAsia="Calibri"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9"/>
      <w:bookmarkEnd w:id="10"/>
    </w:p>
    <w:p>
      <w:pPr>
        <w:pStyle w:val="Heading4"/>
        <w:numPr>
          <w:ilvl w:val="1"/>
          <w:numId w:val="4"/>
        </w:numPr>
        <w:spacing w:before="120" w:after="0"/>
        <w:ind w:hanging="567" w:left="567" w:right="0"/>
        <w:rPr>
          <w:rFonts w:ascii="Times New Roman" w:hAnsi="Times New Roman"/>
          <w:sz w:val="24"/>
          <w:szCs w:val="24"/>
        </w:rPr>
      </w:pPr>
      <w:bookmarkStart w:id="13" w:name="_Toc75446574"/>
      <w:r>
        <w:rPr>
          <w:b w:val="false"/>
          <w:bCs w:val="false"/>
          <w:sz w:val="24"/>
          <w:szCs w:val="24"/>
        </w:rPr>
        <w:t xml:space="preserve"> </w:t>
      </w:r>
      <w:r>
        <w:rPr>
          <w:bCs w:val="false"/>
          <w:sz w:val="24"/>
          <w:szCs w:val="24"/>
        </w:rPr>
        <w:t>Требования к объемам и срокам постав</w:t>
      </w:r>
      <w:r>
        <w:rPr>
          <w:sz w:val="24"/>
          <w:szCs w:val="24"/>
        </w:rPr>
        <w:t>ки</w:t>
      </w:r>
      <w:bookmarkEnd w:id="13"/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 w:right="0"/>
        <w:outlineLvl w:val="2"/>
        <w:rPr>
          <w:rFonts w:ascii="Times New Roman" w:hAnsi="Times New Roman"/>
          <w:sz w:val="24"/>
          <w:szCs w:val="24"/>
        </w:rPr>
      </w:pPr>
      <w:bookmarkStart w:id="14" w:name="_Toc125476057"/>
      <w:bookmarkStart w:id="15" w:name="_Toc125473250"/>
      <w:bookmarkStart w:id="16" w:name="_Toc75446575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4"/>
      <w:bookmarkEnd w:id="15"/>
      <w:bookmarkEnd w:id="16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0"/>
        <w:rPr>
          <w:rFonts w:ascii="Times New Roman" w:hAnsi="Times New Roman"/>
          <w:sz w:val="24"/>
          <w:szCs w:val="24"/>
        </w:rPr>
      </w:pPr>
      <w:bookmarkStart w:id="17" w:name="_Toc75446576"/>
      <w:bookmarkStart w:id="18" w:name="_Toc125476058"/>
      <w:bookmarkStart w:id="19" w:name="_Toc125473251"/>
      <w:bookmarkStart w:id="20" w:name="_Toc51339695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0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7"/>
      <w:bookmarkEnd w:id="18"/>
      <w:bookmarkEnd w:id="19"/>
    </w:p>
    <w:tbl>
      <w:tblPr>
        <w:tblW w:w="9925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6433"/>
        <w:gridCol w:w="1370"/>
        <w:gridCol w:w="1460"/>
      </w:tblGrid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Тепловизор Титан 690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567" w:leader="none"/>
        </w:tabs>
        <w:spacing w:before="120" w:after="0"/>
        <w:ind w:hanging="0" w:left="0" w:right="0"/>
        <w:outlineLvl w:val="2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 w:right="0"/>
        <w:outlineLvl w:val="2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0"/>
        <w:rPr>
          <w:rFonts w:ascii="Times New Roman" w:hAnsi="Times New Roman"/>
          <w:sz w:val="24"/>
          <w:szCs w:val="24"/>
        </w:rPr>
      </w:pPr>
      <w:bookmarkStart w:id="21" w:name="_Toc75446579"/>
      <w:bookmarkStart w:id="22" w:name="_Toc125473253"/>
      <w:bookmarkStart w:id="23" w:name="_Toc125476060"/>
      <w:bookmarkStart w:id="24" w:name="_Toc50125127"/>
      <w:bookmarkStart w:id="25" w:name="_Toc51339697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6" w:name="_Hlk50465284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4"/>
      <w:bookmarkEnd w:id="25"/>
      <w:bookmarkEnd w:id="26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1"/>
      <w:bookmarkEnd w:id="22"/>
      <w:bookmarkEnd w:id="23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9889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974"/>
        <w:gridCol w:w="2835"/>
        <w:gridCol w:w="3545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>
          <w:trHeight w:val="1348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ru-RU"/>
              </w:rPr>
              <w:t xml:space="preserve">ОКПД 2: 26.51.66.124 Поставка тепловизоров для нужд Кубанского филиала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FFFFFF" w:val="clear"/>
                <w:lang w:eastAsia="ru-RU"/>
              </w:rPr>
              <w:t>(в соответствии с Таблица 1.1 Перечень объемов закупаемой продукции)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в течение 60 календарных дней с даты подписания договора</w:t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Heading4"/>
        <w:numPr>
          <w:ilvl w:val="1"/>
          <w:numId w:val="4"/>
        </w:numPr>
        <w:spacing w:before="120" w:after="0"/>
        <w:ind w:hanging="567" w:left="567" w:right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7" w:name="_Toc125473255"/>
      <w:bookmarkStart w:id="28" w:name="_Toc125476061"/>
      <w:r>
        <w:rPr>
          <w:sz w:val="24"/>
          <w:szCs w:val="24"/>
        </w:rPr>
        <w:t>Требования к качеству продукции</w:t>
      </w:r>
      <w:bookmarkEnd w:id="27"/>
      <w:bookmarkEnd w:id="28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0"/>
        <w:rPr>
          <w:rFonts w:ascii="Times New Roman" w:hAnsi="Times New Roman"/>
          <w:sz w:val="24"/>
          <w:szCs w:val="24"/>
        </w:rPr>
      </w:pPr>
      <w:bookmarkStart w:id="29" w:name="_Toc125473256"/>
      <w:bookmarkStart w:id="30" w:name="_Toc125476062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29"/>
      <w:bookmarkEnd w:id="30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bookmarkStart w:id="31" w:name="_Toc125473257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  <w:t xml:space="preserve">согласно Таблицы 1.1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z w:val="24"/>
          <w:szCs w:val="24"/>
          <w:lang w:eastAsia="ar-SA"/>
        </w:rPr>
        <w:t>«</w:t>
      </w:r>
      <w:r>
        <w:rPr>
          <w:rFonts w:eastAsia="Calibri" w:cs="Times New Roman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eastAsia="x-none"/>
        </w:rPr>
        <w:t>Перечень и объем закупаемой продукции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sz w:val="24"/>
          <w:szCs w:val="24"/>
          <w:lang w:eastAsia="ar-SA"/>
        </w:rPr>
        <w:t>»</w:t>
      </w:r>
      <w:bookmarkEnd w:id="31"/>
    </w:p>
    <w:tbl>
      <w:tblPr>
        <w:tblW w:w="10050" w:type="dxa"/>
        <w:jc w:val="left"/>
        <w:tblInd w:w="1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794"/>
        <w:gridCol w:w="3"/>
        <w:gridCol w:w="2792"/>
        <w:gridCol w:w="1968"/>
        <w:gridCol w:w="1725"/>
      </w:tblGrid>
      <w:tr>
        <w:trPr/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п/п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Наименование параметра</w:t>
            </w:r>
          </w:p>
        </w:tc>
        <w:tc>
          <w:tcPr>
            <w:tcW w:w="27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Требование заказчика</w:t>
            </w:r>
          </w:p>
        </w:tc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9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79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200"/>
              <w:ind w:hanging="0" w:left="-57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200"/>
              <w:ind w:hanging="0" w:left="-57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28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1.1</w:t>
            </w:r>
          </w:p>
        </w:tc>
        <w:tc>
          <w:tcPr>
            <w:tcW w:w="55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Т</w:t>
            </w: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епловизор Титан 690</w:t>
            </w:r>
          </w:p>
        </w:tc>
        <w:tc>
          <w:tcPr>
            <w:tcW w:w="196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u w:val="none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u w:val="none"/>
                <w:shd w:fill="auto" w:val="clear"/>
                <w:lang w:val="ru-RU" w:eastAsia="ru-RU" w:bidi="ar-SA"/>
              </w:rPr>
            </w:r>
          </w:p>
        </w:tc>
        <w:tc>
          <w:tcPr>
            <w:tcW w:w="17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1.1.1</w:t>
            </w:r>
          </w:p>
        </w:tc>
        <w:tc>
          <w:tcPr>
            <w:tcW w:w="2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Чувствительность, мК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40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1.1.2</w:t>
            </w:r>
          </w:p>
        </w:tc>
        <w:tc>
          <w:tcPr>
            <w:tcW w:w="279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Видеовыход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Ethernet, RJ45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1.1.3</w:t>
            </w:r>
          </w:p>
        </w:tc>
        <w:tc>
          <w:tcPr>
            <w:tcW w:w="279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Напряжение питания, В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1.1.4</w:t>
            </w:r>
          </w:p>
        </w:tc>
        <w:tc>
          <w:tcPr>
            <w:tcW w:w="279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Разрешение, пикселей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640x480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1.1.5</w:t>
            </w:r>
          </w:p>
        </w:tc>
        <w:tc>
          <w:tcPr>
            <w:tcW w:w="279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Объектив, мм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1.1.6</w:t>
            </w:r>
          </w:p>
        </w:tc>
        <w:tc>
          <w:tcPr>
            <w:tcW w:w="279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Размер пикселя, мкм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82" w:hRule="atLeast"/>
        </w:trPr>
        <w:tc>
          <w:tcPr>
            <w:tcW w:w="7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1.1.7</w:t>
            </w:r>
          </w:p>
        </w:tc>
        <w:tc>
          <w:tcPr>
            <w:tcW w:w="279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Диапазон рабочих температур, ⁰С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 менее -60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82" w:hRule="atLeast"/>
        </w:trPr>
        <w:tc>
          <w:tcPr>
            <w:tcW w:w="7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72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9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 более+60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82" w:hRule="atLeast"/>
        </w:trPr>
        <w:tc>
          <w:tcPr>
            <w:tcW w:w="7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1.1.8</w:t>
            </w:r>
          </w:p>
        </w:tc>
        <w:tc>
          <w:tcPr>
            <w:tcW w:w="279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Комплектность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Тепловизор – 1шт.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82" w:hRule="atLeast"/>
        </w:trPr>
        <w:tc>
          <w:tcPr>
            <w:tcW w:w="7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72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9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Солнцезащитный козырек – 1шт.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82" w:hRule="atLeast"/>
        </w:trPr>
        <w:tc>
          <w:tcPr>
            <w:tcW w:w="7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72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9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Монтажный кронштейн – 1шт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82" w:hRule="atLeast"/>
        </w:trPr>
        <w:tc>
          <w:tcPr>
            <w:tcW w:w="7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72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9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 – 1шт.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2.</w:t>
            </w:r>
          </w:p>
        </w:tc>
        <w:tc>
          <w:tcPr>
            <w:tcW w:w="5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2.1</w:t>
            </w:r>
          </w:p>
        </w:tc>
        <w:tc>
          <w:tcPr>
            <w:tcW w:w="2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Гарантия, не менее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36 (тридцать шесть) месяцев,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2.2</w:t>
            </w:r>
          </w:p>
        </w:tc>
        <w:tc>
          <w:tcPr>
            <w:tcW w:w="5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3.</w:t>
            </w:r>
          </w:p>
        </w:tc>
        <w:tc>
          <w:tcPr>
            <w:tcW w:w="5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</w:tr>
      <w:tr>
        <w:trPr>
          <w:trHeight w:val="422" w:hRule="atLeast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3.1</w:t>
            </w:r>
          </w:p>
        </w:tc>
        <w:tc>
          <w:tcPr>
            <w:tcW w:w="2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Паспорт качества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2 экземпляра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3.2</w:t>
            </w:r>
          </w:p>
        </w:tc>
        <w:tc>
          <w:tcPr>
            <w:tcW w:w="27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2 экземпляра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3.3</w:t>
            </w:r>
          </w:p>
        </w:tc>
        <w:tc>
          <w:tcPr>
            <w:tcW w:w="27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Сертификат страны происхождения (РФ)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2 экземпляра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92" w:hRule="atLeast"/>
        </w:trPr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3.4</w:t>
            </w:r>
          </w:p>
        </w:tc>
        <w:tc>
          <w:tcPr>
            <w:tcW w:w="27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Упаковочный лист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1 шт.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43" w:hRule="atLeast"/>
        </w:trPr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4.</w:t>
            </w:r>
          </w:p>
        </w:tc>
        <w:tc>
          <w:tcPr>
            <w:tcW w:w="55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4.1</w:t>
            </w:r>
          </w:p>
        </w:tc>
        <w:tc>
          <w:tcPr>
            <w:tcW w:w="279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Место поставки</w:t>
            </w:r>
          </w:p>
        </w:tc>
        <w:tc>
          <w:tcPr>
            <w:tcW w:w="2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Кубанский филиал АО «Гидроремонт – ВКК» в г. Невинномысск, Ставропольский край, Кочубеевский р-н,с.Кочубеевское, АВТОДОРОГА «КАВКАЗ» 246КМ+1200М (СПРАВА) в рабочие дни:с 9-00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4.2</w:t>
            </w:r>
          </w:p>
        </w:tc>
        <w:tc>
          <w:tcPr>
            <w:tcW w:w="55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4.3</w:t>
            </w:r>
          </w:p>
        </w:tc>
        <w:tc>
          <w:tcPr>
            <w:tcW w:w="55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4.4</w:t>
            </w:r>
          </w:p>
        </w:tc>
        <w:tc>
          <w:tcPr>
            <w:tcW w:w="5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59" w:before="0" w:after="200"/>
              <w:ind w:hanging="0" w:left="57" w:righ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Доставка оборудования должна соответствовать установленным требованиям.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120" w:after="0"/>
        <w:ind w:hanging="0" w:left="360" w:right="0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default" r:id="rId2"/>
      <w:type w:val="nextPage"/>
      <w:pgSz w:w="11906" w:h="16838"/>
      <w:pgMar w:left="1134" w:right="624" w:gutter="0" w:header="0" w:top="454" w:footer="0" w:bottom="454"/>
      <w:pgNumType w:fmt="decimal"/>
      <w:formProt w:val="false"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numPr>
        <w:ilvl w:val="0"/>
        <w:numId w:val="0"/>
      </w:num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mbria" w:hAnsi="Cambria" w:eastAsia="Calibri" w:cs="Tahom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0"/>
        <w:numId w:val="0"/>
      </w:numPr>
      <w:spacing w:before="120" w:after="60"/>
      <w:outlineLvl w:val="2"/>
    </w:pPr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outlineLvl w:val="3"/>
    </w:pPr>
    <w:rPr>
      <w:bCs/>
    </w:rPr>
  </w:style>
  <w:style w:type="character" w:styleId="DefaultParagraphFont">
    <w:name w:val="Default Paragraph Font"/>
    <w:qFormat/>
    <w:rPr/>
  </w:style>
  <w:style w:type="character" w:styleId="Style5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>
    <w:name w:val="Верхний колонтитул Знак"/>
    <w:basedOn w:val="DefaultParagraphFont"/>
    <w:qFormat/>
    <w:rPr/>
  </w:style>
  <w:style w:type="character" w:styleId="Style7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>
    <w:name w:val="apple-converted-space"/>
    <w:basedOn w:val="DefaultParagraphFont"/>
    <w:qFormat/>
    <w:rPr/>
  </w:style>
  <w:style w:type="character" w:styleId="Bodytext2">
    <w:name w:val="Body text (2)"/>
    <w:basedOn w:val="DefaultParagraphFont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>
    <w:name w:val="Body text (2)_"/>
    <w:basedOn w:val="DefaultParagraphFont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>
    <w:name w:val="Абзац списка Знак"/>
    <w:link w:val="ListParagraph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11">
    <w:name w:val="Гиперссылка1"/>
    <w:basedOn w:val="DefaultParagraphFont"/>
    <w:qFormat/>
    <w:rPr>
      <w:color w:val="0000FF"/>
      <w:u w:val="single"/>
    </w:rPr>
  </w:style>
  <w:style w:type="character" w:styleId="2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>
    <w:name w:val="Символ сноски"/>
    <w:qFormat/>
    <w:rPr/>
  </w:style>
  <w:style w:type="character" w:styleId="Style13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Style15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>
    <w:name w:val="index heading11"/>
    <w:basedOn w:val="12"/>
    <w:qFormat/>
    <w:pPr/>
    <w:rPr/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>
    <w:name w:val="index heading111"/>
    <w:basedOn w:val="12"/>
    <w:qFormat/>
    <w:pPr/>
    <w:rPr/>
  </w:style>
  <w:style w:type="paragraph" w:styleId="Style18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ListParagraph">
    <w:name w:val="List Paragraph"/>
    <w:basedOn w:val="Normal"/>
    <w:link w:val="Style11"/>
    <w:qFormat/>
    <w:pPr>
      <w:spacing w:before="0" w:after="200"/>
      <w:ind w:hanging="0" w:left="720" w:right="0"/>
      <w:contextualSpacing/>
    </w:pPr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7"/>
    <w:qFormat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Style8"/>
    <w:qFormat/>
    <w:pPr/>
    <w:rPr>
      <w:rFonts w:ascii="Calibri" w:hAnsi="Calibri"/>
      <w:szCs w:val="21"/>
    </w:rPr>
  </w:style>
  <w:style w:type="paragraph" w:styleId="Annotationtext">
    <w:name w:val="annotation text"/>
    <w:basedOn w:val="Normal"/>
    <w:link w:val="Style9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eastAsia="Calibri" w:cs="Tahoma"/>
      <w:bCs/>
      <w:color w:val="365F91"/>
      <w:lang w:val="ru-RU" w:eastAsia="ru-RU"/>
    </w:rPr>
  </w:style>
  <w:style w:type="paragraph" w:styleId="TOC1">
    <w:name w:val="TOC 1"/>
    <w:basedOn w:val="Normal"/>
    <w:next w:val="Normal"/>
    <w:autoRedefine/>
    <w:pPr>
      <w:shd w:val="clear" w:fill="FFFFFF"/>
      <w:tabs>
        <w:tab w:val="clear" w:pos="708"/>
        <w:tab w:val="right" w:pos="10138" w:leader="dot"/>
      </w:tabs>
      <w:spacing w:before="0" w:after="100"/>
    </w:pPr>
    <w:rPr>
      <w:rFonts w:ascii="Times New Roman" w:hAnsi="Times New Roman" w:eastAsia="Calibri" w:cs="Times New Roman"/>
      <w:b/>
      <w:lang w:eastAsia="ru-RU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TOC3">
    <w:name w:val="TOC 3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jc w:val="center"/>
    </w:pPr>
    <w:rPr>
      <w:b/>
      <w:bCs/>
    </w:rPr>
  </w:style>
  <w:style w:type="numbering" w:styleId="26903232511">
    <w:name w:val="26903232511"/>
    <w:qFormat/>
  </w:style>
  <w:style w:type="numbering" w:styleId="41329559151">
    <w:name w:val="4132955915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Application>AlterOffice/2026.2.1.0$Linux_X86_64 LibreOffice_project/f008988ffacaa0b2bf57911c2759d08ca79831df</Application>
  <AppVersion>15.0000</AppVersion>
  <Pages>5</Pages>
  <Words>610</Words>
  <Characters>4177</Characters>
  <CharactersWithSpaces>4667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2024-05-02T12:37:00Z</dcterms:created>
  <dc:creator>Катков Олег Валерьевич</dc:creator>
  <dc:description/>
  <dc:language>ru-RU</dc:language>
  <cp:lastModifiedBy>velikosvyatnn@corp.gidroogk.com</cp:lastModifiedBy>
  <cp:lastPrinted>2023-12-12T08:29:00Z</cp:lastPrinted>
  <dcterms:modified xsi:type="dcterms:W3CDTF">2026-09-11T19:13:38Z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