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</w:rPr>
        <w:t>«А</w:t>
      </w:r>
      <w:r>
        <w:rPr>
          <w:b/>
        </w:rPr>
        <w:t>втоперевозка персонала Нижнеколымского РЭС по маршруту п.Черский — п.Зеленый Мыс — п.Черский</w:t>
      </w:r>
      <w:r>
        <w:rPr>
          <w:rFonts w:eastAsia="Calibri"/>
          <w:b/>
        </w:rPr>
        <w:t>»</w:t>
      </w:r>
    </w:p>
    <w:p>
      <w:pPr>
        <w:pStyle w:val="Normal"/>
        <w:keepNext w:val="true"/>
        <w:keepLines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keepNext w:val="true"/>
        <w:keepLines/>
        <w:jc w:val="center"/>
        <w:rPr>
          <w:b/>
        </w:rPr>
      </w:pPr>
      <w:r>
        <w:rPr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keepNext w:val="true"/>
        <w:keepLines/>
        <w:jc w:val="both"/>
        <w:rPr/>
      </w:pPr>
      <w:r>
        <w:rPr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r>
        <w:rPr>
          <w:lang w:val="ru-RU"/>
        </w:rPr>
        <w:t>О</w:t>
      </w:r>
      <w:bookmarkStart w:id="0" w:name="_Toc152756605"/>
      <w:r>
        <w:rPr>
          <w:lang w:val="ru-RU"/>
        </w:rPr>
        <w:t>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bookmarkStart w:id="2" w:name="_Toc152756606"/>
      <w:r>
        <w:rPr/>
        <w:t>Обозначения и сокращения</w:t>
      </w:r>
      <w:bookmarkEnd w:id="1"/>
      <w:bookmarkEnd w:id="2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1013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85"/>
        <w:gridCol w:w="8046"/>
      </w:tblGrid>
      <w:tr>
        <w:trPr>
          <w:trHeight w:val="539" w:hRule="atLeast"/>
          <w:cantSplit w:val="true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(населенный пункт)</w:t>
            </w:r>
          </w:p>
        </w:tc>
      </w:tr>
      <w:tr>
        <w:trPr>
          <w:trHeight w:val="539" w:hRule="atLeast"/>
          <w:cantSplit w:val="true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Поселок (населенный пункт)</w:t>
            </w:r>
          </w:p>
        </w:tc>
      </w:tr>
      <w:tr>
        <w:trPr>
          <w:trHeight w:val="539" w:hRule="atLeast"/>
          <w:cantSplit w:val="true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</w:tr>
      <w:tr>
        <w:trPr>
          <w:trHeight w:val="539" w:hRule="atLeast"/>
          <w:cantSplit w:val="true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152756607"/>
      <w:r>
        <w:rPr/>
        <w:t>Наименование закупаемой продукции</w:t>
      </w:r>
      <w:bookmarkEnd w:id="3"/>
    </w:p>
    <w:p>
      <w:pPr>
        <w:pStyle w:val="Heading4"/>
        <w:numPr>
          <w:ilvl w:val="0"/>
          <w:numId w:val="0"/>
        </w:numPr>
        <w:ind w:left="0" w:hanging="0"/>
        <w:rPr>
          <w:b w:val="false"/>
          <w:bCs w:val="false"/>
        </w:rPr>
      </w:pPr>
      <w:r>
        <w:rPr>
          <w:rFonts w:eastAsia="Calibri"/>
          <w:b w:val="false"/>
          <w:bCs w:val="false"/>
          <w:sz w:val="24"/>
          <w:szCs w:val="24"/>
          <w:lang w:eastAsia="x-none"/>
        </w:rPr>
        <w:t>Автоперевозка персонала Нижнеколымского РЭС по маршруту п.Черский – п.Зеленый Мыс – п.Черский.</w:t>
      </w:r>
      <w:bookmarkStart w:id="4" w:name="_Toc46743507"/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5" w:name="_Toc152756608"/>
      <w:r>
        <w:rPr/>
        <w:t xml:space="preserve">Цель </w:t>
      </w:r>
      <w:bookmarkEnd w:id="4"/>
      <w:r>
        <w:rPr>
          <w:lang w:val="ru-RU"/>
        </w:rPr>
        <w:t>оказания услуг</w:t>
      </w:r>
      <w:bookmarkEnd w:id="5"/>
      <w:r>
        <w:rPr/>
        <w:t xml:space="preserve"> </w:t>
      </w:r>
    </w:p>
    <w:p>
      <w:pPr>
        <w:pStyle w:val="Normal"/>
        <w:jc w:val="both"/>
        <w:rPr>
          <w:sz w:val="24"/>
          <w:lang w:val="x-none" w:eastAsia="x-none"/>
        </w:rPr>
      </w:pPr>
      <w:r>
        <w:rPr>
          <w:sz w:val="24"/>
          <w:lang w:eastAsia="x-none"/>
        </w:rPr>
        <w:t>Выполнение п</w:t>
      </w:r>
      <w:r>
        <w:rPr>
          <w:rFonts w:eastAsia="Calibri"/>
          <w:b w:val="false"/>
          <w:bCs w:val="false"/>
          <w:sz w:val="24"/>
          <w:szCs w:val="24"/>
          <w:lang w:eastAsia="x-none"/>
        </w:rPr>
        <w:t>ассажирских автоперевозок по маршруту п.Черский – п.Зеленый Мыс – п.Черский, Нижнеколымского улуса</w:t>
      </w:r>
      <w:r>
        <w:rPr>
          <w:sz w:val="24"/>
          <w:lang w:eastAsia="x-none"/>
        </w:rPr>
        <w:t>. Перевозка осуществляется согласно заявки отправителя.</w:t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Normal"/>
        <w:rPr>
          <w:sz w:val="24"/>
          <w:lang w:val="x-none" w:eastAsia="x-none"/>
        </w:rPr>
      </w:pPr>
      <w:r>
        <w:rPr>
          <w:sz w:val="24"/>
          <w:lang w:val="x-none"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152756609"/>
      <w:bookmarkStart w:id="8" w:name="_Toc46743510"/>
      <w:bookmarkStart w:id="9" w:name="_Toc50125126"/>
      <w:bookmarkEnd w:id="8"/>
      <w:bookmarkEnd w:id="9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10" w:name="_Toc152756610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0"/>
    </w:p>
    <w:p>
      <w:pPr>
        <w:pStyle w:val="Normal"/>
        <w:keepNext w:val="true"/>
        <w:numPr>
          <w:ilvl w:val="0"/>
          <w:numId w:val="0"/>
        </w:numPr>
        <w:spacing w:before="120" w:after="60"/>
        <w:ind w:left="0" w:hanging="0"/>
        <w:outlineLvl w:val="2"/>
        <w:rPr>
          <w:rFonts w:eastAsia="Calibri"/>
          <w:b/>
          <w:sz w:val="24"/>
          <w:szCs w:val="24"/>
          <w:lang w:eastAsia="x-none"/>
        </w:rPr>
      </w:pPr>
      <w:bookmarkStart w:id="11" w:name="_Toc152756611"/>
      <w:bookmarkStart w:id="12" w:name="_Toc51339695"/>
      <w:r>
        <w:rPr>
          <w:rFonts w:eastAsia="Calibri"/>
          <w:b/>
          <w:sz w:val="24"/>
          <w:szCs w:val="24"/>
          <w:lang w:eastAsia="x-none"/>
        </w:rPr>
        <w:t xml:space="preserve">Таблица 1. Перечень </w:t>
      </w:r>
      <w:bookmarkEnd w:id="12"/>
      <w:r>
        <w:rPr>
          <w:rFonts w:eastAsia="Calibri"/>
          <w:b/>
          <w:sz w:val="24"/>
          <w:szCs w:val="24"/>
          <w:lang w:eastAsia="x-none"/>
        </w:rPr>
        <w:t>и объем оказываемых услуг. Требования к срокам оказания услуг</w:t>
      </w:r>
      <w:bookmarkEnd w:id="11"/>
    </w:p>
    <w:tbl>
      <w:tblPr>
        <w:tblW w:w="1002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2"/>
        <w:gridCol w:w="2039"/>
        <w:gridCol w:w="2126"/>
        <w:gridCol w:w="2397"/>
        <w:gridCol w:w="1503"/>
        <w:gridCol w:w="1497"/>
      </w:tblGrid>
      <w:tr>
        <w:trPr/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дней в месяц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Маршрут перевозки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перевозок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перевозок</w:t>
            </w:r>
          </w:p>
        </w:tc>
      </w:tr>
      <w:tr>
        <w:trPr/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pacing w:before="120" w:after="60"/>
              <w:ind w:left="0" w:hanging="0"/>
              <w:rPr>
                <w:b w:val="false"/>
                <w:bCs w:val="false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x-none"/>
              </w:rPr>
              <w:t>Пассажирская автоперевозка по маршруту п.Черский – п.Зеленый Мыс – п.Черский, Нижнеколымского улуса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pacing w:before="120" w:after="60"/>
              <w:ind w:left="0" w:hanging="0"/>
              <w:rPr>
                <w:b w:val="false"/>
                <w:bCs w:val="false"/>
              </w:rPr>
            </w:pPr>
            <w:r>
              <w:rPr>
                <w:rFonts w:eastAsia="Calibri"/>
                <w:b w:val="false"/>
                <w:bCs w:val="false"/>
                <w:color w:val="000000"/>
                <w:sz w:val="24"/>
                <w:szCs w:val="24"/>
                <w:lang w:eastAsia="x-none"/>
              </w:rPr>
              <w:t>п.Черский – п.Зеленый Мыс – п.Черский, Нижнеколымского улуса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момента заключения договора согласно заявки отправителя, </w:t>
            </w:r>
            <w:r>
              <w:rPr>
                <w:sz w:val="22"/>
                <w:szCs w:val="22"/>
              </w:rPr>
              <w:t>но не позднее 01.02.2027</w:t>
            </w:r>
          </w:p>
        </w:tc>
        <w:tc>
          <w:tcPr>
            <w:tcW w:w="1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</w:t>
            </w:r>
            <w:r>
              <w:rPr>
                <w:sz w:val="22"/>
                <w:szCs w:val="22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  <w:r>
        <w:br w:type="page"/>
      </w:r>
    </w:p>
    <w:p>
      <w:pPr>
        <w:pStyle w:val="Normal"/>
        <w:shd w:val="clear" w:color="auto" w:fill="FFFFFF"/>
        <w:ind w:firstLine="283"/>
        <w:jc w:val="both"/>
        <w:textAlignment w:val="baseline"/>
        <w:rPr/>
      </w:pPr>
      <w:r>
        <w:rPr>
          <w:b/>
          <w:bCs/>
          <w:color w:val="000000"/>
        </w:rPr>
        <w:t>5.</w:t>
        <w:tab/>
        <w:t>Требования к Исполнителю оказания услуг:</w:t>
      </w:r>
    </w:p>
    <w:p>
      <w:pPr>
        <w:pStyle w:val="Normal"/>
        <w:tabs>
          <w:tab w:val="clear" w:pos="708"/>
          <w:tab w:val="left" w:pos="567" w:leader="none"/>
        </w:tabs>
        <w:snapToGrid w:val="false"/>
        <w:ind w:left="1134" w:hanging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5.1. </w:t>
      </w:r>
      <w:r>
        <w:rPr>
          <w:bCs/>
          <w:sz w:val="24"/>
          <w:szCs w:val="24"/>
        </w:rPr>
        <w:tab/>
      </w:r>
      <w:r>
        <w:rPr>
          <w:sz w:val="24"/>
          <w:szCs w:val="24"/>
          <w:lang w:eastAsia="en-US"/>
        </w:rPr>
        <w:t>Подача автотранспорта по заявке «Отправителя»;</w:t>
      </w:r>
    </w:p>
    <w:p>
      <w:pPr>
        <w:pStyle w:val="Normal"/>
        <w:tabs>
          <w:tab w:val="clear" w:pos="708"/>
          <w:tab w:val="left" w:pos="1134" w:leader="none"/>
        </w:tabs>
        <w:snapToGrid w:val="false"/>
        <w:ind w:left="1134" w:hanging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</w:t>
      </w:r>
      <w:r>
        <w:rPr>
          <w:bCs/>
          <w:sz w:val="24"/>
          <w:szCs w:val="24"/>
        </w:rPr>
        <w:t>2.    Автотранспорт должен быть в исправном техническом состоянии, соответствующий всем установленным для него техническим требованиям, своевременного прохождения технического осмотра с оформлением всех установленных документов;</w:t>
      </w:r>
    </w:p>
    <w:p>
      <w:pPr>
        <w:pStyle w:val="Normal"/>
        <w:spacing w:before="0" w:after="0"/>
        <w:ind w:left="1134" w:hanging="567"/>
        <w:contextualSpacing/>
        <w:jc w:val="both"/>
        <w:rPr>
          <w:sz w:val="24"/>
          <w:szCs w:val="24"/>
        </w:rPr>
      </w:pPr>
      <w:r>
        <w:rPr>
          <w:rFonts w:eastAsia="Calibri" w:eastAsiaTheme="minorHAnsi"/>
          <w:sz w:val="24"/>
          <w:szCs w:val="24"/>
          <w:lang w:eastAsia="en-US"/>
        </w:rPr>
        <w:t>5.5.</w:t>
        <w:tab/>
        <w:t>Возможность корректировки маршрута и графика движения автотранспорта в связи с изменениями в производственном цикле;</w:t>
      </w:r>
    </w:p>
    <w:p>
      <w:pPr>
        <w:pStyle w:val="Normal"/>
        <w:shd w:val="clear" w:color="auto" w:fill="FFFFFF"/>
        <w:ind w:left="1134" w:hanging="567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5.6.</w:t>
        <w:tab/>
      </w:r>
      <w:r>
        <w:rPr>
          <w:sz w:val="24"/>
          <w:szCs w:val="24"/>
        </w:rPr>
        <w:t>Срок принятия заявки на перевозку и ее рассмотрения не должен превышать 48 часов (от подачи заявки Заказчиком);</w:t>
      </w:r>
    </w:p>
    <w:p>
      <w:pPr>
        <w:pStyle w:val="Normal"/>
        <w:shd w:val="clear" w:color="auto" w:fill="FFFFFF"/>
        <w:ind w:left="1134" w:hanging="567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5.7.</w:t>
        <w:tab/>
        <w:t>Исполнитель организует подачу автотранспорта в пункт отправки на дату и в часы, указанные в заявке;</w:t>
      </w:r>
    </w:p>
    <w:p>
      <w:pPr>
        <w:pStyle w:val="Normal"/>
        <w:shd w:val="clear" w:color="auto" w:fill="FFFFFF"/>
        <w:ind w:left="1134" w:hanging="567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5.8.</w:t>
        <w:tab/>
        <w:t>Исполнитель обязан сообщить Заказчику не позднее 14:00 часов дня, текущего дня загрузки, информацию о государственных номерах автомобилей фамилиях водителей, что подтверждается Исполнителем посредством отправки Заказчику факсимильной связью заявки, скрепленной печатью Исполнителя. С этого момента заявка считается принятой к исполнению;</w:t>
      </w:r>
    </w:p>
    <w:p>
      <w:pPr>
        <w:pStyle w:val="Normal"/>
        <w:shd w:val="clear" w:color="auto" w:fill="FFFFFF"/>
        <w:ind w:left="1134" w:hanging="567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5.9.</w:t>
        <w:tab/>
        <w:t>В случае отказа (срыва) от подтвержденной Исполнителем заявки Исполнитель выплачивает неустойку согласно условиям Договора;</w:t>
      </w:r>
    </w:p>
    <w:p>
      <w:pPr>
        <w:pStyle w:val="Normal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ind w:left="1134" w:hanging="567"/>
        <w:jc w:val="both"/>
        <w:textAlignment w:val="baseline"/>
        <w:rPr/>
      </w:pPr>
      <w:r>
        <w:rPr>
          <w:b/>
          <w:color w:val="000000"/>
        </w:rPr>
        <w:t>6.</w:t>
      </w:r>
      <w:r>
        <w:rPr>
          <w:color w:val="000000"/>
        </w:rPr>
        <w:t xml:space="preserve">         </w:t>
      </w:r>
      <w:r>
        <w:rPr>
          <w:b/>
          <w:bCs/>
          <w:color w:val="000000"/>
        </w:rPr>
        <w:t>Требования к безопасности при оказании услуги:</w:t>
      </w:r>
    </w:p>
    <w:p>
      <w:pPr>
        <w:pStyle w:val="Normal"/>
        <w:shd w:val="clear" w:color="auto" w:fill="FFFFFF"/>
        <w:ind w:firstLine="567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6.1.       Заказчик определяет тип и количество транспортных средств, необходимых для выполнения заявок;</w:t>
      </w:r>
    </w:p>
    <w:p>
      <w:pPr>
        <w:pStyle w:val="Normal"/>
        <w:shd w:val="clear" w:color="auto" w:fill="FFFFFF"/>
        <w:ind w:firstLine="567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6.2.       Исполнитель своевременно обеспечивает в соответствии с заявками «Заказчика», подачу автотранспортных средств;</w:t>
      </w:r>
    </w:p>
    <w:p>
      <w:pPr>
        <w:pStyle w:val="ListParagraph"/>
        <w:shd w:val="clear" w:color="auto" w:fill="FFFFFF"/>
        <w:ind w:left="567" w:hanging="0"/>
        <w:jc w:val="both"/>
        <w:textAlignment w:val="baseline"/>
        <w:rPr>
          <w:color w:val="000000"/>
        </w:rPr>
      </w:pPr>
      <w:r>
        <w:rPr>
          <w:color w:val="000000"/>
        </w:rPr>
        <w:t>6.4.</w:t>
        <w:tab/>
        <w:t>Исполнитель обязан обеспечить соблюдение и неукоснительное выполнение требований техники безопасности при перевозке пассажиров автомобильным транспортом.</w:t>
      </w:r>
    </w:p>
    <w:p>
      <w:pPr>
        <w:pStyle w:val="ListParagraph"/>
        <w:widowControl/>
        <w:shd w:val="clear" w:color="auto" w:fill="FFFFFF"/>
        <w:suppressAutoHyphens w:val="true"/>
        <w:bidi w:val="0"/>
        <w:spacing w:before="0" w:after="0"/>
        <w:ind w:left="567" w:right="0" w:hanging="0"/>
        <w:contextualSpacing/>
        <w:jc w:val="both"/>
        <w:textAlignment w:val="baseline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ListParagraph"/>
        <w:numPr>
          <w:ilvl w:val="0"/>
          <w:numId w:val="7"/>
        </w:numPr>
        <w:shd w:val="clear" w:color="auto" w:fill="FFFFFF"/>
        <w:ind w:left="1134" w:hanging="567"/>
        <w:jc w:val="both"/>
        <w:textAlignment w:val="baseline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Требования к гарантийному сроку и (или) объему предоставления гарантий качества услуги:</w:t>
      </w:r>
    </w:p>
    <w:p>
      <w:pPr>
        <w:pStyle w:val="ListParagraph"/>
        <w:shd w:val="clear" w:color="auto" w:fill="FFFFFF"/>
        <w:ind w:left="567" w:hanging="0"/>
        <w:jc w:val="both"/>
        <w:textAlignment w:val="baseline"/>
        <w:rPr/>
      </w:pPr>
      <w:r>
        <w:rPr>
          <w:color w:val="000000"/>
        </w:rPr>
        <w:t>7.4.</w:t>
        <w:tab/>
        <w:t>Исполнитель обязан обеспечить диспетчерский контроль за перевозкой пассажиров, при возникновении нештатной ситуации, немедленно принять меры для устранения факторов способных повлиять на перевозку пассажиров в пункт назначения, незамедлительно информировать Заказчика обо всех случаях задержки транспортных средств, которые повлекли или могут повлечь за собой нарушение срока с указанием причин возникновения;</w:t>
      </w:r>
    </w:p>
    <w:p>
      <w:pPr>
        <w:pStyle w:val="ListParagraph"/>
        <w:shd w:val="clear" w:color="auto" w:fill="FFFFFF"/>
        <w:ind w:left="567" w:hanging="0"/>
        <w:jc w:val="both"/>
        <w:textAlignment w:val="baseline"/>
        <w:rPr/>
      </w:pPr>
      <w:r>
        <w:rPr>
          <w:color w:val="000000"/>
        </w:rPr>
        <w:t>7.5.</w:t>
        <w:tab/>
        <w:t>Исполнитель обязан обеспечить возможность оперативной замены транспортного средства другим в случае неисправности или дорожно-транспортного происшествия;</w:t>
      </w:r>
    </w:p>
    <w:p>
      <w:pPr>
        <w:pStyle w:val="ListParagraph"/>
        <w:shd w:val="clear" w:color="auto" w:fill="FFFFFF"/>
        <w:ind w:left="567" w:hanging="0"/>
        <w:jc w:val="both"/>
        <w:textAlignment w:val="baseline"/>
        <w:rPr>
          <w:bCs/>
          <w:i/>
          <w:i/>
          <w:shd w:fill="FFFF99" w:val="clear"/>
        </w:rPr>
      </w:pPr>
      <w:r>
        <w:rPr>
          <w:rFonts w:eastAsia="Times New Roman"/>
          <w:color w:val="000000"/>
        </w:rPr>
        <w:t>7.6.</w:t>
        <w:tab/>
        <w:t>А также иные требования, предусмотренные действующим законодательством РФ.</w:t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469B957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469B957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7"/>
      <w:numFmt w:val="decimal"/>
      <w:lvlText w:val="%1."/>
      <w:lvlJc w:val="left"/>
      <w:pPr>
        <w:tabs>
          <w:tab w:val="num" w:pos="0"/>
        </w:tabs>
        <w:ind w:left="1494" w:hanging="36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4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54" w:hanging="72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14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14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14" w:hanging="108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74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840e39"/>
    <w:rPr>
      <w:color w:val="0563C1" w:themeColor="hyperlink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Style15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4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F4369-230C-4348-9F53-D0520DB7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Application>AlterOffice/2025.3.0.0$Linux_X86_64 LibreOffice_project/4ba31b6a4271509a884f95065d0a726e9cb2bdbb</Application>
  <AppVersion>15.0000</AppVersion>
  <Pages>4</Pages>
  <Words>425</Words>
  <Characters>3053</Characters>
  <CharactersWithSpaces>3451</CharactersWithSpaces>
  <Paragraphs>55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2023-12-06T00:15:00Z</dcterms:created>
  <dc:creator>Быстров Олег Геннадьевич</dc:creator>
  <dc:description/>
  <dc:language>ru-RU</dc:language>
  <cp:lastModifiedBy>molorovvv@sed.local</cp:lastModifiedBy>
  <dcterms:modified xsi:type="dcterms:W3CDTF">2026-09-14T13:30:55Z</dcterms:modified>
  <cp:revision>21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