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</w:r>
    </w:p>
    <w:p>
      <w:pPr>
        <w:pStyle w:val="Normal"/>
        <w:jc w:val="right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/>
      </w:pPr>
      <w:r>
        <w:rPr>
          <w:rFonts w:eastAsia="Calibri"/>
        </w:rPr>
        <w:t>«</w:t>
      </w:r>
      <w:r>
        <w:rPr>
          <w:rFonts w:eastAsia="Calibri"/>
          <w:i/>
        </w:rPr>
        <w:t>ОКПД2 28.25.11.111 Поставка маслоохладителей подпятника (аварийный запас) для нужд филиала ПАО «РусГидро»-«Бурейская ГЭС»</w:t>
      </w:r>
    </w:p>
    <w:p>
      <w:pPr>
        <w:pStyle w:val="Normal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2026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3893_3097593278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895_3097593278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897_3097593278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899_3097593278">
            <w:r>
              <w:rPr>
                <w:webHidden/>
                <w:rStyle w:val="Style14"/>
                <w:vanish w:val="false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3901_3097593278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903_3097593278">
            <w:r>
              <w:rPr>
                <w:webHidden/>
                <w:rStyle w:val="Style14"/>
                <w:vanish w:val="false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hyperlink w:anchor="__RefHeading___Toc3905_3097593278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3907_3097593278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hyperlink w:anchor="__RefHeading___Toc3909_3097593278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3911_3097593278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913_3097593278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3915_3097593278">
            <w:r>
              <w:rPr>
                <w:webHidden/>
                <w:rStyle w:val="Style14"/>
                <w:vanish w:val="false"/>
              </w:rPr>
              <w:t>По качеству и комплектности должна соответствовать действующим на момент поставки ТУ или ГОСТ, указанным в соответствующих сертификатах.</w:t>
              <w:tab/>
              <w:t>5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3917_3097593278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5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3925_3097593278">
            <w:r>
              <w:rPr/>
            </w:r>
          </w:hyperlink>
          <w:r>
            <w:rPr/>
            <w:fldChar w:fldCharType="end"/>
          </w:r>
        </w:p>
      </w:sdtContent>
    </w:sdt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hanging="357" w:left="357"/>
        <w:jc w:val="center"/>
        <w:rPr>
          <w:caps/>
          <w:lang w:val="ru-RU"/>
        </w:rPr>
      </w:pPr>
      <w:bookmarkStart w:id="0" w:name="__RefHeading___Toc3893_3097593278"/>
      <w:bookmarkStart w:id="1" w:name="_Toc51339692"/>
      <w:bookmarkStart w:id="2" w:name="_Toc75446566"/>
      <w:bookmarkEnd w:id="0"/>
      <w:r>
        <w:rPr>
          <w:lang w:val="ru-RU"/>
        </w:rPr>
        <w:t>Общие сведения</w:t>
      </w:r>
      <w:bookmarkEnd w:id="1"/>
      <w:bookmarkEnd w:id="2"/>
    </w:p>
    <w:p>
      <w:pPr>
        <w:pStyle w:val="Normal"/>
        <w:ind w:hanging="357" w:left="357"/>
        <w:jc w:val="center"/>
        <w:rPr>
          <w:caps/>
        </w:rPr>
      </w:pPr>
      <w:r>
        <w:rPr>
          <w:caps/>
        </w:rPr>
      </w:r>
    </w:p>
    <w:p>
      <w:pPr>
        <w:pStyle w:val="Heading4"/>
        <w:numPr>
          <w:ilvl w:val="1"/>
          <w:numId w:val="3"/>
        </w:numPr>
        <w:ind w:hanging="340" w:left="1247"/>
        <w:rPr/>
      </w:pPr>
      <w:bookmarkStart w:id="3" w:name="__RefHeading___Toc3895_3097593278"/>
      <w:bookmarkStart w:id="4" w:name="_Toc75446567"/>
      <w:bookmarkStart w:id="5" w:name="_Toc46743505"/>
      <w:bookmarkEnd w:id="3"/>
      <w:r>
        <w:rPr/>
        <w:t>Обозначения и сокращения</w:t>
      </w:r>
      <w:bookmarkEnd w:id="4"/>
      <w:bookmarkEnd w:id="5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Сборочный чертеж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«РусГидро»-«Бурейская ГЭС»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закупки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Материально-технический ресурс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НМЦ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Начальная максимальная цена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ТМЦ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36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Товарно-материальные ценности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ind w:hanging="340" w:left="1247"/>
        <w:rPr/>
      </w:pPr>
      <w:bookmarkStart w:id="6" w:name="__RefHeading___Toc3897_3097593278"/>
      <w:bookmarkStart w:id="7" w:name="_Toc46743506"/>
      <w:bookmarkStart w:id="8" w:name="_Toc75446568"/>
      <w:bookmarkEnd w:id="6"/>
      <w:r>
        <w:rPr/>
        <w:t>Наименование закупаемой продукции</w:t>
      </w:r>
      <w:bookmarkEnd w:id="7"/>
      <w:bookmarkEnd w:id="8"/>
    </w:p>
    <w:p>
      <w:pPr>
        <w:pStyle w:val="Normal"/>
        <w:jc w:val="both"/>
        <w:rPr/>
      </w:pPr>
      <w:r>
        <w:rPr>
          <w:rFonts w:eastAsia="Calibri"/>
          <w:sz w:val="24"/>
          <w:szCs w:val="24"/>
          <w:lang w:eastAsia="x-none"/>
        </w:rPr>
        <w:t>«ОКПД2 28.25.11.111 Поставка маслоохладителей подпятника (аварийный запас) для нужд филиала ПАО «РусГидро»-«Бурейская ГЭС»»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85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4"/>
        <w:numPr>
          <w:ilvl w:val="1"/>
          <w:numId w:val="3"/>
        </w:numPr>
        <w:ind w:hanging="283" w:left="1191"/>
        <w:jc w:val="both"/>
        <w:rPr/>
      </w:pPr>
      <w:bookmarkStart w:id="9" w:name="__RefHeading___Toc3899_3097593278"/>
      <w:bookmarkStart w:id="10" w:name="_Toc75446569"/>
      <w:bookmarkStart w:id="11" w:name="_Toc46743507"/>
      <w:bookmarkEnd w:id="9"/>
      <w:r>
        <w:rPr/>
        <w:t xml:space="preserve">Цель </w:t>
      </w:r>
      <w:bookmarkEnd w:id="11"/>
      <w:r>
        <w:rPr/>
        <w:t xml:space="preserve">использования закупаемой продукции </w:t>
      </w:r>
      <w:bookmarkEnd w:id="10"/>
    </w:p>
    <w:p>
      <w:pPr>
        <w:pStyle w:val="Normal"/>
        <w:ind w:firstLine="850"/>
        <w:jc w:val="both"/>
        <w:rPr/>
      </w:pPr>
      <w:r>
        <w:rPr>
          <w:bCs/>
          <w:color w:val="000000"/>
          <w:sz w:val="24"/>
          <w:szCs w:val="24"/>
        </w:rPr>
        <w:t xml:space="preserve">Обеспечение аварийным запасом материалов, </w:t>
      </w:r>
      <w:r>
        <w:rPr>
          <w:rFonts w:eastAsia="Calibri"/>
          <w:color w:val="000000"/>
          <w:sz w:val="24"/>
          <w:szCs w:val="24"/>
        </w:rPr>
        <w:t>необходимых для ликвидации возможных отказов (аварий) турбинного и гидромеханического</w:t>
      </w:r>
      <w:r>
        <w:rPr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оборудования, </w:t>
      </w:r>
      <w:r>
        <w:rPr>
          <w:rFonts w:cs="Calibri"/>
          <w:color w:val="000000"/>
          <w:sz w:val="24"/>
          <w:szCs w:val="24"/>
          <w:lang w:eastAsia="x-none"/>
        </w:rPr>
        <w:t xml:space="preserve">установленного на Бурейской ГЭС. </w:t>
      </w:r>
      <w:bookmarkStart w:id="12" w:name="_Hlk49857604"/>
      <w:bookmarkStart w:id="13" w:name="_Toc75446571"/>
      <w:bookmarkStart w:id="14" w:name="_Toc46743509"/>
      <w:bookmarkEnd w:id="12"/>
      <w:bookmarkEnd w:id="13"/>
      <w:bookmarkEnd w:id="14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0" w:after="120"/>
        <w:contextualSpacing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hanging="357" w:left="357"/>
        <w:jc w:val="center"/>
        <w:rPr>
          <w:iCs/>
          <w:caps/>
          <w:lang w:val="ru-RU"/>
        </w:rPr>
      </w:pPr>
      <w:bookmarkStart w:id="15" w:name="__RefHeading___Toc3901_3097593278"/>
      <w:bookmarkStart w:id="16" w:name="_Toc75446573"/>
      <w:bookmarkStart w:id="17" w:name="_Toc51339693"/>
      <w:bookmarkStart w:id="18" w:name="_Toc75446572_Копия_1"/>
      <w:bookmarkEnd w:id="15"/>
      <w:bookmarkEnd w:id="18"/>
      <w:r>
        <w:rPr>
          <w:iCs/>
        </w:rPr>
        <w:t>Требования к продукции</w:t>
      </w:r>
      <w:bookmarkEnd w:id="16"/>
      <w:bookmarkEnd w:id="17"/>
    </w:p>
    <w:p>
      <w:pPr>
        <w:pStyle w:val="Heading4"/>
        <w:numPr>
          <w:ilvl w:val="0"/>
        </w:numPr>
        <w:ind w:hanging="0" w:left="1247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4"/>
        <w:numPr>
          <w:ilvl w:val="1"/>
          <w:numId w:val="3"/>
        </w:numPr>
        <w:ind w:hanging="340" w:left="1247"/>
        <w:rPr/>
      </w:pPr>
      <w:bookmarkStart w:id="19" w:name="__RefHeading___Toc3903_3097593278"/>
      <w:bookmarkStart w:id="20" w:name="_Toc75446574"/>
      <w:bookmarkEnd w:id="19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0"/>
    </w:p>
    <w:p>
      <w:pPr>
        <w:pStyle w:val="Heading3"/>
        <w:numPr>
          <w:ilvl w:val="0"/>
          <w:numId w:val="0"/>
        </w:numPr>
        <w:ind w:hanging="0" w:left="850"/>
        <w:rPr/>
      </w:pPr>
      <w:bookmarkStart w:id="21" w:name="__RefHeading___Toc3905_3097593278"/>
      <w:bookmarkEnd w:id="21"/>
      <w:r>
        <w:rPr>
          <w:lang w:val="ru-RU"/>
        </w:rPr>
        <w:t xml:space="preserve">2.1.1. </w:t>
      </w:r>
      <w:bookmarkStart w:id="22" w:name="_Toc75446575"/>
      <w:r>
        <w:rPr>
          <w:lang w:val="ru-RU"/>
        </w:rPr>
        <w:t>Перечень и объем закупаемой продукции</w:t>
      </w:r>
      <w:bookmarkEnd w:id="22"/>
    </w:p>
    <w:p>
      <w:pPr>
        <w:pStyle w:val="Normal"/>
        <w:ind w:hanging="0" w:left="850"/>
        <w:rPr/>
      </w:pPr>
      <w:r>
        <w:rPr/>
      </w:r>
    </w:p>
    <w:p>
      <w:pPr>
        <w:pStyle w:val="Heading1"/>
        <w:keepLines/>
        <w:numPr>
          <w:ilvl w:val="0"/>
          <w:numId w:val="0"/>
        </w:numPr>
        <w:ind w:hanging="0" w:left="0"/>
        <w:rPr>
          <w:sz w:val="24"/>
          <w:szCs w:val="24"/>
          <w:lang w:val="ru-RU"/>
        </w:rPr>
      </w:pPr>
      <w:bookmarkStart w:id="23" w:name="__RefHeading___Toc3907_3097593278"/>
      <w:bookmarkStart w:id="24" w:name="_Toc75446576"/>
      <w:bookmarkStart w:id="25" w:name="_Toc51339695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5"/>
      <w:r>
        <w:rPr>
          <w:sz w:val="24"/>
          <w:szCs w:val="24"/>
          <w:lang w:val="ru-RU"/>
        </w:rPr>
        <w:t>и объем закупаемой продукции</w:t>
      </w:r>
      <w:bookmarkEnd w:id="24"/>
    </w:p>
    <w:tbl>
      <w:tblPr>
        <w:tblW w:w="982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0"/>
        <w:gridCol w:w="6598"/>
        <w:gridCol w:w="1143"/>
        <w:gridCol w:w="1418"/>
      </w:tblGrid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4"/>
              <w:widowControl w:val="false"/>
              <w:rPr/>
            </w:pPr>
            <w:r>
              <w:rPr>
                <w:sz w:val="24"/>
                <w:szCs w:val="24"/>
              </w:rPr>
              <w:t>Маслоохладитель подпятника, поз. 13 обозначение 6БС.392.399 чертёж 5БС.357.439 СБ (нерж. сталь)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16</w:t>
            </w:r>
          </w:p>
        </w:tc>
      </w:tr>
    </w:tbl>
    <w:p>
      <w:pPr>
        <w:pStyle w:val="Heading1"/>
        <w:keepLines/>
        <w:numPr>
          <w:ilvl w:val="0"/>
          <w:numId w:val="0"/>
        </w:numPr>
        <w:spacing w:before="240" w:after="60"/>
        <w:ind w:hanging="0"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spacing w:before="240" w:after="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0"/>
          <w:numId w:val="0"/>
        </w:numPr>
        <w:ind w:hanging="0" w:left="720"/>
        <w:rPr>
          <w:lang w:val="ru-RU"/>
        </w:rPr>
      </w:pPr>
      <w:bookmarkStart w:id="26" w:name="__RefHeading___Toc3909_3097593278"/>
      <w:bookmarkEnd w:id="26"/>
      <w:r>
        <w:rPr>
          <w:lang w:val="ru-RU"/>
        </w:rPr>
        <w:t xml:space="preserve">2.1.2. </w:t>
      </w:r>
      <w:bookmarkStart w:id="27" w:name="_Toc75446578"/>
      <w:bookmarkStart w:id="28" w:name="_Toc51339696"/>
      <w:r>
        <w:rPr>
          <w:lang w:val="ru-RU"/>
        </w:rPr>
        <w:t>Требо</w:t>
      </w:r>
      <w:r>
        <w:rPr/>
        <w:t xml:space="preserve">вания </w:t>
      </w:r>
      <w:bookmarkEnd w:id="28"/>
      <w:r>
        <w:rPr/>
        <w:t>к срокам поставки продукции и оказания сопутствующих услуг</w:t>
      </w:r>
      <w:bookmarkEnd w:id="27"/>
    </w:p>
    <w:p>
      <w:pPr>
        <w:pStyle w:val="Normal"/>
        <w:ind w:hanging="0" w:left="720"/>
        <w:rPr/>
      </w:pPr>
      <w:r>
        <w:rPr/>
      </w:r>
    </w:p>
    <w:p>
      <w:pPr>
        <w:pStyle w:val="Heading1"/>
        <w:keepLines/>
        <w:numPr>
          <w:ilvl w:val="0"/>
          <w:numId w:val="0"/>
        </w:numPr>
        <w:ind w:hanging="0" w:left="0"/>
        <w:rPr>
          <w:sz w:val="24"/>
          <w:szCs w:val="24"/>
          <w:lang w:val="ru-RU"/>
        </w:rPr>
      </w:pPr>
      <w:bookmarkStart w:id="29" w:name="__RefHeading___Toc3911_3097593278"/>
      <w:bookmarkStart w:id="30" w:name="_Toc75446579"/>
      <w:bookmarkStart w:id="31" w:name="_Toc51339697"/>
      <w:bookmarkStart w:id="32" w:name="_Toc50125127"/>
      <w:bookmarkStart w:id="33" w:name="_Toc50125126_Копия_1"/>
      <w:bookmarkEnd w:id="29"/>
      <w:bookmarkEnd w:id="33"/>
      <w:r>
        <w:rPr>
          <w:sz w:val="24"/>
          <w:szCs w:val="24"/>
        </w:rPr>
        <w:t xml:space="preserve">Таблица 2.1 </w:t>
      </w:r>
      <w:bookmarkStart w:id="34" w:name="_Hlk50465284"/>
      <w:r>
        <w:rPr>
          <w:sz w:val="24"/>
          <w:szCs w:val="24"/>
        </w:rPr>
        <w:t xml:space="preserve">Требования по срокам </w:t>
      </w:r>
      <w:bookmarkEnd w:id="31"/>
      <w:bookmarkEnd w:id="32"/>
      <w:bookmarkEnd w:id="34"/>
      <w:r>
        <w:rPr>
          <w:sz w:val="24"/>
          <w:szCs w:val="24"/>
          <w:lang w:val="ru-RU"/>
        </w:rPr>
        <w:t>поставки продукции</w:t>
      </w:r>
      <w:bookmarkEnd w:id="30"/>
      <w:r>
        <w:rPr>
          <w:sz w:val="24"/>
          <w:szCs w:val="24"/>
          <w:lang w:val="ru-RU"/>
        </w:rPr>
        <w:t xml:space="preserve"> </w:t>
      </w:r>
    </w:p>
    <w:tbl>
      <w:tblPr>
        <w:tblW w:w="995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23"/>
        <w:gridCol w:w="3523"/>
        <w:gridCol w:w="2696"/>
        <w:gridCol w:w="3109"/>
      </w:tblGrid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34"/>
              <w:widowControl w:val="false"/>
              <w:rPr/>
            </w:pPr>
            <w:r>
              <w:rPr>
                <w:sz w:val="24"/>
                <w:szCs w:val="24"/>
              </w:rPr>
              <w:t>Маслоохладитель подпятника, поз. 13 обозначение 6БС.392.399 чертёж 5БС.357.439 СБ (нерж. сталь)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День, следующий за днем подписания Сторонами договора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В течении 270 (двухсот семидесяти) календарных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  <w:r>
        <w:br w:type="page"/>
      </w:r>
    </w:p>
    <w:p>
      <w:pPr>
        <w:pStyle w:val="Heading4"/>
        <w:numPr>
          <w:ilvl w:val="1"/>
          <w:numId w:val="3"/>
        </w:numPr>
        <w:ind w:hanging="432" w:left="1224"/>
        <w:rPr/>
      </w:pPr>
      <w:bookmarkStart w:id="35" w:name="__RefHeading___Toc3913_3097593278"/>
      <w:bookmarkStart w:id="36" w:name="_Toc51339698"/>
      <w:bookmarkStart w:id="37" w:name="_Toc75446581"/>
      <w:bookmarkStart w:id="38" w:name="_Toc46743511"/>
      <w:bookmarkEnd w:id="35"/>
      <w:r>
        <w:rPr/>
        <w:t xml:space="preserve">Требования к </w:t>
      </w:r>
      <w:bookmarkEnd w:id="38"/>
      <w:r>
        <w:rPr>
          <w:lang w:val="ru-RU"/>
        </w:rPr>
        <w:t>качеству продукции</w:t>
      </w:r>
      <w:bookmarkEnd w:id="37"/>
    </w:p>
    <w:p>
      <w:pPr>
        <w:pStyle w:val="Normal"/>
        <w:keepNext w:val="true"/>
        <w:spacing w:before="120" w:after="60"/>
        <w:ind w:firstLine="79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</w:numPr>
        <w:spacing w:before="120" w:after="60"/>
        <w:ind w:firstLine="794" w:left="0"/>
        <w:jc w:val="both"/>
        <w:rPr>
          <w:b w:val="false"/>
          <w:bCs w:val="false"/>
        </w:rPr>
      </w:pPr>
      <w:r>
        <w:rPr>
          <w:b w:val="false"/>
          <w:bCs w:val="false"/>
        </w:rPr>
      </w:r>
      <w:bookmarkStart w:id="39" w:name="__RefHeading___Toc3915_3097593278"/>
      <w:bookmarkStart w:id="40" w:name="__RefHeading___Toc3915_3097593278"/>
      <w:bookmarkEnd w:id="40"/>
    </w:p>
    <w:p>
      <w:pPr>
        <w:pStyle w:val="Heading1"/>
        <w:keepLines/>
        <w:numPr>
          <w:ilvl w:val="0"/>
          <w:numId w:val="0"/>
        </w:numPr>
        <w:ind w:hanging="0" w:left="0"/>
        <w:rPr>
          <w:sz w:val="24"/>
          <w:szCs w:val="24"/>
        </w:rPr>
      </w:pPr>
      <w:bookmarkStart w:id="41" w:name="__RefHeading___Toc3917_3097593278"/>
      <w:bookmarkEnd w:id="41"/>
      <w:r>
        <w:rPr>
          <w:sz w:val="24"/>
          <w:szCs w:val="24"/>
        </w:rPr>
        <w:t xml:space="preserve"> </w:t>
      </w:r>
      <w:bookmarkStart w:id="42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2"/>
      <w:r>
        <w:rPr>
          <w:sz w:val="24"/>
          <w:szCs w:val="24"/>
        </w:rPr>
        <w:t xml:space="preserve"> </w:t>
      </w:r>
      <w:bookmarkEnd w:id="36"/>
    </w:p>
    <w:tbl>
      <w:tblPr>
        <w:tblStyle w:val="affff9"/>
        <w:tblW w:w="152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2"/>
        <w:gridCol w:w="3441"/>
        <w:gridCol w:w="5312"/>
        <w:gridCol w:w="2099"/>
        <w:gridCol w:w="2083"/>
        <w:gridCol w:w="1694"/>
      </w:tblGrid>
      <w:tr>
        <w:trPr/>
        <w:tc>
          <w:tcPr>
            <w:tcW w:w="58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4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312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182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69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8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312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9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08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9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4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312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09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8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6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58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75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9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8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441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Маслоохладитель подпятника, поз. 13 обозначение 6БС.392.399 чертёж 5БС.357.439 СБ (нерж. Сталь)</w:t>
            </w:r>
          </w:p>
        </w:tc>
        <w:tc>
          <w:tcPr>
            <w:tcW w:w="5312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Трубки охлаждения маслоохладителей должны быть выполнены из нержавеющей стали.</w:t>
            </w:r>
          </w:p>
        </w:tc>
        <w:tc>
          <w:tcPr>
            <w:tcW w:w="209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08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firstLine="142" w:left="-117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‍</w:t>
            </w:r>
          </w:p>
        </w:tc>
        <w:tc>
          <w:tcPr>
            <w:tcW w:w="3441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Маслоохладитель подпятника, поз. 13 обозначение 6БС.392.399 чертёж 5БС.357.439 СБ (нерж. Сталь)</w:t>
            </w:r>
          </w:p>
        </w:tc>
        <w:tc>
          <w:tcPr>
            <w:tcW w:w="5312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12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 По качеству и комплектности должна соответствовать действующим на момент поставки ТУ или ГОСТ, указанным в соответствующих сертификатах.</w:t>
            </w:r>
          </w:p>
        </w:tc>
        <w:tc>
          <w:tcPr>
            <w:tcW w:w="209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8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-117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2.</w:t>
            </w:r>
          </w:p>
        </w:tc>
        <w:tc>
          <w:tcPr>
            <w:tcW w:w="8753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09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-117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2.1.</w:t>
            </w:r>
          </w:p>
        </w:tc>
        <w:tc>
          <w:tcPr>
            <w:tcW w:w="34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</w:t>
            </w:r>
          </w:p>
        </w:tc>
        <w:tc>
          <w:tcPr>
            <w:tcW w:w="531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Гарантийный срок на поставляемые Товары должен быть равен сроку, установленному заводом - изготовителем и начинает течь с даты подписания Сторонами накладной ТОРГ-12. Гарантийный срок может быть продлен в соответствии с условиями Договора. Установленный в отношении Товаров гарантийный срок распространяется на все составные части и комплектующие Товаров.</w:t>
            </w:r>
          </w:p>
        </w:tc>
        <w:tc>
          <w:tcPr>
            <w:tcW w:w="209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сроку гарантии на оборудование и запасные части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-113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3.</w:t>
            </w:r>
          </w:p>
        </w:tc>
        <w:tc>
          <w:tcPr>
            <w:tcW w:w="8753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9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8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-117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3.1.</w:t>
            </w:r>
          </w:p>
        </w:tc>
        <w:tc>
          <w:tcPr>
            <w:tcW w:w="344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запасными частями</w:t>
            </w:r>
          </w:p>
        </w:tc>
        <w:tc>
          <w:tcPr>
            <w:tcW w:w="531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запасных частей передать Заказчику относящиеся к ним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товарную накладную унифицированной формы ТОРГ-12 в 2 экз.;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счет-фактура в 1 эк.; или УПД в 2 экз..</w:t>
            </w:r>
          </w:p>
        </w:tc>
        <w:tc>
          <w:tcPr>
            <w:tcW w:w="209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8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95" w:hRule="atLeast"/>
        </w:trPr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contextualSpacing w:val="false"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4.</w:t>
            </w:r>
          </w:p>
        </w:tc>
        <w:tc>
          <w:tcPr>
            <w:tcW w:w="8753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09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8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hanging="0" w:left="-117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4.1.</w:t>
            </w:r>
          </w:p>
        </w:tc>
        <w:tc>
          <w:tcPr>
            <w:tcW w:w="344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к поставке МТР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531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Исполнитель 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обязан обеспечить поставку указанных ТМЦ на складские помещения Покупателя: 676730, Амурская область, Бурейский район, пгт. Талакан, База флота, склад ТМЦ Бурейской ГЭС</w:t>
            </w:r>
          </w:p>
        </w:tc>
        <w:tc>
          <w:tcPr>
            <w:tcW w:w="209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6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851" w:right="1134" w:gutter="0" w:header="680" w:top="1128" w:footer="0" w:bottom="81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Lines/>
        <w:numPr>
          <w:ilvl w:val="0"/>
          <w:numId w:val="0"/>
        </w:numPr>
        <w:ind w:hanging="0" w:left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sectPr>
      <w:headerReference w:type="default" r:id="rId7"/>
      <w:headerReference w:type="first" r:id="rId8"/>
      <w:type w:val="nextPage"/>
      <w:pgSz w:w="11906" w:h="16838"/>
      <w:pgMar w:left="1128" w:right="811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62EAF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62EAF4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1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uiPriority w:val="9"/>
    <w:qFormat/>
    <w:rsid w:val="00353a27"/>
    <w:pPr>
      <w:numPr>
        <w:ilvl w:val="0"/>
      </w:numPr>
      <w:ind w:hanging="0" w:left="5038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uiPriority w:val="9"/>
    <w:qFormat/>
    <w:rsid w:val="00035e96"/>
    <w:pPr>
      <w:keepNext w:val="true"/>
      <w:numPr>
        <w:ilvl w:val="2"/>
        <w:numId w:val="3"/>
      </w:numPr>
      <w:spacing w:lineRule="auto" w:line="276"/>
      <w:ind w:firstLine="113" w:left="85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uiPriority w:val="9"/>
    <w:qFormat/>
    <w:rsid w:val="006629c9"/>
    <w:pPr>
      <w:numPr>
        <w:ilvl w:val="0"/>
        <w:numId w:val="0"/>
      </w:numPr>
      <w:tabs>
        <w:tab w:val="clear" w:pos="720"/>
        <w:tab w:val="left" w:pos="0" w:leader="none"/>
      </w:tabs>
      <w:ind w:hanging="432" w:left="781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uiPriority w:val="9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23" w:customStyle="1">
    <w:name w:val="Неразрешенное упоминание2"/>
    <w:basedOn w:val="DefaultParagraphFont"/>
    <w:uiPriority w:val="99"/>
    <w:semiHidden/>
    <w:unhideWhenUsed/>
    <w:qFormat/>
    <w:rsid w:val="002f01b3"/>
    <w:rPr>
      <w:color w:val="605E5C"/>
      <w:shd w:fill="E1DFDD" w:val="clear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lineRule="auto" w:line="276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4"/>
      <w:szCs w:val="24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20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61541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yle36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C6628-75A0-4ED9-BD88-CD32E2EA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4356</TotalTime>
  <Application>AlterOffice/2026.2.0.0$Linux_X86_64 LibreOffice_project/bc4ef1adf80b36c7a6365f8ed6cbf29021361edd</Application>
  <AppVersion>15.0000</AppVersion>
  <Pages>7</Pages>
  <Words>626</Words>
  <Characters>4241</Characters>
  <CharactersWithSpaces>4735</CharactersWithSpaces>
  <Paragraphs>131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2024-12-03T02:43:00Z</dcterms:created>
  <dc:creator>Быстров Олег Геннадьевич</dc:creator>
  <dc:description/>
  <dc:language>ru-RU</dc:language>
  <cp:lastModifiedBy>karlovvv@corp.gidroogk.com</cp:lastModifiedBy>
  <cp:lastPrinted>2025-08-07T14:19:00Z</cp:lastPrinted>
  <dcterms:modified xsi:type="dcterms:W3CDTF">2026-09-14T14:49:30Z</dcterms:modified>
  <cp:revision>67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