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Props4.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_rels/item4.xml.rels" ContentType="application/vnd.openxmlformats-package.relationship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1.xml" ContentType="application/xml"/>
  <Override PartName="/word/_rels/document.xml.rels" ContentType="application/vnd.openxmlformats-package.relationships+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footer4.xml" ContentType="application/vnd.openxmlformats-officedocument.wordprocessingml.footer+xml"/>
  <Override PartName="/word/document.xml" ContentType="application/vnd.openxmlformats-officedocument.wordprocessingml.document.main+xml"/>
  <Override PartName="/word/theme/theme1.xml" ContentType="application/vnd.openxmlformats-officedocument.theme+xml"/>
  <Override PartName="/word/header4.xml" ContentType="application/vnd.openxmlformats-officedocument.wordprocessingml.header+xml"/>
  <Override PartName="/word/header3.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jc w:val="center"/>
        <w:rPr>
          <w:b/>
          <w:sz w:val="24"/>
          <w:szCs w:val="24"/>
        </w:rPr>
      </w:pPr>
      <w:bookmarkStart w:id="0" w:name="_GoBack"/>
      <w:bookmarkEnd w:id="0"/>
      <w:r>
        <w:rPr>
          <w:b/>
          <w:bCs/>
          <w:sz w:val="24"/>
          <w:szCs w:val="24"/>
        </w:rPr>
        <w:t>Договор поставки №________</w:t>
      </w:r>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_________</w:t>
        <w:tab/>
        <w:t xml:space="preserve">   «___» _________ 20__ г.</w:t>
      </w:r>
    </w:p>
    <w:p>
      <w:pPr>
        <w:pStyle w:val="Normal"/>
        <w:shd w:val="clear" w:color="auto" w:fill="FFFFFF"/>
        <w:tabs>
          <w:tab w:val="clear" w:pos="709"/>
          <w:tab w:val="right" w:pos="9639" w:leader="none"/>
        </w:tabs>
        <w:jc w:val="right"/>
        <w:rPr>
          <w:bCs/>
          <w:sz w:val="24"/>
          <w:szCs w:val="24"/>
        </w:rPr>
      </w:pPr>
      <w:r>
        <w:rPr>
          <w:bCs/>
          <w:sz w:val="24"/>
          <w:szCs w:val="24"/>
        </w:rPr>
      </w:r>
    </w:p>
    <w:p>
      <w:pPr>
        <w:pStyle w:val="Normal"/>
        <w:ind w:firstLine="709"/>
        <w:jc w:val="both"/>
        <w:rPr>
          <w:spacing w:val="10"/>
          <w:sz w:val="24"/>
          <w:szCs w:val="24"/>
        </w:rPr>
      </w:pPr>
      <w:r>
        <w:rPr>
          <w:b/>
          <w:sz w:val="24"/>
          <w:szCs w:val="24"/>
        </w:rPr>
        <w:t xml:space="preserve">Публичное акционерное общество «Федеральная гидрогенерирующая компания – РусГидро» </w:t>
      </w:r>
      <w:r>
        <w:rPr>
          <w:sz w:val="24"/>
          <w:szCs w:val="24"/>
        </w:rPr>
        <w:t>(ПАО «РусГидро»)</w:t>
      </w:r>
      <w:r>
        <w:rPr>
          <w:spacing w:val="2"/>
          <w:sz w:val="24"/>
          <w:szCs w:val="24"/>
        </w:rPr>
        <w:t xml:space="preserve">, (далее – </w:t>
      </w:r>
      <w:r>
        <w:rPr>
          <w:sz w:val="24"/>
          <w:szCs w:val="24"/>
        </w:rPr>
        <w:t>«Покупатель»), в лице _____________________</w:t>
      </w:r>
      <w:r>
        <w:rPr>
          <w:spacing w:val="4"/>
          <w:sz w:val="24"/>
          <w:szCs w:val="24"/>
        </w:rPr>
        <w:t>, действующего на основании ________, с одной стороны, и</w:t>
      </w:r>
      <w:r>
        <w:rPr>
          <w:spacing w:val="10"/>
          <w:sz w:val="24"/>
          <w:szCs w:val="24"/>
        </w:rPr>
        <w:t xml:space="preserve"> </w:t>
      </w:r>
    </w:p>
    <w:p>
      <w:pPr>
        <w:pStyle w:val="Normal"/>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z w:val="24"/>
          <w:szCs w:val="24"/>
        </w:rPr>
      </w:pPr>
      <w:r>
        <w:rPr>
          <w:sz w:val="24"/>
          <w:szCs w:val="24"/>
        </w:rPr>
        <w:t xml:space="preserve">совместно в дальнейшем именуемые «Стороны», а по отдельности – «Сторона», </w:t>
        <w:br/>
      </w:r>
      <w:r>
        <w:rPr>
          <w:sz w:val="24"/>
          <w:szCs w:val="24"/>
          <w:lang w:eastAsia="en-US"/>
        </w:rPr>
        <w:t>по результатам проведенной Покупателем закупочной процедуры по лоту № ____________ и на основании протокола __________ от «___» _________ г. №_______,</w:t>
      </w:r>
    </w:p>
    <w:p>
      <w:pPr>
        <w:pStyle w:val="Normal"/>
        <w:ind w:firstLine="709"/>
        <w:jc w:val="both"/>
        <w:rPr>
          <w:spacing w:val="10"/>
          <w:sz w:val="24"/>
          <w:szCs w:val="24"/>
        </w:rPr>
      </w:pPr>
      <w:r>
        <w:rPr>
          <w:sz w:val="24"/>
          <w:szCs w:val="24"/>
        </w:rPr>
        <w:t>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ТОРГ-2 «Акт об установленном расхождении по количеству и качеству при приемке товарно-материальных ценностей» и № ТОРГ</w:t>
      </w:r>
      <w:r>
        <w:rPr>
          <w:sz w:val="24"/>
          <w:szCs w:val="24"/>
        </w:rPr>
        <w:t>-</w:t>
      </w:r>
      <w:r>
        <w:rPr>
          <w:sz w:val="24"/>
          <w:szCs w:val="24"/>
          <w:lang w:eastAsia="en-US"/>
        </w:rPr>
        <w:t xml:space="preserve">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567" w:leader="none"/>
          <w:tab w:val="left" w:pos="1134" w:leader="none"/>
        </w:tabs>
        <w:ind w:left="0" w:firstLine="708"/>
        <w:jc w:val="both"/>
        <w:textAlignment w:val="baseline"/>
        <w:rPr>
          <w:sz w:val="24"/>
          <w:szCs w:val="24"/>
          <w:lang w:eastAsia="en-US"/>
        </w:rPr>
      </w:pPr>
      <w:r>
        <w:rPr>
          <w:b/>
          <w:sz w:val="24"/>
          <w:szCs w:val="24"/>
          <w:lang w:eastAsia="en-US"/>
        </w:rPr>
        <w:t xml:space="preserve"> </w:t>
      </w: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Heading3"/>
        <w:tabs>
          <w:tab w:val="clear" w:pos="709"/>
          <w:tab w:val="left" w:pos="567" w:leader="none"/>
        </w:tabs>
        <w:overflowPunct w:val="false"/>
        <w:spacing w:before="0" w:after="0"/>
        <w:ind w:firstLine="708"/>
        <w:jc w:val="both"/>
        <w:textAlignment w:val="baseline"/>
        <w:rPr/>
      </w:pPr>
      <w:r>
        <w:rPr>
          <w:rFonts w:ascii="Times New Roman" w:hAnsi="Times New Roman"/>
          <w:color w:val="000000"/>
          <w:sz w:val="24"/>
          <w:szCs w:val="24"/>
          <w:lang w:val="ru-RU" w:eastAsia="en-US"/>
        </w:rPr>
        <w:t xml:space="preserve">«Универсальный передаточный документ», «УПД» </w:t>
      </w:r>
      <w:r>
        <w:rPr>
          <w:rFonts w:ascii="Times New Roman" w:hAnsi="Times New Roman"/>
          <w:b w:val="false"/>
          <w:color w:val="000000"/>
          <w:sz w:val="24"/>
          <w:szCs w:val="24"/>
          <w:lang w:val="ru-RU" w:eastAsia="en-US"/>
        </w:rPr>
        <w:t>–</w:t>
      </w:r>
      <w:r>
        <w:rPr>
          <w:rFonts w:ascii="Times New Roman" w:hAnsi="Times New Roman"/>
          <w:color w:val="000000"/>
          <w:sz w:val="24"/>
          <w:szCs w:val="24"/>
          <w:lang w:val="ru-RU" w:eastAsia="en-US"/>
        </w:rPr>
        <w:t xml:space="preserve"> </w:t>
      </w:r>
      <w:r>
        <w:rPr>
          <w:rFonts w:ascii="Times New Roman" w:hAnsi="Times New Roman"/>
          <w:b w:val="false"/>
          <w:color w:val="000000"/>
          <w:sz w:val="24"/>
          <w:szCs w:val="24"/>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sz w:val="24"/>
          <w:szCs w:val="24"/>
          <w:lang w:val="ru-RU" w:eastAsia="en-US"/>
        </w:rPr>
        <w:t>.</w:t>
      </w:r>
    </w:p>
    <w:p>
      <w:pPr>
        <w:pStyle w:val="Normal"/>
        <w:shd w:val="clear" w:color="auto" w:fill="FFFFFF"/>
        <w:tabs>
          <w:tab w:val="clear" w:pos="709"/>
          <w:tab w:val="left" w:pos="0" w:leader="none"/>
        </w:tabs>
        <w:ind w:firstLine="709"/>
        <w:jc w:val="both"/>
        <w:textAlignment w:val="baseline"/>
        <w:rPr>
          <w:sz w:val="24"/>
          <w:szCs w:val="24"/>
        </w:rPr>
      </w:pPr>
      <w:r>
        <w:rPr>
          <w:b/>
          <w:color w:val="000000"/>
          <w:sz w:val="24"/>
          <w:szCs w:val="24"/>
          <w:lang w:eastAsia="en-US"/>
        </w:rPr>
        <w:t xml:space="preserve">«Накладная ТОРГ-12» – </w:t>
      </w:r>
      <w:r>
        <w:rPr>
          <w:color w:val="000000"/>
          <w:sz w:val="24"/>
          <w:szCs w:val="24"/>
          <w:lang w:eastAsia="en-US"/>
        </w:rPr>
        <w:t xml:space="preserve">документ, оформляемый по унифицированной форме №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в случаях, установленных Договором. </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sz w:val="24"/>
          <w:szCs w:val="24"/>
          <w:lang w:eastAsia="en-US"/>
        </w:rPr>
      </w:r>
    </w:p>
    <w:p>
      <w:pPr>
        <w:pStyle w:val="Heading3"/>
        <w:keepNext w:val="false"/>
        <w:tabs>
          <w:tab w:val="clear" w:pos="709"/>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10"/>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Поставщик обязуется в порядке и сроки, установленные Договором, передать в собственность Покупателю </w:t>
      </w:r>
      <w:r>
        <w:rPr>
          <w:bCs/>
          <w:sz w:val="24"/>
          <w:szCs w:val="24"/>
        </w:rPr>
        <w:t xml:space="preserve">продукцию </w:t>
      </w:r>
      <w:r>
        <w:rPr>
          <w:bCs/>
          <w:sz w:val="24"/>
          <w:szCs w:val="24"/>
        </w:rPr>
        <w:t>для участка мониторинга оборудования на объектах филиала ПАО "РусГидро" - "Каскад Кубанских ГЭС"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10"/>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Поставка Товара по Договору осуществляется для нужд </w:t>
      </w:r>
      <w:r>
        <w:rPr>
          <w:bCs/>
          <w:sz w:val="24"/>
          <w:szCs w:val="24"/>
          <w:shd w:fill="FFFFFF" w:val="clear"/>
        </w:rPr>
        <w:t>филиала ПАО «РусГидро» - «Каскад Кубанских ГЭС».</w:t>
      </w:r>
    </w:p>
    <w:p>
      <w:pPr>
        <w:pStyle w:val="Normal"/>
        <w:shd w:val="clear" w:color="auto" w:fill="FFFFFF"/>
        <w:tabs>
          <w:tab w:val="clear" w:pos="709"/>
          <w:tab w:val="left" w:pos="0" w:leader="none"/>
          <w:tab w:val="left" w:pos="1134" w:leader="none"/>
        </w:tabs>
        <w:ind w:firstLine="709"/>
        <w:jc w:val="both"/>
        <w:rPr>
          <w:bCs/>
          <w:sz w:val="24"/>
          <w:szCs w:val="24"/>
        </w:rPr>
      </w:pPr>
      <w:r>
        <w:rPr>
          <w:bCs/>
          <w:sz w:val="24"/>
          <w:szCs w:val="24"/>
        </w:rPr>
        <w:t xml:space="preserve">1.3 Место поставки Товара: </w:t>
      </w:r>
      <w:r>
        <w:rPr>
          <w:rFonts w:eastAsia="Calibri" w:eastAsiaTheme="minorHAnsi"/>
          <w:bCs/>
          <w:sz w:val="24"/>
          <w:szCs w:val="24"/>
        </w:rPr>
        <w:t>РФ, Ставропольский край, г. Невинномысск, ул.Водопроводная, 349а</w:t>
      </w:r>
      <w:r>
        <w:rPr>
          <w:sz w:val="24"/>
          <w:szCs w:val="24"/>
        </w:rPr>
        <w:t xml:space="preserve"> (далее – «Место поставки»).</w:t>
      </w:r>
    </w:p>
    <w:p>
      <w:pPr>
        <w:pStyle w:val="Normal"/>
        <w:shd w:val="clear" w:color="auto" w:fill="FFFFFF"/>
        <w:tabs>
          <w:tab w:val="clear" w:pos="709"/>
          <w:tab w:val="left" w:pos="0" w:leader="none"/>
          <w:tab w:val="left" w:pos="1134" w:leader="none"/>
        </w:tabs>
        <w:ind w:left="709" w:hanging="0"/>
        <w:jc w:val="both"/>
        <w:rPr>
          <w:bCs/>
          <w:sz w:val="24"/>
          <w:szCs w:val="24"/>
        </w:rPr>
      </w:pPr>
      <w:r>
        <w:rPr>
          <w:bCs/>
          <w:sz w:val="24"/>
          <w:szCs w:val="24"/>
        </w:rPr>
        <w:t>1.4 Общий срок поставки Товара:</w:t>
      </w:r>
    </w:p>
    <w:p>
      <w:pPr>
        <w:pStyle w:val="Normal"/>
        <w:shd w:val="clear" w:color="auto" w:fill="FFFFFF"/>
        <w:tabs>
          <w:tab w:val="clear" w:pos="709"/>
          <w:tab w:val="left" w:pos="0" w:leader="none"/>
          <w:tab w:val="left" w:pos="1134" w:leader="none"/>
        </w:tabs>
        <w:ind w:left="709" w:hanging="0"/>
        <w:jc w:val="both"/>
        <w:rPr>
          <w:bCs/>
          <w:sz w:val="24"/>
          <w:szCs w:val="24"/>
        </w:rPr>
      </w:pPr>
      <w:r>
        <w:rPr>
          <w:bCs/>
          <w:sz w:val="24"/>
          <w:szCs w:val="24"/>
        </w:rPr>
        <w:t>1.4.1 Начало – с даты, следующей за датой заключения Договора;</w:t>
      </w:r>
    </w:p>
    <w:p>
      <w:pPr>
        <w:pStyle w:val="Normal"/>
        <w:shd w:val="clear" w:color="auto" w:fill="FFFFFF"/>
        <w:tabs>
          <w:tab w:val="clear" w:pos="709"/>
          <w:tab w:val="left" w:pos="0" w:leader="none"/>
          <w:tab w:val="left" w:pos="1134" w:leader="none"/>
        </w:tabs>
        <w:ind w:firstLine="680"/>
        <w:jc w:val="both"/>
        <w:rPr>
          <w:bCs/>
          <w:sz w:val="24"/>
          <w:szCs w:val="24"/>
        </w:rPr>
      </w:pPr>
      <w:r>
        <w:rPr>
          <w:bCs/>
          <w:sz w:val="24"/>
          <w:szCs w:val="24"/>
        </w:rPr>
        <w:t xml:space="preserve">1.4.2 Окончание — </w:t>
      </w:r>
      <w:r>
        <w:rPr>
          <w:bCs/>
          <w:sz w:val="24"/>
          <w:szCs w:val="24"/>
        </w:rPr>
        <w:t>30 ноября 2026г</w:t>
      </w:r>
      <w:r>
        <w:rPr>
          <w:bCs/>
          <w:sz w:val="24"/>
          <w:szCs w:val="24"/>
        </w:rPr>
        <w:t>.</w:t>
      </w:r>
    </w:p>
    <w:p>
      <w:pPr>
        <w:pStyle w:val="Normal"/>
        <w:shd w:val="clear" w:color="auto" w:fill="FFFFFF"/>
        <w:tabs>
          <w:tab w:val="clear" w:pos="709"/>
          <w:tab w:val="left" w:pos="0" w:leader="none"/>
          <w:tab w:val="left" w:pos="1134" w:leader="none"/>
        </w:tabs>
        <w:ind w:firstLine="680"/>
        <w:jc w:val="both"/>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твердой и </w:t>
      </w:r>
      <w:r>
        <w:rPr>
          <w:sz w:val="24"/>
          <w:szCs w:val="24"/>
        </w:rPr>
        <w:t>составляет ____________(_______________) рублей _____________копеек без учета НДС, при этом НДС исчисляется дополнительно по ставке, установленной</w:t>
      </w:r>
      <w:r>
        <w:rPr>
          <w:bCs/>
          <w:sz w:val="24"/>
          <w:szCs w:val="24"/>
        </w:rPr>
        <w:t xml:space="preserve"> статьей 164 Налогового Кодекса Российской Федерации (далее – НК РФ).</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tabs>
          <w:tab w:val="clear" w:pos="709"/>
          <w:tab w:val="left" w:pos="1418" w:leader="none"/>
        </w:tabs>
        <w:ind w:left="0" w:firstLine="709"/>
        <w:jc w:val="both"/>
        <w:rPr>
          <w:rFonts w:eastAsia="Calibri" w:eastAsiaTheme="minorHAnsi"/>
          <w:sz w:val="24"/>
          <w:szCs w:val="24"/>
        </w:rPr>
      </w:pPr>
      <w:r>
        <w:rPr>
          <w:sz w:val="24"/>
          <w:szCs w:val="24"/>
        </w:rPr>
        <w:t>Авансовый платеж в размере 30 (тридцати) процентов от стоимости Товара,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Товара, и с учетом пункта 2.4.3 Договора.</w:t>
      </w:r>
      <w:r>
        <w:rPr>
          <w:rFonts w:eastAsia="Calibri" w:eastAsiaTheme="minorHAnsi"/>
          <w:sz w:val="24"/>
          <w:szCs w:val="24"/>
        </w:rPr>
        <w:t xml:space="preserve"> </w:t>
      </w:r>
    </w:p>
    <w:p>
      <w:pPr>
        <w:pStyle w:val="ListParagraph"/>
        <w:numPr>
          <w:ilvl w:val="2"/>
          <w:numId w:val="2"/>
        </w:numPr>
        <w:tabs>
          <w:tab w:val="clear" w:pos="709"/>
          <w:tab w:val="left" w:pos="1418" w:leader="none"/>
        </w:tabs>
        <w:ind w:left="0" w:firstLine="709"/>
        <w:jc w:val="both"/>
        <w:rPr>
          <w:sz w:val="24"/>
        </w:rPr>
      </w:pPr>
      <w:r>
        <w:rPr>
          <w:sz w:val="24"/>
          <w:szCs w:val="24"/>
        </w:rPr>
        <w:t>Окончательный платеж в размере 70 (семидесяти) процентов от стоимости Товара выплачивается Поставщику в течение 7 (семи) рабочих дней с даты подписания Сторонами накладной ТОРГ-12 (УПД), на основании счета, выставленного Поставщиком, и с учетом пункта 2.4.3 Договора</w:t>
      </w:r>
      <w:r>
        <w:rPr>
          <w:sz w:val="24"/>
        </w:rPr>
        <w:t>.</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ListParagraph"/>
        <w:numPr>
          <w:ilvl w:val="1"/>
          <w:numId w:val="2"/>
        </w:numPr>
        <w:tabs>
          <w:tab w:val="clear" w:pos="709"/>
          <w:tab w:val="left" w:pos="1134" w:leader="none"/>
        </w:tabs>
        <w:ind w:left="0" w:firstLine="709"/>
        <w:jc w:val="both"/>
        <w:rPr>
          <w:sz w:val="24"/>
          <w:szCs w:val="24"/>
        </w:rPr>
      </w:pPr>
      <w:r>
        <w:rPr>
          <w:sz w:val="24"/>
          <w:szCs w:val="24"/>
        </w:rPr>
        <w:t>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9"/>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ListParagraph"/>
        <w:numPr>
          <w:ilvl w:val="1"/>
          <w:numId w:val="2"/>
        </w:numPr>
        <w:tabs>
          <w:tab w:val="clear" w:pos="709"/>
          <w:tab w:val="left" w:pos="1134" w:leader="none"/>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tabs>
          <w:tab w:val="clear" w:pos="709"/>
          <w:tab w:val="left" w:pos="1134" w:leader="none"/>
        </w:tabs>
        <w:ind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sz w:val="24"/>
          <w:szCs w:val="24"/>
        </w:rPr>
        <w:t>Поставка Товара осуществляется единовременно в Место поставки, указанное в пункте 1.2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b/>
          <w:bCs/>
          <w:sz w:val="24"/>
          <w:szCs w:val="24"/>
        </w:rPr>
        <w:t xml:space="preserve"> </w:t>
      </w:r>
      <w:r>
        <w:rPr>
          <w:bCs/>
          <w:sz w:val="24"/>
          <w:szCs w:val="24"/>
        </w:rPr>
        <w:t>в том числе, указанным в Спецификации (Приложение № 1 к Договору), а также Применимого права.</w:t>
      </w:r>
    </w:p>
    <w:p>
      <w:pPr>
        <w:pStyle w:val="Normal"/>
        <w:widowControl/>
        <w:shd w:val="clear" w:color="auto" w:fill="FFFFFF"/>
        <w:tabs>
          <w:tab w:val="clear" w:pos="709"/>
          <w:tab w:val="left" w:pos="1134" w:leader="none"/>
        </w:tabs>
        <w:ind w:firstLine="709"/>
        <w:jc w:val="both"/>
        <w:rPr>
          <w:bCs/>
          <w:sz w:val="24"/>
          <w:szCs w:val="24"/>
        </w:rPr>
      </w:pPr>
      <w:r>
        <w:rPr>
          <w:bCs/>
          <w:sz w:val="24"/>
          <w:szCs w:val="24"/>
        </w:rPr>
        <w:t xml:space="preserve">Поставщик не вправе производить </w:t>
      </w:r>
      <w:r>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rPr>
      </w:pPr>
      <w:r>
        <w:rPr>
          <w:sz w:val="24"/>
          <w:szCs w:val="24"/>
        </w:rPr>
        <w:t>сертификат качества в 1 (одном) экз.;</w:t>
      </w:r>
    </w:p>
    <w:p>
      <w:pPr>
        <w:pStyle w:val="Normal"/>
        <w:numPr>
          <w:ilvl w:val="0"/>
          <w:numId w:val="4"/>
        </w:numPr>
        <w:tabs>
          <w:tab w:val="clear" w:pos="709"/>
          <w:tab w:val="left" w:pos="1418" w:leader="none"/>
        </w:tabs>
        <w:ind w:left="0" w:firstLine="709"/>
        <w:jc w:val="both"/>
        <w:rPr>
          <w:sz w:val="24"/>
          <w:szCs w:val="24"/>
        </w:rPr>
      </w:pPr>
      <w:r>
        <w:rPr>
          <w:sz w:val="24"/>
          <w:szCs w:val="24"/>
        </w:rPr>
        <w:t>технический паспорт на русском языке в 1 (одном) экз.;</w:t>
      </w:r>
    </w:p>
    <w:p>
      <w:pPr>
        <w:pStyle w:val="Normal"/>
        <w:numPr>
          <w:ilvl w:val="0"/>
          <w:numId w:val="4"/>
        </w:numPr>
        <w:tabs>
          <w:tab w:val="clear" w:pos="709"/>
          <w:tab w:val="left" w:pos="1418" w:leader="none"/>
        </w:tabs>
        <w:ind w:left="0" w:firstLine="709"/>
        <w:jc w:val="both"/>
        <w:rPr>
          <w:sz w:val="24"/>
          <w:szCs w:val="24"/>
        </w:rPr>
      </w:pPr>
      <w:r>
        <w:rPr>
          <w:sz w:val="24"/>
          <w:szCs w:val="24"/>
        </w:rPr>
        <w:t>инструкция по эксплуатации на русском языке в 1 (одном) экз.;</w:t>
      </w:r>
    </w:p>
    <w:p>
      <w:pPr>
        <w:pStyle w:val="Normal"/>
        <w:numPr>
          <w:ilvl w:val="0"/>
          <w:numId w:val="4"/>
        </w:numPr>
        <w:tabs>
          <w:tab w:val="clear" w:pos="709"/>
          <w:tab w:val="left" w:pos="1418" w:leader="none"/>
        </w:tabs>
        <w:ind w:left="0" w:firstLine="709"/>
        <w:jc w:val="both"/>
        <w:rPr>
          <w:sz w:val="24"/>
          <w:szCs w:val="24"/>
        </w:rPr>
      </w:pPr>
      <w:r>
        <w:rPr>
          <w:sz w:val="24"/>
          <w:szCs w:val="24"/>
        </w:rPr>
        <w:t>упаковочный лист в 1 (одном) экз.;</w:t>
      </w:r>
    </w:p>
    <w:p>
      <w:pPr>
        <w:pStyle w:val="Normal"/>
        <w:numPr>
          <w:ilvl w:val="0"/>
          <w:numId w:val="3"/>
        </w:numPr>
        <w:tabs>
          <w:tab w:val="clear" w:pos="709"/>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tabs>
          <w:tab w:val="clear" w:pos="709"/>
          <w:tab w:val="left" w:pos="1418" w:leader="none"/>
        </w:tabs>
        <w:ind w:left="0" w:firstLine="709"/>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pPr>
        <w:pStyle w:val="Normal"/>
        <w:numPr>
          <w:ilvl w:val="0"/>
          <w:numId w:val="3"/>
        </w:numPr>
        <w:tabs>
          <w:tab w:val="clear" w:pos="709"/>
          <w:tab w:val="left" w:pos="1418" w:leader="none"/>
        </w:tabs>
        <w:ind w:left="0" w:firstLine="709"/>
        <w:jc w:val="both"/>
        <w:rPr>
          <w:sz w:val="24"/>
          <w:szCs w:val="24"/>
        </w:rPr>
      </w:pPr>
      <w:r>
        <w:rPr>
          <w:sz w:val="24"/>
          <w:szCs w:val="24"/>
        </w:rPr>
        <w:t>накладная ТОРГ-12 (УПД) в __(____) экз.</w:t>
      </w:r>
    </w:p>
    <w:p>
      <w:pPr>
        <w:pStyle w:val="ListParagraph"/>
        <w:widowControl/>
        <w:numPr>
          <w:ilvl w:val="1"/>
          <w:numId w:val="2"/>
        </w:numPr>
        <w:tabs>
          <w:tab w:val="clear" w:pos="709"/>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tabs>
          <w:tab w:val="clear" w:pos="709"/>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tabs>
          <w:tab w:val="clear" w:pos="709"/>
          <w:tab w:val="left" w:pos="1134" w:leader="none"/>
          <w:tab w:val="left" w:pos="1418" w:leader="none"/>
        </w:tabs>
        <w:ind w:left="0" w:firstLine="709"/>
        <w:jc w:val="both"/>
        <w:rPr>
          <w:bCs/>
          <w:sz w:val="24"/>
          <w:szCs w:val="24"/>
        </w:rPr>
      </w:pPr>
      <w:bookmarkStart w:id="1"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tabs>
          <w:tab w:val="clear" w:pos="709"/>
          <w:tab w:val="left" w:pos="1134" w:leader="none"/>
          <w:tab w:val="left" w:pos="1418" w:leader="none"/>
        </w:tabs>
        <w:ind w:left="0" w:firstLine="709"/>
        <w:jc w:val="both"/>
        <w:rPr>
          <w:sz w:val="24"/>
          <w:szCs w:val="24"/>
        </w:rPr>
      </w:pPr>
      <w:r>
        <w:rPr>
          <w:sz w:val="24"/>
          <w:szCs w:val="24"/>
        </w:rPr>
        <w:t xml:space="preserve">Погрузка, доставка, разгрузка и перемещение Товара (в том числе </w:t>
        <w:br/>
        <w:t xml:space="preserve">по территории Покупателя) </w:t>
      </w:r>
      <w:r>
        <w:rPr>
          <w:bCs/>
          <w:sz w:val="24"/>
          <w:szCs w:val="24"/>
        </w:rPr>
        <w:t>осуществляется</w:t>
      </w:r>
      <w:r>
        <w:rPr>
          <w:sz w:val="24"/>
          <w:szCs w:val="24"/>
        </w:rPr>
        <w:t xml:space="preserve"> Поставщиком. Стоимость погрузки, доставки, разгрузки и перемещения Товара включена в стоимость Товара.</w:t>
      </w:r>
    </w:p>
    <w:p>
      <w:pPr>
        <w:pStyle w:val="ListParagraph"/>
        <w:widowControl/>
        <w:numPr>
          <w:ilvl w:val="1"/>
          <w:numId w:val="2"/>
        </w:numPr>
        <w:tabs>
          <w:tab w:val="clear" w:pos="709"/>
          <w:tab w:val="left" w:pos="1134"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tabs>
          <w:tab w:val="clear" w:pos="709"/>
          <w:tab w:val="left" w:pos="1418" w:leader="none"/>
        </w:tabs>
        <w:ind w:left="0" w:firstLine="709"/>
        <w:jc w:val="both"/>
        <w:rPr>
          <w:sz w:val="24"/>
          <w:szCs w:val="24"/>
        </w:rPr>
      </w:pPr>
      <w:bookmarkStart w:id="2" w:name="_Ref361396594"/>
      <w:r>
        <w:rPr>
          <w:sz w:val="24"/>
          <w:szCs w:val="24"/>
        </w:rPr>
        <w:t xml:space="preserve">Датой поставки  Товара является дата подписания Сторонами </w:t>
      </w:r>
      <w:bookmarkEnd w:id="2"/>
      <w:r>
        <w:rPr>
          <w:sz w:val="24"/>
          <w:szCs w:val="24"/>
        </w:rPr>
        <w:t>накладной ТОРГ-12 (УПД).</w:t>
      </w:r>
    </w:p>
    <w:p>
      <w:pPr>
        <w:pStyle w:val="ListParagraph"/>
        <w:widowControl/>
        <w:numPr>
          <w:ilvl w:val="1"/>
          <w:numId w:val="2"/>
        </w:numPr>
        <w:tabs>
          <w:tab w:val="clear" w:pos="709"/>
          <w:tab w:val="left" w:pos="1418" w:leader="none"/>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tabs>
          <w:tab w:val="clear" w:pos="709"/>
          <w:tab w:val="left" w:pos="1418"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pPr>
        <w:pStyle w:val="ListParagraph"/>
        <w:tabs>
          <w:tab w:val="clear" w:pos="709"/>
          <w:tab w:val="left" w:pos="1418" w:leader="none"/>
        </w:tabs>
        <w:ind w:left="0" w:firstLine="709"/>
        <w:jc w:val="both"/>
        <w:rPr>
          <w:sz w:val="24"/>
          <w:szCs w:val="24"/>
        </w:rPr>
      </w:pPr>
      <w:bookmarkStart w:id="3"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rPr>
        <w:t xml:space="preserve"> </w:t>
      </w:r>
    </w:p>
    <w:p>
      <w:pPr>
        <w:pStyle w:val="ListParagraph"/>
        <w:widowControl/>
        <w:numPr>
          <w:ilvl w:val="1"/>
          <w:numId w:val="2"/>
        </w:numPr>
        <w:tabs>
          <w:tab w:val="clear" w:pos="709"/>
          <w:tab w:val="left" w:pos="1418" w:leader="none"/>
        </w:tabs>
        <w:ind w:left="0" w:firstLine="709"/>
        <w:jc w:val="both"/>
        <w:rPr>
          <w:sz w:val="24"/>
          <w:szCs w:val="24"/>
        </w:rPr>
      </w:pPr>
      <w:r>
        <w:rPr>
          <w:sz w:val="24"/>
          <w:szCs w:val="24"/>
        </w:rPr>
        <w:t xml:space="preserve">Приемка  Товара со вскрытием тары и упаковки производится Покупателем в присутствии представителя Поставщика в течение 10 (десяти) рабочих дней </w:t>
        <w:br/>
        <w:t>с даты подписания Покупателем транспортных документов. В случае отсутствия замечаний Покупатель подписывает накладную ТОРГ-12 (УПД).</w:t>
      </w:r>
    </w:p>
    <w:p>
      <w:pPr>
        <w:pStyle w:val="Normal"/>
        <w:numPr>
          <w:ilvl w:val="1"/>
          <w:numId w:val="2"/>
        </w:numPr>
        <w:tabs>
          <w:tab w:val="clear" w:pos="709"/>
          <w:tab w:val="left" w:pos="568" w:leader="none"/>
          <w:tab w:val="left" w:pos="1134" w:leader="none"/>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tabs>
          <w:tab w:val="clear" w:pos="709"/>
          <w:tab w:val="left" w:pos="1134" w:leader="none"/>
          <w:tab w:val="left" w:pos="1418" w:leader="none"/>
          <w:tab w:val="left" w:pos="1851" w:leader="none"/>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Товара.</w:t>
      </w:r>
    </w:p>
    <w:p>
      <w:pPr>
        <w:pStyle w:val="Normal"/>
        <w:numPr>
          <w:ilvl w:val="1"/>
          <w:numId w:val="2"/>
        </w:numPr>
        <w:tabs>
          <w:tab w:val="clear" w:pos="709"/>
          <w:tab w:val="left" w:pos="1418"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tabs>
          <w:tab w:val="clear" w:pos="709"/>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tabs>
          <w:tab w:val="clear" w:pos="709"/>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абзаца 3 пункта 30, 35, 38-42).</w:t>
      </w:r>
      <w:r>
        <w:rPr>
          <w:b/>
          <w:bCs/>
          <w:color w:val="000000"/>
          <w:sz w:val="24"/>
          <w:szCs w:val="24"/>
        </w:rPr>
        <w:t xml:space="preserve"> </w:t>
      </w:r>
    </w:p>
    <w:p>
      <w:pPr>
        <w:pStyle w:val="ListParagraph"/>
        <w:widowControl/>
        <w:numPr>
          <w:ilvl w:val="1"/>
          <w:numId w:val="2"/>
        </w:numPr>
        <w:tabs>
          <w:tab w:val="clear" w:pos="709"/>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 (УПД).</w:t>
      </w:r>
    </w:p>
    <w:p>
      <w:pPr>
        <w:pStyle w:val="Normal"/>
        <w:ind w:firstLine="709"/>
        <w:jc w:val="both"/>
        <w:rPr>
          <w:sz w:val="24"/>
          <w:szCs w:val="24"/>
        </w:rPr>
      </w:pPr>
      <w:r>
        <w:rPr>
          <w:sz w:val="24"/>
          <w:szCs w:val="24"/>
        </w:rPr>
      </w:r>
    </w:p>
    <w:p>
      <w:pPr>
        <w:pStyle w:val="ListParagraph"/>
        <w:numPr>
          <w:ilvl w:val="0"/>
          <w:numId w:val="2"/>
        </w:numPr>
        <w:tabs>
          <w:tab w:val="clear" w:pos="709"/>
          <w:tab w:val="left" w:pos="284" w:leader="none"/>
        </w:tabs>
        <w:ind w:left="357" w:hanging="357"/>
        <w:jc w:val="center"/>
        <w:rPr>
          <w:b/>
          <w:sz w:val="24"/>
          <w:szCs w:val="24"/>
        </w:rPr>
      </w:pPr>
      <w:r>
        <w:rPr>
          <w:b/>
          <w:sz w:val="24"/>
          <w:szCs w:val="24"/>
        </w:rPr>
        <w:t>Гарантийный срок</w:t>
      </w:r>
    </w:p>
    <w:p>
      <w:pPr>
        <w:pStyle w:val="ListParagraph"/>
        <w:numPr>
          <w:ilvl w:val="1"/>
          <w:numId w:val="2"/>
        </w:numPr>
        <w:tabs>
          <w:tab w:val="left" w:pos="709" w:leader="none"/>
          <w:tab w:val="left" w:pos="1134" w:leader="none"/>
        </w:tabs>
        <w:ind w:left="0" w:firstLine="709"/>
        <w:jc w:val="both"/>
        <w:rPr>
          <w:sz w:val="24"/>
          <w:szCs w:val="24"/>
        </w:rPr>
      </w:pPr>
      <w:r>
        <w:rPr>
          <w:sz w:val="24"/>
          <w:szCs w:val="24"/>
        </w:rPr>
        <w:t xml:space="preserve">Гарантийный срок на Товар, поставленный по Договору, составляет ____ (______) месяцев и начинает течь с даты подписания Сторонами накладной ТОРГ-12 (УПД). 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6"/>
      <w:bookmarkStart w:id="5" w:name="OLE_LINK5"/>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190" w:leader="none"/>
        </w:tabs>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Покупатель не несет ответственности за ненадлежащее исполнение обязательств </w:t>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134" w:leader="none"/>
        </w:tabs>
        <w:ind w:left="0" w:firstLine="709"/>
        <w:jc w:val="both"/>
        <w:rPr>
          <w:bCs/>
          <w:sz w:val="24"/>
          <w:szCs w:val="24"/>
        </w:rPr>
      </w:pPr>
      <w:r>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p>
    <w:p>
      <w:pPr>
        <w:pStyle w:val="Normal"/>
        <w:widowControl/>
        <w:numPr>
          <w:ilvl w:val="1"/>
          <w:numId w:val="2"/>
        </w:numPr>
        <w:tabs>
          <w:tab w:val="clear" w:pos="709"/>
          <w:tab w:val="left" w:pos="1134"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Покупатель вправе требовать уплаты Поставщиком н</w:t>
      </w:r>
      <w:r>
        <w:rPr>
          <w:bCs/>
          <w:sz w:val="24"/>
          <w:szCs w:val="24"/>
        </w:rPr>
        <w:t>еустойки</w:t>
      </w:r>
      <w:r>
        <w:rPr>
          <w:sz w:val="24"/>
          <w:szCs w:val="24"/>
        </w:rPr>
        <w:t xml:space="preserve"> в размере 0,1 (ноль целых и одна десятая) процента от Цены Договора за каждый день просрочки.</w:t>
      </w:r>
    </w:p>
    <w:p>
      <w:pPr>
        <w:pStyle w:val="Normal"/>
        <w:widowControl/>
        <w:tabs>
          <w:tab w:val="clear" w:pos="709"/>
          <w:tab w:val="left" w:pos="1134" w:leader="none"/>
        </w:tabs>
        <w:ind w:firstLine="709"/>
        <w:jc w:val="both"/>
        <w:rPr>
          <w:bCs/>
          <w:sz w:val="24"/>
          <w:szCs w:val="24"/>
        </w:rPr>
      </w:pPr>
      <w:r>
        <w:rPr>
          <w:sz w:val="24"/>
          <w:szCs w:val="24"/>
        </w:rPr>
        <w:t>5.5. В случае несвоевременного устранения Поставщиком выявленных недостатков Товара, Покупатель вправе потребовать уплаты Поставщиком:</w:t>
      </w:r>
    </w:p>
    <w:p>
      <w:pPr>
        <w:pStyle w:val="Normal"/>
        <w:widowControl/>
        <w:tabs>
          <w:tab w:val="clear" w:pos="709"/>
          <w:tab w:val="left" w:pos="1134" w:leader="none"/>
        </w:tabs>
        <w:ind w:firstLine="680"/>
        <w:jc w:val="both"/>
        <w:rPr/>
      </w:pPr>
      <w:r>
        <w:rPr>
          <w:sz w:val="24"/>
          <w:szCs w:val="24"/>
        </w:rPr>
        <w:t>5.5.1.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Normal"/>
        <w:widowControl/>
        <w:tabs>
          <w:tab w:val="clear" w:pos="709"/>
          <w:tab w:val="left" w:pos="1134" w:leader="none"/>
        </w:tabs>
        <w:ind w:firstLine="680"/>
        <w:jc w:val="both"/>
        <w:rPr>
          <w:bCs/>
          <w:sz w:val="24"/>
          <w:szCs w:val="24"/>
        </w:rPr>
      </w:pPr>
      <w:r>
        <w:rPr>
          <w:sz w:val="24"/>
          <w:szCs w:val="24"/>
        </w:rPr>
        <w:t>5.5.2.  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widowControl/>
        <w:tabs>
          <w:tab w:val="clear" w:pos="709"/>
          <w:tab w:val="left" w:pos="1134" w:leader="none"/>
          <w:tab w:val="left" w:pos="1701" w:leader="none"/>
        </w:tabs>
        <w:ind w:left="0" w:firstLine="680"/>
        <w:jc w:val="both"/>
        <w:rPr>
          <w:sz w:val="24"/>
          <w:szCs w:val="24"/>
        </w:rPr>
      </w:pPr>
      <w:r>
        <w:rPr>
          <w:rFonts w:eastAsia="Calibri"/>
          <w:bCs/>
          <w:sz w:val="24"/>
          <w:szCs w:val="24"/>
        </w:rPr>
        <w:t>5.6. 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pPr>
        <w:pStyle w:val="ListParagraph"/>
        <w:widowControl/>
        <w:shd w:val="clear" w:color="auto" w:fill="FFFFFF"/>
        <w:tabs>
          <w:tab w:val="clear" w:pos="709"/>
          <w:tab w:val="left" w:pos="1134" w:leader="none"/>
        </w:tabs>
        <w:ind w:left="0" w:firstLine="680"/>
        <w:jc w:val="both"/>
        <w:rPr>
          <w:bCs/>
          <w:sz w:val="24"/>
          <w:szCs w:val="24"/>
        </w:rPr>
      </w:pPr>
      <w:r>
        <w:rPr>
          <w:bCs/>
          <w:sz w:val="24"/>
          <w:szCs w:val="24"/>
        </w:rPr>
        <w:t xml:space="preserve">5.7. 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ListParagraph"/>
        <w:widowControl/>
        <w:shd w:val="clear" w:color="auto" w:fill="FFFFFF"/>
        <w:tabs>
          <w:tab w:val="clear" w:pos="709"/>
          <w:tab w:val="left" w:pos="1134" w:leader="none"/>
        </w:tabs>
        <w:ind w:left="0" w:firstLine="680"/>
        <w:jc w:val="both"/>
        <w:rPr>
          <w:bCs/>
          <w:sz w:val="24"/>
          <w:szCs w:val="24"/>
        </w:rPr>
      </w:pPr>
      <w:r>
        <w:rPr>
          <w:bCs/>
          <w:sz w:val="24"/>
          <w:szCs w:val="24"/>
        </w:rPr>
        <w:t xml:space="preserve">5.8.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9"/>
          <w:tab w:val="left" w:pos="1134" w:leader="none"/>
        </w:tabs>
        <w:ind w:left="0" w:firstLine="709"/>
        <w:jc w:val="both"/>
        <w:rPr>
          <w:bCs/>
          <w:sz w:val="24"/>
          <w:szCs w:val="24"/>
        </w:rPr>
      </w:pPr>
      <w:r>
        <w:rPr>
          <w:bCs/>
          <w:sz w:val="24"/>
          <w:szCs w:val="24"/>
        </w:rPr>
        <w:t>В случае нарушения Поставщиком сроков предоставления счетов-фактур (УПД),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shd w:val="clear" w:color="auto" w:fill="FFFFFF"/>
        <w:tabs>
          <w:tab w:val="clear" w:pos="709"/>
          <w:tab w:val="left" w:pos="1276" w:leader="none"/>
        </w:tabs>
        <w:ind w:left="0" w:firstLine="709"/>
        <w:jc w:val="both"/>
        <w:rPr>
          <w:bCs/>
          <w:sz w:val="24"/>
          <w:szCs w:val="24"/>
        </w:rPr>
      </w:pPr>
      <w:r>
        <w:rPr>
          <w:bCs/>
          <w:sz w:val="24"/>
          <w:szCs w:val="24"/>
        </w:rPr>
        <w:t xml:space="preserve">5.9. Поставщик несет ответственность перед Покупателем за причиненные убытки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shd w:val="clear" w:color="auto" w:fill="FFFFFF"/>
        <w:tabs>
          <w:tab w:val="clear" w:pos="709"/>
          <w:tab w:val="left" w:pos="1276" w:leader="none"/>
          <w:tab w:val="left" w:pos="1418" w:leader="none"/>
        </w:tabs>
        <w:ind w:left="0" w:firstLine="709"/>
        <w:jc w:val="both"/>
        <w:rPr>
          <w:bCs/>
          <w:sz w:val="24"/>
          <w:szCs w:val="24"/>
        </w:rPr>
      </w:pPr>
      <w:r>
        <w:rPr>
          <w:bCs/>
          <w:sz w:val="24"/>
          <w:szCs w:val="24"/>
        </w:rPr>
        <w:t xml:space="preserve">5.10.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shd w:val="clear" w:color="auto" w:fill="FFFFFF"/>
        <w:tabs>
          <w:tab w:val="clear" w:pos="709"/>
          <w:tab w:val="left" w:pos="1276" w:leader="none"/>
          <w:tab w:val="left" w:pos="1418" w:leader="none"/>
        </w:tabs>
        <w:ind w:left="0" w:firstLine="709"/>
        <w:jc w:val="both"/>
        <w:rPr>
          <w:bCs/>
          <w:sz w:val="24"/>
          <w:szCs w:val="24"/>
        </w:rPr>
      </w:pPr>
      <w:r>
        <w:rPr>
          <w:bCs/>
          <w:sz w:val="24"/>
          <w:szCs w:val="24"/>
        </w:rPr>
        <w:t>5.11.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shd w:val="clear" w:color="auto" w:fill="FFFFFF"/>
        <w:tabs>
          <w:tab w:val="clear" w:pos="709"/>
          <w:tab w:val="left" w:pos="1276" w:leader="none"/>
          <w:tab w:val="left" w:pos="1418" w:leader="none"/>
        </w:tabs>
        <w:ind w:left="0" w:firstLine="709"/>
        <w:jc w:val="both"/>
        <w:rPr>
          <w:bCs/>
          <w:sz w:val="24"/>
          <w:szCs w:val="24"/>
        </w:rPr>
      </w:pPr>
      <w:r>
        <w:rPr>
          <w:bCs/>
          <w:sz w:val="24"/>
          <w:szCs w:val="24"/>
        </w:rPr>
        <w:t>5.12. 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shd w:val="clear" w:color="auto" w:fill="FFFFFF"/>
        <w:tabs>
          <w:tab w:val="clear" w:pos="709"/>
          <w:tab w:val="left" w:pos="1276" w:leader="none"/>
          <w:tab w:val="left" w:pos="1418" w:leader="none"/>
        </w:tabs>
        <w:ind w:left="0" w:firstLine="709"/>
        <w:jc w:val="both"/>
        <w:rPr>
          <w:bCs/>
          <w:sz w:val="24"/>
          <w:szCs w:val="24"/>
        </w:rPr>
      </w:pPr>
      <w:r>
        <w:rPr>
          <w:bCs/>
          <w:sz w:val="24"/>
          <w:szCs w:val="24"/>
        </w:rPr>
        <w:t xml:space="preserve">5.13. 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 w:val="left" w:pos="284"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пунктом 6.6.7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8"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8"/>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Споры, указанные в пункте 7.1 Договора, которые не были урегулированы Сторонами путем переговоров, подлежат разрешению в Арбитражном суде Ставропольского края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13.8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8.7.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tabs>
          <w:tab w:val="clear" w:pos="709"/>
          <w:tab w:val="left" w:pos="426" w:leader="none"/>
        </w:tabs>
        <w:spacing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10.3 Договора.</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firstLine="709"/>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 w:val="left" w:pos="567"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9"/>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9"/>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9"/>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9"/>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8"/>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8"/>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8"/>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8"/>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0" w:leader="none"/>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обязан 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0" w:hanging="0"/>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6"/>
        </w:numPr>
        <w:tabs>
          <w:tab w:val="clear" w:pos="709"/>
          <w:tab w:val="left" w:pos="0" w:leader="none"/>
          <w:tab w:val="left" w:pos="1418" w:leader="none"/>
        </w:tabs>
        <w:ind w:left="0" w:firstLine="709"/>
        <w:jc w:val="both"/>
        <w:rPr>
          <w:sz w:val="24"/>
          <w:szCs w:val="24"/>
        </w:rPr>
      </w:pPr>
      <w:r>
        <w:rPr>
          <w:sz w:val="24"/>
          <w:szCs w:val="24"/>
        </w:rPr>
        <w:t>нарушение Поставщиком общего срока поставки Товара по Договору более чем на 60 (шестьдесят) календарных дней по причинам, не зависящим от Покупателя;</w:t>
      </w:r>
    </w:p>
    <w:p>
      <w:pPr>
        <w:pStyle w:val="ListParagraph"/>
        <w:widowControl/>
        <w:numPr>
          <w:ilvl w:val="0"/>
          <w:numId w:val="6"/>
        </w:numPr>
        <w:tabs>
          <w:tab w:val="clear" w:pos="709"/>
          <w:tab w:val="left" w:pos="0" w:leader="none"/>
          <w:tab w:val="left" w:pos="1418" w:leader="none"/>
        </w:tabs>
        <w:ind w:left="0"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6"/>
        </w:numPr>
        <w:tabs>
          <w:tab w:val="clear" w:pos="709"/>
          <w:tab w:val="left" w:pos="0" w:leader="none"/>
          <w:tab w:val="left" w:pos="1418" w:leader="none"/>
        </w:tabs>
        <w:ind w:left="0"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6"/>
        </w:numPr>
        <w:tabs>
          <w:tab w:val="clear" w:pos="709"/>
          <w:tab w:val="left" w:pos="0" w:leader="none"/>
          <w:tab w:val="left" w:pos="1418" w:leader="none"/>
        </w:tabs>
        <w:ind w:left="0"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6"/>
        </w:numPr>
        <w:tabs>
          <w:tab w:val="clear" w:pos="709"/>
          <w:tab w:val="left" w:pos="0" w:leader="none"/>
          <w:tab w:val="left" w:pos="1418" w:leader="none"/>
        </w:tabs>
        <w:ind w:left="0"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11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1134" w:leader="none"/>
        </w:tabs>
        <w:ind w:left="0" w:hanging="0"/>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widowControl/>
        <w:numPr>
          <w:ilvl w:val="1"/>
          <w:numId w:val="2"/>
        </w:numPr>
        <w:snapToGrid w:val="false"/>
        <w:ind w:left="0" w:firstLine="709"/>
        <w:jc w:val="both"/>
        <w:rPr>
          <w:sz w:val="24"/>
          <w:szCs w:val="24"/>
        </w:rPr>
      </w:pPr>
      <w:r>
        <w:rPr>
          <w:sz w:val="24"/>
          <w:szCs w:val="24"/>
        </w:rPr>
        <w:t xml:space="preserve">Договор заключается в электронной форме с использованием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widowControl/>
        <w:shd w:val="clear" w:color="auto" w:fill="FFFFFF"/>
        <w:tabs>
          <w:tab w:val="clear" w:pos="709"/>
          <w:tab w:val="left" w:pos="0" w:leader="none"/>
        </w:tabs>
        <w:ind w:firstLine="709"/>
        <w:jc w:val="both"/>
        <w:rPr>
          <w:sz w:val="24"/>
          <w:szCs w:val="24"/>
        </w:rPr>
      </w:pPr>
      <w:r>
        <w:rPr>
          <w:sz w:val="24"/>
          <w:szCs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rPr>
        <w:footnoteReference w:id="2"/>
      </w:r>
      <w:r>
        <w:rPr>
          <w:sz w:val="24"/>
          <w:szCs w:val="24"/>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13.7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13.8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9" w:name="_Ref361338004"/>
      <w:r>
        <w:rPr>
          <w:sz w:val="24"/>
          <w:szCs w:val="24"/>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13.8 Договора.</w:t>
      </w:r>
      <w:bookmarkEnd w:id="9"/>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 </w:t>
      </w:r>
    </w:p>
    <w:p>
      <w:pPr>
        <w:pStyle w:val="Normal"/>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Normal"/>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Уступка (передача), в том числе в залог, прав (требований) к Покупателю по денежным обязательствам, возникшим из Договора, и принадлежащих Поставщику, осуществляется только при условии предварительного письменного согласия Покупателя и оформляется трёхсторонним договором.</w:t>
      </w:r>
      <w:r>
        <w:rPr>
          <w:sz w:val="24"/>
          <w:szCs w:val="24"/>
        </w:rPr>
        <w:t xml:space="preserve">  </w:t>
      </w:r>
    </w:p>
    <w:p>
      <w:pPr>
        <w:pStyle w:val="ListParagraph"/>
        <w:numPr>
          <w:ilvl w:val="1"/>
          <w:numId w:val="2"/>
        </w:numPr>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9"/>
          <w:tab w:val="left" w:pos="284" w:leader="none"/>
        </w:tabs>
        <w:spacing w:before="0" w:after="0"/>
        <w:ind w:left="0" w:hanging="36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ind w:firstLine="709"/>
        <w:jc w:val="both"/>
        <w:rPr>
          <w:rFonts w:eastAsia="Calibri"/>
          <w:sz w:val="24"/>
          <w:szCs w:val="24"/>
          <w:lang w:eastAsia="en-US"/>
        </w:rPr>
      </w:pPr>
      <w:bookmarkStart w:id="10" w:name="sub_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bookmarkEnd w:id="10"/>
    </w:p>
    <w:p>
      <w:pPr>
        <w:pStyle w:val="Normal"/>
        <w:ind w:firstLine="709"/>
        <w:jc w:val="both"/>
        <w:rPr>
          <w:bCs/>
          <w:sz w:val="24"/>
          <w:szCs w:val="24"/>
        </w:rPr>
      </w:pPr>
      <w:r>
        <w:rPr>
          <w:bCs/>
          <w:sz w:val="24"/>
          <w:szCs w:val="24"/>
        </w:rPr>
        <w:t xml:space="preserve">Приложение № 3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0" w:hanging="0"/>
        <w:rPr>
          <w:b/>
          <w:bCs/>
          <w:sz w:val="24"/>
          <w:szCs w:val="24"/>
        </w:rPr>
      </w:pPr>
      <w:r>
        <w:rPr>
          <w:b/>
          <w:bCs/>
          <w:sz w:val="24"/>
          <w:szCs w:val="24"/>
        </w:rPr>
      </w:r>
    </w:p>
    <w:tbl>
      <w:tblPr>
        <w:tblW w:w="9890"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770"/>
        <w:gridCol w:w="158"/>
        <w:gridCol w:w="4628"/>
        <w:gridCol w:w="334"/>
      </w:tblGrid>
      <w:tr>
        <w:trPr/>
        <w:tc>
          <w:tcPr>
            <w:tcW w:w="4928" w:type="dxa"/>
            <w:gridSpan w:val="2"/>
            <w:tcBorders/>
            <w:shd w:color="auto" w:fill="auto" w:val="clear"/>
          </w:tcPr>
          <w:p>
            <w:pPr>
              <w:pStyle w:val="Normal"/>
              <w:widowControl w:val="false"/>
              <w:rPr>
                <w:sz w:val="24"/>
                <w:szCs w:val="24"/>
              </w:rPr>
            </w:pPr>
            <w:r>
              <w:rPr>
                <w:sz w:val="24"/>
                <w:szCs w:val="24"/>
              </w:rPr>
              <w:t>ПОКУПАТЕЛЬ:</w:t>
            </w:r>
          </w:p>
        </w:tc>
        <w:tc>
          <w:tcPr>
            <w:tcW w:w="4962" w:type="dxa"/>
            <w:gridSpan w:val="2"/>
            <w:tcBorders/>
            <w:shd w:color="auto" w:fill="auto" w:val="clear"/>
          </w:tcPr>
          <w:p>
            <w:pPr>
              <w:pStyle w:val="Normal"/>
              <w:widowControl w:val="false"/>
              <w:rPr>
                <w:sz w:val="24"/>
                <w:szCs w:val="24"/>
              </w:rPr>
            </w:pPr>
            <w:r>
              <w:rPr>
                <w:sz w:val="24"/>
                <w:szCs w:val="24"/>
              </w:rPr>
              <w:t>ПОСТАВЩИК:</w:t>
            </w:r>
          </w:p>
        </w:tc>
      </w:tr>
      <w:tr>
        <w:trPr/>
        <w:tc>
          <w:tcPr>
            <w:tcW w:w="4928" w:type="dxa"/>
            <w:gridSpan w:val="2"/>
            <w:tcBorders/>
            <w:shd w:color="auto" w:fill="auto" w:val="clear"/>
          </w:tcPr>
          <w:p>
            <w:pPr>
              <w:pStyle w:val="Normal"/>
              <w:widowControl w:val="false"/>
              <w:rPr>
                <w:sz w:val="24"/>
                <w:szCs w:val="24"/>
              </w:rPr>
            </w:pPr>
            <w:r>
              <w:rPr>
                <w:sz w:val="24"/>
                <w:szCs w:val="24"/>
              </w:rPr>
            </w:r>
          </w:p>
          <w:p>
            <w:pPr>
              <w:pStyle w:val="Normal"/>
              <w:widowControl w:val="false"/>
              <w:rPr>
                <w:b/>
                <w:sz w:val="24"/>
                <w:szCs w:val="24"/>
              </w:rPr>
            </w:pPr>
            <w:r>
              <w:rPr>
                <w:b/>
                <w:sz w:val="24"/>
                <w:szCs w:val="24"/>
              </w:rPr>
              <w:t>Публичное акционерное общество</w:t>
            </w:r>
          </w:p>
          <w:p>
            <w:pPr>
              <w:pStyle w:val="Normal"/>
              <w:widowControl w:val="false"/>
              <w:rPr>
                <w:b/>
                <w:sz w:val="24"/>
                <w:szCs w:val="24"/>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Место нахождения: </w:t>
            </w:r>
          </w:p>
          <w:p>
            <w:pPr>
              <w:pStyle w:val="Normal"/>
              <w:widowControl w:val="false"/>
              <w:rPr>
                <w:sz w:val="24"/>
                <w:szCs w:val="24"/>
              </w:rPr>
            </w:pPr>
            <w:r>
              <w:rPr>
                <w:sz w:val="24"/>
                <w:szCs w:val="24"/>
              </w:rPr>
              <w:t xml:space="preserve">Красноярский край, г. Красноярск </w:t>
            </w:r>
          </w:p>
          <w:p>
            <w:pPr>
              <w:pStyle w:val="Normal"/>
              <w:widowControl w:val="false"/>
              <w:rPr>
                <w:sz w:val="24"/>
                <w:szCs w:val="24"/>
              </w:rPr>
            </w:pPr>
            <w:r>
              <w:rPr>
                <w:sz w:val="24"/>
                <w:szCs w:val="24"/>
              </w:rPr>
              <w:t>Адрес: 660049, Красноярский край , г.о. город Красноярск, г. Красноярск, ул. Перенсона, зд. 2А, помещ. 1</w:t>
            </w:r>
          </w:p>
          <w:p>
            <w:pPr>
              <w:pStyle w:val="Normal"/>
              <w:widowControl w:val="false"/>
              <w:rPr>
                <w:sz w:val="24"/>
                <w:szCs w:val="24"/>
              </w:rPr>
            </w:pPr>
            <w:r>
              <w:rPr>
                <w:sz w:val="24"/>
                <w:szCs w:val="24"/>
              </w:rPr>
              <w:t xml:space="preserve">Почтовый адрес: </w:t>
            </w:r>
          </w:p>
          <w:p>
            <w:pPr>
              <w:pStyle w:val="Normal"/>
              <w:widowControl w:val="false"/>
              <w:rPr>
                <w:sz w:val="24"/>
                <w:szCs w:val="24"/>
              </w:rPr>
            </w:pPr>
            <w:r>
              <w:rPr>
                <w:sz w:val="24"/>
                <w:szCs w:val="24"/>
              </w:rPr>
              <w:t>________________________</w:t>
            </w:r>
          </w:p>
          <w:p>
            <w:pPr>
              <w:pStyle w:val="Normal"/>
              <w:widowControl w:val="false"/>
              <w:rPr>
                <w:sz w:val="24"/>
                <w:szCs w:val="24"/>
              </w:rPr>
            </w:pPr>
            <w:r>
              <w:rPr>
                <w:sz w:val="24"/>
                <w:szCs w:val="24"/>
              </w:rPr>
              <w:t xml:space="preserve">ОГРН 1042401810494, </w:t>
            </w:r>
          </w:p>
          <w:p>
            <w:pPr>
              <w:pStyle w:val="Normal"/>
              <w:widowControl w:val="false"/>
              <w:rPr>
                <w:sz w:val="24"/>
                <w:szCs w:val="24"/>
              </w:rPr>
            </w:pPr>
            <w:r>
              <w:rPr>
                <w:sz w:val="24"/>
                <w:szCs w:val="24"/>
              </w:rPr>
              <w:t>ИНН 2460066195 / КПП 997650001</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c>
          <w:tcPr>
            <w:tcW w:w="4962" w:type="dxa"/>
            <w:gridSpan w:val="2"/>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Место нахождения:</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70" w:type="dxa"/>
            <w:tcBorders/>
            <w:shd w:color="auto" w:fill="auto" w:val="clear"/>
          </w:tcPr>
          <w:p>
            <w:pPr>
              <w:pStyle w:val="Normal"/>
              <w:widowControl w:val="false"/>
              <w:rPr>
                <w:sz w:val="24"/>
                <w:szCs w:val="24"/>
              </w:rPr>
            </w:pPr>
            <w:r>
              <w:rPr>
                <w:sz w:val="24"/>
                <w:szCs w:val="24"/>
              </w:rPr>
              <w:t xml:space="preserve">_______________ / _______________ </w:t>
            </w:r>
          </w:p>
          <w:p>
            <w:pPr>
              <w:pStyle w:val="Normal"/>
              <w:widowControl w:val="false"/>
              <w:rPr>
                <w:sz w:val="24"/>
                <w:szCs w:val="24"/>
              </w:rPr>
            </w:pPr>
            <w:r>
              <w:rPr>
                <w:sz w:val="24"/>
                <w:szCs w:val="24"/>
              </w:rPr>
            </w:r>
          </w:p>
        </w:tc>
        <w:tc>
          <w:tcPr>
            <w:tcW w:w="4786" w:type="dxa"/>
            <w:gridSpan w:val="2"/>
            <w:tcBorders/>
            <w:shd w:color="auto" w:fill="auto" w:val="clear"/>
          </w:tcPr>
          <w:p>
            <w:pPr>
              <w:pStyle w:val="Normal"/>
              <w:widowControl w:val="false"/>
              <w:rPr>
                <w:sz w:val="24"/>
                <w:szCs w:val="24"/>
              </w:rPr>
            </w:pPr>
            <w:r>
              <w:rPr>
                <w:sz w:val="24"/>
                <w:szCs w:val="24"/>
              </w:rPr>
              <w:t xml:space="preserve">_______________ / _______________ </w:t>
            </w:r>
          </w:p>
        </w:tc>
        <w:tc>
          <w:tcPr>
            <w:tcW w:w="334" w:type="dxa"/>
            <w:tcBorders/>
          </w:tcPr>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pPr>
    </w:p>
    <w:p>
      <w:pPr>
        <w:pStyle w:val="Normal"/>
        <w:widowControl w:val="false"/>
        <w:suppressAutoHyphens w:val="true"/>
        <w:bidi w:val="0"/>
        <w:spacing w:before="0" w:after="0"/>
        <w:ind w:left="10205" w:right="0" w:hanging="0"/>
        <w:jc w:val="left"/>
        <w:rPr>
          <w:sz w:val="22"/>
          <w:szCs w:val="22"/>
        </w:rPr>
      </w:pPr>
      <w:r>
        <w:rPr>
          <w:sz w:val="22"/>
          <w:szCs w:val="22"/>
        </w:rPr>
        <w:t>Приложение № 1</w:t>
      </w:r>
    </w:p>
    <w:p>
      <w:pPr>
        <w:pStyle w:val="Normal"/>
        <w:widowControl w:val="false"/>
        <w:suppressAutoHyphens w:val="true"/>
        <w:bidi w:val="0"/>
        <w:spacing w:before="0" w:after="0"/>
        <w:ind w:left="10205" w:right="0" w:hanging="0"/>
        <w:jc w:val="left"/>
        <w:rPr>
          <w:sz w:val="22"/>
          <w:szCs w:val="22"/>
        </w:rPr>
      </w:pPr>
      <w:r>
        <w:rPr>
          <w:sz w:val="22"/>
          <w:szCs w:val="22"/>
        </w:rPr>
        <w:t>к Договору поставки</w:t>
      </w:r>
    </w:p>
    <w:p>
      <w:pPr>
        <w:pStyle w:val="Normal"/>
        <w:widowControl w:val="false"/>
        <w:suppressAutoHyphens w:val="true"/>
        <w:bidi w:val="0"/>
        <w:spacing w:before="0" w:after="0"/>
        <w:ind w:left="10205" w:right="0" w:hanging="0"/>
        <w:jc w:val="left"/>
        <w:rPr>
          <w:sz w:val="22"/>
          <w:szCs w:val="22"/>
        </w:rPr>
      </w:pPr>
      <w:r>
        <w:rPr>
          <w:sz w:val="22"/>
          <w:szCs w:val="22"/>
        </w:rPr>
        <w:t xml:space="preserve">от «____» ________ 20 _ г. № </w:t>
      </w:r>
    </w:p>
    <w:p>
      <w:pPr>
        <w:pStyle w:val="Normal"/>
        <w:widowControl/>
        <w:jc w:val="right"/>
        <w:rPr>
          <w:rFonts w:eastAsia="Calibri"/>
          <w:b/>
          <w:sz w:val="24"/>
          <w:szCs w:val="24"/>
          <w:lang w:eastAsia="en-US"/>
        </w:rPr>
      </w:pPr>
      <w:r>
        <w:rPr>
          <w:rFonts w:eastAsia="Calibri"/>
          <w:b/>
          <w:sz w:val="24"/>
          <w:szCs w:val="24"/>
          <w:lang w:eastAsia="en-US"/>
        </w:rPr>
      </w:r>
    </w:p>
    <w:p>
      <w:pPr>
        <w:pStyle w:val="Normal"/>
        <w:jc w:val="center"/>
        <w:rPr>
          <w:b/>
          <w:sz w:val="24"/>
          <w:szCs w:val="24"/>
        </w:rPr>
      </w:pPr>
      <w:r>
        <w:rPr>
          <w:b/>
          <w:sz w:val="24"/>
          <w:szCs w:val="24"/>
        </w:rPr>
        <w:t xml:space="preserve">СПЕЦИФИКАЦИЯ </w:t>
      </w:r>
    </w:p>
    <w:p>
      <w:pPr>
        <w:pStyle w:val="Normal"/>
        <w:jc w:val="center"/>
        <w:rPr>
          <w:b/>
          <w:sz w:val="12"/>
          <w:szCs w:val="12"/>
        </w:rPr>
      </w:pPr>
      <w:r>
        <w:rPr>
          <w:b/>
          <w:sz w:val="12"/>
          <w:szCs w:val="12"/>
        </w:rPr>
      </w:r>
    </w:p>
    <w:tbl>
      <w:tblPr>
        <w:tblW w:w="15360" w:type="dxa"/>
        <w:jc w:val="left"/>
        <w:tblInd w:w="-714" w:type="dxa"/>
        <w:tblLayout w:type="fixed"/>
        <w:tblCellMar>
          <w:top w:w="0" w:type="dxa"/>
          <w:left w:w="108" w:type="dxa"/>
          <w:bottom w:w="0" w:type="dxa"/>
          <w:right w:w="108" w:type="dxa"/>
        </w:tblCellMar>
        <w:tblLook w:val="04a0" w:noVBand="1" w:noHBand="0" w:lastColumn="0" w:firstColumn="1" w:lastRow="0" w:firstRow="1"/>
      </w:tblPr>
      <w:tblGrid>
        <w:gridCol w:w="684"/>
        <w:gridCol w:w="587"/>
        <w:gridCol w:w="906"/>
        <w:gridCol w:w="924"/>
        <w:gridCol w:w="925"/>
        <w:gridCol w:w="1179"/>
        <w:gridCol w:w="1109"/>
        <w:gridCol w:w="935"/>
        <w:gridCol w:w="1104"/>
        <w:gridCol w:w="1053"/>
        <w:gridCol w:w="783"/>
        <w:gridCol w:w="979"/>
        <w:gridCol w:w="836"/>
        <w:gridCol w:w="780"/>
        <w:gridCol w:w="1085"/>
        <w:gridCol w:w="1491"/>
      </w:tblGrid>
      <w:tr>
        <w:trPr>
          <w:trHeight w:val="526" w:hRule="atLeast"/>
        </w:trPr>
        <w:tc>
          <w:tcPr>
            <w:tcW w:w="68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tc>
        <w:tc>
          <w:tcPr>
            <w:tcW w:w="5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 xml:space="preserve">№ </w:t>
            </w:r>
            <w:r>
              <w:rPr>
                <w:bCs/>
              </w:rPr>
              <w:t>поз.</w:t>
            </w:r>
          </w:p>
        </w:tc>
        <w:tc>
          <w:tcPr>
            <w:tcW w:w="90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Наименование Товара</w:t>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Артикул, тип, марка</w:t>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Завод изготовитель</w:t>
            </w:r>
          </w:p>
        </w:tc>
        <w:tc>
          <w:tcPr>
            <w:tcW w:w="117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Страна происхождения Товара</w:t>
            </w:r>
            <w:r>
              <w:rPr>
                <w:rStyle w:val="FootnoteReference"/>
                <w:bCs/>
              </w:rPr>
              <w:footnoteReference w:id="3"/>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t>Страна регистрации производителя Товара</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Код ОКПД 2 (с наименованием)</w:t>
            </w:r>
          </w:p>
        </w:tc>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Единица измерения</w:t>
            </w:r>
          </w:p>
        </w:tc>
        <w:tc>
          <w:tcPr>
            <w:tcW w:w="10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Порядковый номер(а) реестровой(ых) записи(ей)</w:t>
            </w:r>
            <w:r>
              <w:rPr>
                <w:rStyle w:val="FootnoteReference"/>
                <w:bCs/>
              </w:rPr>
              <w:footnoteReference w:id="4"/>
            </w:r>
          </w:p>
        </w:tc>
        <w:tc>
          <w:tcPr>
            <w:tcW w:w="7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Количество</w:t>
            </w:r>
          </w:p>
        </w:tc>
        <w:tc>
          <w:tcPr>
            <w:tcW w:w="97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Цена за единицу, руб. без НДС</w:t>
            </w:r>
          </w:p>
        </w:tc>
        <w:tc>
          <w:tcPr>
            <w:tcW w:w="8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Цена, руб. без НДС</w:t>
            </w:r>
          </w:p>
        </w:tc>
        <w:tc>
          <w:tcPr>
            <w:tcW w:w="78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НДС</w:t>
            </w:r>
          </w:p>
          <w:p>
            <w:pPr>
              <w:pStyle w:val="Normal"/>
              <w:widowControl w:val="false"/>
              <w:jc w:val="center"/>
              <w:rPr>
                <w:bCs/>
              </w:rPr>
            </w:pPr>
            <w:r>
              <w:rPr>
                <w:bCs/>
              </w:rPr>
              <w:t>(___%) руб.</w:t>
            </w:r>
          </w:p>
        </w:tc>
        <w:tc>
          <w:tcPr>
            <w:tcW w:w="10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Стоимость, руб., с НДС</w:t>
            </w:r>
          </w:p>
        </w:tc>
        <w:tc>
          <w:tcPr>
            <w:tcW w:w="14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6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r>
          </w:p>
        </w:tc>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t>1</w:t>
            </w:r>
          </w:p>
        </w:tc>
        <w:tc>
          <w:tcPr>
            <w:tcW w:w="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7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7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0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4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rHeight w:val="538" w:hRule="atLeast"/>
        </w:trPr>
        <w:tc>
          <w:tcPr>
            <w:tcW w:w="6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r>
          </w:p>
        </w:tc>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t>2</w:t>
            </w:r>
          </w:p>
        </w:tc>
        <w:tc>
          <w:tcPr>
            <w:tcW w:w="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7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7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0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4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rHeight w:val="538" w:hRule="atLeast"/>
        </w:trPr>
        <w:tc>
          <w:tcPr>
            <w:tcW w:w="6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r>
          </w:p>
        </w:tc>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7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7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0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4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rHeight w:val="538" w:hRule="atLeast"/>
        </w:trPr>
        <w:tc>
          <w:tcPr>
            <w:tcW w:w="6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r>
          </w:p>
        </w:tc>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7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7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0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4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rHeight w:val="62" w:hRule="atLeast"/>
        </w:trPr>
        <w:tc>
          <w:tcPr>
            <w:tcW w:w="12784"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
          </w:p>
        </w:tc>
        <w:tc>
          <w:tcPr>
            <w:tcW w:w="257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rHeight w:val="262" w:hRule="atLeast"/>
        </w:trPr>
        <w:tc>
          <w:tcPr>
            <w:tcW w:w="12784"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Итого стоимость всего Товара (с учетом доставки), руб. с НДС:</w:t>
            </w:r>
          </w:p>
        </w:tc>
        <w:tc>
          <w:tcPr>
            <w:tcW w:w="257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bl>
    <w:p>
      <w:pPr>
        <w:pStyle w:val="Normal"/>
        <w:rPr>
          <w:i/>
          <w:i/>
          <w:sz w:val="24"/>
          <w:szCs w:val="24"/>
        </w:rPr>
      </w:pPr>
      <w:r>
        <w:rPr>
          <w:i/>
          <w:sz w:val="24"/>
          <w:szCs w:val="24"/>
        </w:rPr>
      </w:r>
    </w:p>
    <w:p>
      <w:pPr>
        <w:pStyle w:val="Normal"/>
        <w:rPr>
          <w:i/>
          <w:i/>
          <w:sz w:val="22"/>
          <w:szCs w:val="22"/>
        </w:rPr>
      </w:pPr>
      <w:r>
        <w:rPr>
          <w:i/>
          <w:sz w:val="22"/>
          <w:szCs w:val="22"/>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rPr>
        <w:t xml:space="preserve">2. По требованию Покупателя Поставщик обязан представить запрашиваемую информацию/документы, расчеты, обосновывающие стоимость доставки. </w:t>
      </w:r>
    </w:p>
    <w:p>
      <w:pPr>
        <w:pStyle w:val="Normal"/>
        <w:rPr>
          <w:i/>
          <w:i/>
          <w:sz w:val="22"/>
          <w:szCs w:val="22"/>
        </w:rPr>
      </w:pPr>
      <w:r>
        <w:rPr>
          <w:i/>
          <w:sz w:val="22"/>
          <w:szCs w:val="22"/>
        </w:rPr>
      </w:r>
    </w:p>
    <w:p>
      <w:pPr>
        <w:pStyle w:val="Normal"/>
        <w:rPr>
          <w:i/>
          <w:i/>
          <w:sz w:val="22"/>
          <w:szCs w:val="22"/>
        </w:rPr>
      </w:pPr>
      <w:r>
        <w:rPr>
          <w:i/>
          <w:sz w:val="22"/>
          <w:szCs w:val="22"/>
        </w:rPr>
      </w:r>
    </w:p>
    <w:tbl>
      <w:tblPr>
        <w:tblW w:w="9637"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831"/>
        <w:gridCol w:w="4805"/>
      </w:tblGrid>
      <w:tr>
        <w:trPr>
          <w:trHeight w:val="269" w:hRule="atLeast"/>
        </w:trPr>
        <w:tc>
          <w:tcPr>
            <w:tcW w:w="4831" w:type="dxa"/>
            <w:tcBorders/>
          </w:tcPr>
          <w:p>
            <w:pPr>
              <w:pStyle w:val="Normal"/>
              <w:widowControl w:val="false"/>
              <w:rPr>
                <w:b/>
                <w:sz w:val="24"/>
              </w:rPr>
            </w:pPr>
            <w:r>
              <w:rPr>
                <w:b/>
                <w:sz w:val="24"/>
              </w:rPr>
              <w:t>Покупатель:</w:t>
            </w:r>
          </w:p>
        </w:tc>
        <w:tc>
          <w:tcPr>
            <w:tcW w:w="4805" w:type="dxa"/>
            <w:tcBorders/>
          </w:tcPr>
          <w:p>
            <w:pPr>
              <w:pStyle w:val="Normal"/>
              <w:widowControl w:val="false"/>
              <w:rPr>
                <w:b/>
                <w:sz w:val="24"/>
              </w:rPr>
            </w:pPr>
            <w:r>
              <w:rPr>
                <w:b/>
                <w:sz w:val="24"/>
              </w:rPr>
              <w:t>Поставщик:</w:t>
            </w:r>
          </w:p>
        </w:tc>
      </w:tr>
    </w:tbl>
    <w:p>
      <w:pPr>
        <w:sectPr>
          <w:headerReference w:type="default" r:id="rId8"/>
          <w:headerReference w:type="first" r:id="rId9"/>
          <w:footerReference w:type="default" r:id="rId10"/>
          <w:footerReference w:type="first" r:id="rId11"/>
          <w:footnotePr>
            <w:numFmt w:val="decimal"/>
          </w:footnotePr>
          <w:type w:val="nextPage"/>
          <w:pgSz w:orient="landscape" w:w="16838" w:h="11906"/>
          <w:pgMar w:left="1418" w:right="851" w:gutter="0" w:header="709" w:top="1134" w:footer="709" w:bottom="1134"/>
          <w:pgNumType w:fmt="decimal"/>
          <w:formProt w:val="false"/>
          <w:textDirection w:val="lrTb"/>
          <w:docGrid w:type="default" w:linePitch="299" w:charSpace="0"/>
        </w:sectPr>
        <w:pStyle w:val="Normal"/>
        <w:rPr/>
      </w:pPr>
      <w:r>
        <w:rPr/>
        <w:t xml:space="preserve"> </w:t>
      </w:r>
      <w:r>
        <w:rPr/>
        <w:t>__________ /__________</w:t>
        <w:tab/>
        <w:t xml:space="preserve">                                                       ___________ /___________</w:t>
      </w:r>
    </w:p>
    <w:p>
      <w:pPr>
        <w:pStyle w:val="Normal"/>
        <w:ind w:left="5103" w:hanging="0"/>
        <w:rPr>
          <w:sz w:val="22"/>
          <w:szCs w:val="22"/>
        </w:rPr>
      </w:pPr>
      <w:r>
        <w:rPr>
          <w:sz w:val="22"/>
          <w:szCs w:val="22"/>
        </w:rPr>
        <w:t>Приложение № 2</w:t>
      </w:r>
    </w:p>
    <w:p>
      <w:pPr>
        <w:pStyle w:val="Normal"/>
        <w:ind w:left="5103" w:hanging="0"/>
        <w:rPr>
          <w:sz w:val="22"/>
          <w:szCs w:val="22"/>
        </w:rPr>
      </w:pPr>
      <w:r>
        <w:rPr>
          <w:sz w:val="22"/>
          <w:szCs w:val="22"/>
        </w:rPr>
        <w:t xml:space="preserve">к Договору поставки </w:t>
      </w:r>
    </w:p>
    <w:p>
      <w:pPr>
        <w:pStyle w:val="Normal"/>
        <w:ind w:left="5103" w:hanging="0"/>
        <w:rPr>
          <w:sz w:val="22"/>
          <w:szCs w:val="22"/>
        </w:rPr>
      </w:pPr>
      <w:r>
        <w:rPr>
          <w:sz w:val="22"/>
          <w:szCs w:val="22"/>
        </w:rPr>
        <w:t xml:space="preserve">от «____» ________ 20 _ г. № </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33"/>
              <w:rPr>
                <w:b/>
                <w:sz w:val="24"/>
                <w:szCs w:val="24"/>
              </w:rPr>
            </w:pPr>
            <w:r>
              <w:rPr>
                <w:b/>
                <w:sz w:val="24"/>
                <w:szCs w:val="24"/>
              </w:rPr>
            </w:r>
          </w:p>
        </w:tc>
      </w:tr>
    </w:tbl>
    <w:p>
      <w:pPr>
        <w:sectPr>
          <w:headerReference w:type="default" r:id="rId12"/>
          <w:headerReference w:type="first" r:id="rId13"/>
          <w:footerReference w:type="default" r:id="rId14"/>
          <w:footerReference w:type="first" r:id="rId15"/>
          <w:footnotePr>
            <w:numFmt w:val="decimal"/>
          </w:footnotePr>
          <w:type w:val="nextPage"/>
          <w:pgSz w:w="11906" w:h="16838"/>
          <w:pgMar w:left="1418" w:right="851" w:gutter="0" w:header="567" w:top="1134" w:footer="709" w:bottom="1134"/>
          <w:pgNumType w:fmt="decimal"/>
          <w:formProt w:val="false"/>
          <w:textDirection w:val="lrTb"/>
          <w:docGrid w:type="default" w:linePitch="360" w:charSpace="0"/>
        </w:sectPr>
      </w:pPr>
    </w:p>
    <w:p>
      <w:pPr>
        <w:pStyle w:val="Normal"/>
        <w:tabs>
          <w:tab w:val="clear" w:pos="709"/>
          <w:tab w:val="left" w:pos="4860" w:leader="none"/>
        </w:tabs>
        <w:rPr>
          <w:b/>
          <w:sz w:val="24"/>
          <w:szCs w:val="24"/>
        </w:rPr>
      </w:pPr>
      <w:r>
        <w:rPr>
          <w:b/>
          <w:sz w:val="24"/>
          <w:szCs w:val="24"/>
        </w:rPr>
      </w:r>
    </w:p>
    <w:p>
      <w:pPr>
        <w:pStyle w:val="Normal"/>
        <w:widowControl/>
        <w:rPr>
          <w:rFonts w:eastAsia="Calibri"/>
          <w:sz w:val="24"/>
          <w:szCs w:val="24"/>
          <w:lang w:eastAsia="en-US"/>
        </w:rPr>
      </w:pPr>
      <w:r>
        <w:rPr>
          <w:rFonts w:eastAsia="Calibri"/>
          <w:sz w:val="24"/>
          <w:szCs w:val="24"/>
          <w:lang w:eastAsia="en-US"/>
        </w:rPr>
      </w:r>
    </w:p>
    <w:p>
      <w:pPr>
        <w:pStyle w:val="Normal"/>
        <w:ind w:firstLine="6237"/>
        <w:rPr>
          <w:sz w:val="24"/>
          <w:szCs w:val="24"/>
        </w:rPr>
      </w:pPr>
      <w:r>
        <w:rPr>
          <w:sz w:val="24"/>
          <w:szCs w:val="24"/>
        </w:rPr>
        <w:t>Приложение № 3</w:t>
      </w:r>
    </w:p>
    <w:p>
      <w:pPr>
        <w:pStyle w:val="Normal"/>
        <w:ind w:firstLine="6237"/>
        <w:rPr>
          <w:sz w:val="24"/>
          <w:szCs w:val="24"/>
        </w:rPr>
      </w:pPr>
      <w:r>
        <w:rPr>
          <w:sz w:val="24"/>
          <w:szCs w:val="24"/>
        </w:rPr>
        <w:t>к Договору поставки</w:t>
      </w:r>
    </w:p>
    <w:p>
      <w:pPr>
        <w:pStyle w:val="Normal"/>
        <w:ind w:firstLine="6237"/>
        <w:rPr>
          <w:bCs/>
          <w:sz w:val="24"/>
          <w:szCs w:val="24"/>
        </w:rPr>
      </w:pPr>
      <w:r>
        <w:rPr>
          <w:sz w:val="24"/>
          <w:szCs w:val="24"/>
        </w:rPr>
        <w:t xml:space="preserve">от «____» ________20 _ г. № </w:t>
      </w:r>
    </w:p>
    <w:p>
      <w:pPr>
        <w:pStyle w:val="Normal"/>
        <w:widowControl/>
        <w:shd w:val="clear" w:color="auto" w:fill="FFFFFF"/>
        <w:tabs>
          <w:tab w:val="clear" w:pos="709"/>
          <w:tab w:val="left" w:pos="1418" w:leader="none"/>
        </w:tabs>
        <w:spacing w:before="0" w:after="0"/>
        <w:ind w:firstLine="6237"/>
        <w:contextualSpacing/>
        <w:jc w:val="center"/>
        <w:rPr>
          <w:bCs/>
          <w:sz w:val="24"/>
          <w:szCs w:val="24"/>
        </w:rPr>
      </w:pPr>
      <w:r>
        <w:rPr>
          <w:bCs/>
          <w:sz w:val="24"/>
          <w:szCs w:val="24"/>
        </w:rPr>
      </w:r>
    </w:p>
    <w:p>
      <w:pPr>
        <w:pStyle w:val="Normal"/>
        <w:widowControl/>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VBand="0" w:noHBand="0" w:lastColumn="1" w:firstColumn="1" w:lastRow="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sz w:val="24"/>
          <w:szCs w:val="24"/>
        </w:rPr>
      </w:pPr>
      <w:r>
        <w:rPr>
          <w:sz w:val="24"/>
          <w:szCs w:val="24"/>
        </w:rPr>
      </w:r>
    </w:p>
    <w:p>
      <w:pPr>
        <w:pStyle w:val="Normal"/>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rPr>
                <w:sz w:val="24"/>
                <w:szCs w:val="24"/>
              </w:rPr>
            </w:pPr>
            <w:r>
              <w:rPr>
                <w:sz w:val="24"/>
                <w:szCs w:val="24"/>
              </w:rPr>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33"/>
              <w:rPr>
                <w:b/>
                <w:sz w:val="24"/>
                <w:szCs w:val="24"/>
              </w:rPr>
            </w:pPr>
            <w:r>
              <w:rPr>
                <w:b/>
                <w:sz w:val="24"/>
                <w:szCs w:val="24"/>
              </w:rPr>
            </w:r>
          </w:p>
        </w:tc>
      </w:tr>
    </w:tbl>
    <w:p>
      <w:pPr>
        <w:pStyle w:val="Normal"/>
        <w:rPr>
          <w:b/>
          <w:bCs/>
          <w:sz w:val="24"/>
          <w:szCs w:val="24"/>
        </w:rPr>
      </w:pPr>
      <w:r>
        <w:rPr/>
      </w:r>
    </w:p>
    <w:sectPr>
      <w:headerReference w:type="default" r:id="rId16"/>
      <w:headerReference w:type="first" r:id="rId17"/>
      <w:footerReference w:type="default" r:id="rId18"/>
      <w:footerReference w:type="first" r:id="rId19"/>
      <w:footnotePr>
        <w:numFmt w:val="decimal"/>
      </w:footnotePr>
      <w:type w:val="nextPage"/>
      <w:pgSz w:w="11906" w:h="16838"/>
      <w:pgMar w:left="1418" w:right="851" w:gutter="0" w:header="709" w:top="1134"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16</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17</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18</w:t>
    </w:r>
    <w: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19</w:t>
    </w:r>
    <w:r>
      <w:rPr>
        <w:sz w:val="22"/>
        <w:szCs w:val="22"/>
      </w:rPr>
      <w:fldChar w:fldCharType="end"/>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6"/>
        </w:rPr>
        <w:footnoteRef/>
      </w:r>
      <w:r>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p>
  </w:footnote>
  <w:footnote w:id="3">
    <w:p>
      <w:pPr>
        <w:pStyle w:val="FootnoteText"/>
        <w:jc w:val="both"/>
        <w:rPr/>
      </w:pPr>
      <w:r>
        <w:rPr>
          <w:rStyle w:val="Style16"/>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4">
    <w:p>
      <w:pPr>
        <w:pStyle w:val="FootnoteText"/>
        <w:jc w:val="both"/>
        <w:rPr/>
      </w:pPr>
      <w:r>
        <w:rPr>
          <w:rStyle w:val="Style16"/>
        </w:rPr>
        <w:footnoteRef/>
      </w:r>
      <w:r>
        <w:rPr/>
        <w:t xml:space="preserve"> </w:t>
      </w:r>
      <w:r>
        <w:rPr>
          <w:bCs/>
        </w:rPr>
        <w:t>Порядковый номер (номера) реестровой записи (реестровых записей), под которой (которыми) Оборудование включено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right" w:pos="8306"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right" w:pos="8306" w:leader="none"/>
      </w:tabs>
      <w:rPr/>
    </w:pPr>
    <w:r>
      <w:rPr/>
      <w:tab/>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right" w:pos="8306" w:leader="none"/>
      </w:tabs>
      <w:rPr/>
    </w:pPr>
    <w:r>
      <w:rPr/>
      <w:tab/>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revisionView w:insDel="0" w:formatting="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86f70"/>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qFormat/>
    <w:rsid w:val="00886f7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
    <w:qFormat/>
    <w:rsid w:val="00886f70"/>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886f70"/>
    <w:rPr>
      <w:rFonts w:ascii="Arial" w:hAnsi="Arial" w:eastAsia="Times New Roman" w:cs="Arial"/>
      <w:b/>
      <w:bCs/>
      <w:kern w:val="2"/>
      <w:sz w:val="32"/>
      <w:szCs w:val="32"/>
      <w:lang w:eastAsia="ru-RU"/>
    </w:rPr>
  </w:style>
  <w:style w:type="character" w:styleId="3" w:customStyle="1">
    <w:name w:val="Заголовок 3 Знак"/>
    <w:basedOn w:val="DefaultParagraphFont"/>
    <w:qFormat/>
    <w:rsid w:val="00886f70"/>
    <w:rPr>
      <w:rFonts w:ascii="Cambria" w:hAnsi="Cambria" w:eastAsia="Times New Roman" w:cs="Times New Roman"/>
      <w:b/>
      <w:bCs/>
      <w:color w:val="4F81BD"/>
      <w:sz w:val="20"/>
      <w:szCs w:val="20"/>
      <w:lang w:val="x-none" w:eastAsia="x-none"/>
    </w:rPr>
  </w:style>
  <w:style w:type="character" w:styleId="Style7" w:customStyle="1">
    <w:name w:val="Заголовок Знак"/>
    <w:basedOn w:val="DefaultParagraphFont"/>
    <w:qFormat/>
    <w:rsid w:val="00886f70"/>
    <w:rPr>
      <w:rFonts w:ascii="Times New Roman" w:hAnsi="Times New Roman" w:eastAsia="Times New Roman" w:cs="Times New Roman"/>
      <w:b/>
      <w:bCs/>
      <w:sz w:val="24"/>
      <w:szCs w:val="24"/>
      <w:lang w:eastAsia="ru-RU"/>
    </w:rPr>
  </w:style>
  <w:style w:type="character" w:styleId="2" w:customStyle="1">
    <w:name w:val="Основной текст с отступом 2 Знак"/>
    <w:basedOn w:val="DefaultParagraphFont"/>
    <w:link w:val="BodyTextIndent2"/>
    <w:qFormat/>
    <w:rsid w:val="00886f70"/>
    <w:rPr>
      <w:rFonts w:ascii="Times New Roman" w:hAnsi="Times New Roman" w:eastAsia="Times New Roman" w:cs="Times New Roman"/>
      <w:sz w:val="24"/>
      <w:szCs w:val="20"/>
      <w:lang w:eastAsia="ru-RU"/>
    </w:rPr>
  </w:style>
  <w:style w:type="character" w:styleId="Style8" w:customStyle="1">
    <w:name w:val="Текст выноски Знак"/>
    <w:basedOn w:val="DefaultParagraphFont"/>
    <w:link w:val="BalloonText"/>
    <w:semiHidden/>
    <w:qFormat/>
    <w:rsid w:val="00886f70"/>
    <w:rPr>
      <w:rFonts w:ascii="Tahoma" w:hAnsi="Tahoma" w:eastAsia="Times New Roman" w:cs="Tahoma"/>
      <w:sz w:val="16"/>
      <w:szCs w:val="16"/>
      <w:lang w:eastAsia="ru-RU"/>
    </w:rPr>
  </w:style>
  <w:style w:type="character" w:styleId="21" w:customStyle="1">
    <w:name w:val="Основной текст 2 Знак"/>
    <w:basedOn w:val="DefaultParagraphFont"/>
    <w:link w:val="BodyText2"/>
    <w:qFormat/>
    <w:rsid w:val="00886f70"/>
    <w:rPr>
      <w:rFonts w:ascii="Times New Roman" w:hAnsi="Times New Roman" w:eastAsia="Times New Roman" w:cs="Times New Roman"/>
      <w:sz w:val="24"/>
      <w:szCs w:val="24"/>
      <w:lang w:eastAsia="ru-RU"/>
    </w:rPr>
  </w:style>
  <w:style w:type="character" w:styleId="Style9" w:customStyle="1">
    <w:name w:val="Основной текст Знак"/>
    <w:basedOn w:val="DefaultParagraphFont"/>
    <w:qFormat/>
    <w:rsid w:val="00886f70"/>
    <w:rPr>
      <w:rFonts w:ascii="Times New Roman" w:hAnsi="Times New Roman" w:eastAsia="Times New Roman" w:cs="Times New Roman"/>
      <w:sz w:val="20"/>
      <w:szCs w:val="20"/>
      <w:lang w:eastAsia="ru-RU"/>
    </w:rPr>
  </w:style>
  <w:style w:type="character" w:styleId="Style10" w:customStyle="1">
    <w:name w:val="Нижний колонтитул Знак"/>
    <w:basedOn w:val="DefaultParagraphFont"/>
    <w:uiPriority w:val="99"/>
    <w:qFormat/>
    <w:rsid w:val="00886f70"/>
    <w:rPr>
      <w:rFonts w:ascii="Times New Roman" w:hAnsi="Times New Roman" w:eastAsia="Times New Roman" w:cs="Times New Roman"/>
      <w:sz w:val="20"/>
      <w:szCs w:val="20"/>
      <w:lang w:eastAsia="ru-RU"/>
    </w:rPr>
  </w:style>
  <w:style w:type="character" w:styleId="Pagenumber">
    <w:name w:val="page number"/>
    <w:basedOn w:val="DefaultParagraphFont"/>
    <w:qFormat/>
    <w:rsid w:val="00886f70"/>
    <w:rPr/>
  </w:style>
  <w:style w:type="character" w:styleId="31" w:customStyle="1">
    <w:name w:val="Основной текст 3 Знак"/>
    <w:basedOn w:val="DefaultParagraphFont"/>
    <w:link w:val="BodyText3"/>
    <w:qFormat/>
    <w:rsid w:val="00886f70"/>
    <w:rPr>
      <w:rFonts w:ascii="Times New Roman" w:hAnsi="Times New Roman" w:eastAsia="Times New Roman" w:cs="Times New Roman"/>
      <w:sz w:val="16"/>
      <w:szCs w:val="16"/>
      <w:lang w:val="x-none" w:eastAsia="x-none"/>
    </w:rPr>
  </w:style>
  <w:style w:type="character" w:styleId="Annotationreference">
    <w:name w:val="annotation reference"/>
    <w:qFormat/>
    <w:rsid w:val="00886f70"/>
    <w:rPr>
      <w:sz w:val="16"/>
      <w:szCs w:val="16"/>
    </w:rPr>
  </w:style>
  <w:style w:type="character" w:styleId="Style11" w:customStyle="1">
    <w:name w:val="Текст примечания Знак"/>
    <w:basedOn w:val="DefaultParagraphFont"/>
    <w:link w:val="Annotationtext"/>
    <w:qFormat/>
    <w:rsid w:val="00886f70"/>
    <w:rPr>
      <w:rFonts w:ascii="Times New Roman" w:hAnsi="Times New Roman" w:eastAsia="Times New Roman" w:cs="Times New Roman"/>
      <w:sz w:val="20"/>
      <w:szCs w:val="20"/>
      <w:lang w:eastAsia="ru-RU"/>
    </w:rPr>
  </w:style>
  <w:style w:type="character" w:styleId="Style12" w:customStyle="1">
    <w:name w:val="Тема примечания Знак"/>
    <w:basedOn w:val="Style11"/>
    <w:link w:val="Annotationsubject"/>
    <w:qFormat/>
    <w:rsid w:val="00886f70"/>
    <w:rPr>
      <w:rFonts w:ascii="Times New Roman" w:hAnsi="Times New Roman" w:eastAsia="Times New Roman" w:cs="Times New Roman"/>
      <w:b/>
      <w:bCs/>
      <w:sz w:val="20"/>
      <w:szCs w:val="20"/>
      <w:lang w:val="x-none" w:eastAsia="x-none"/>
    </w:rPr>
  </w:style>
  <w:style w:type="character" w:styleId="Style13" w:customStyle="1">
    <w:name w:val="Основной текст с отступом Знак"/>
    <w:basedOn w:val="DefaultParagraphFont"/>
    <w:qFormat/>
    <w:rsid w:val="00886f70"/>
    <w:rPr>
      <w:rFonts w:ascii="Times New Roman" w:hAnsi="Times New Roman" w:eastAsia="Times New Roman" w:cs="Times New Roman"/>
      <w:sz w:val="20"/>
      <w:szCs w:val="20"/>
      <w:lang w:eastAsia="ru-RU"/>
    </w:rPr>
  </w:style>
  <w:style w:type="character" w:styleId="Style14" w:customStyle="1">
    <w:name w:val="комментарий"/>
    <w:uiPriority w:val="99"/>
    <w:qFormat/>
    <w:rsid w:val="00886f70"/>
    <w:rPr>
      <w:rFonts w:cs="Times New Roman"/>
      <w:b/>
      <w:bCs/>
      <w:i/>
      <w:iCs/>
      <w:shd w:fill="FFFF99" w:val="clear"/>
    </w:rPr>
  </w:style>
  <w:style w:type="character" w:styleId="Style15" w:customStyle="1">
    <w:name w:val="Текст сноски Знак"/>
    <w:basedOn w:val="DefaultParagraphFont"/>
    <w:uiPriority w:val="99"/>
    <w:qFormat/>
    <w:rsid w:val="00886f70"/>
    <w:rPr>
      <w:rFonts w:ascii="Times New Roman" w:hAnsi="Times New Roman" w:eastAsia="Times New Roman" w:cs="Times New Roman"/>
      <w:sz w:val="20"/>
      <w:szCs w:val="20"/>
      <w:lang w:eastAsia="ru-RU"/>
    </w:rPr>
  </w:style>
  <w:style w:type="character" w:styleId="Style16" w:customStyle="1">
    <w:name w:val="Символ сноски"/>
    <w:qFormat/>
    <w:rsid w:val="00886f70"/>
    <w:rPr>
      <w:vertAlign w:val="superscript"/>
    </w:rPr>
  </w:style>
  <w:style w:type="character" w:styleId="FootnoteReference">
    <w:name w:val="Footnote Reference"/>
    <w:rPr>
      <w:vertAlign w:val="superscript"/>
    </w:rPr>
  </w:style>
  <w:style w:type="character" w:styleId="Style17" w:customStyle="1">
    <w:name w:val="Схема документа Знак"/>
    <w:basedOn w:val="DefaultParagraphFont"/>
    <w:link w:val="DocumentMap"/>
    <w:semiHidden/>
    <w:qFormat/>
    <w:rsid w:val="00886f70"/>
    <w:rPr>
      <w:rFonts w:ascii="Tahoma" w:hAnsi="Tahoma" w:eastAsia="Times New Roman" w:cs="Tahoma"/>
      <w:sz w:val="20"/>
      <w:szCs w:val="20"/>
      <w:shd w:fill="000080" w:val="clear"/>
      <w:lang w:eastAsia="ru-RU"/>
    </w:rPr>
  </w:style>
  <w:style w:type="character" w:styleId="Style18" w:customStyle="1">
    <w:name w:val="Верхний колонтитул Знак"/>
    <w:basedOn w:val="DefaultParagraphFont"/>
    <w:qFormat/>
    <w:rsid w:val="00886f70"/>
    <w:rPr>
      <w:rFonts w:ascii="Times New Roman" w:hAnsi="Times New Roman" w:eastAsia="Times New Roman" w:cs="Times New Roman"/>
      <w:sz w:val="20"/>
      <w:szCs w:val="20"/>
      <w:lang w:eastAsia="ru-RU"/>
    </w:rPr>
  </w:style>
  <w:style w:type="character" w:styleId="Hyperlink">
    <w:name w:val="Hyperlink"/>
    <w:rsid w:val="00886f70"/>
    <w:rPr>
      <w:color w:val="0000FF"/>
      <w:u w:val="single"/>
    </w:rPr>
  </w:style>
  <w:style w:type="character" w:styleId="Style19" w:customStyle="1">
    <w:name w:val="Абзац списка Знак"/>
    <w:link w:val="ListParagraph"/>
    <w:uiPriority w:val="34"/>
    <w:qFormat/>
    <w:locked/>
    <w:rsid w:val="00b80bab"/>
    <w:rPr>
      <w:rFonts w:ascii="Times New Roman" w:hAnsi="Times New Roman" w:eastAsia="Times New Roman" w:cs="Times New Roman"/>
      <w:sz w:val="20"/>
      <w:szCs w:val="20"/>
      <w:lang w:eastAsia="ru-RU"/>
    </w:rPr>
  </w:style>
  <w:style w:type="character" w:styleId="Linenumber1" w:customStyle="1">
    <w:name w:val="line number1"/>
    <w:qFormat/>
    <w:rPr/>
  </w:style>
  <w:style w:type="character" w:styleId="Style20" w:customStyle="1">
    <w:name w:val="Символ концевой сноски"/>
    <w:qFormat/>
    <w:rPr>
      <w:vertAlign w:val="superscript"/>
    </w:rPr>
  </w:style>
  <w:style w:type="character" w:styleId="EndnoteReference">
    <w:name w:val="Endnote Reference"/>
    <w:rPr>
      <w:vertAlign w:val="superscript"/>
    </w:rPr>
  </w:style>
  <w:style w:type="character" w:styleId="Style21" w:customStyle="1">
    <w:name w:val="Символ нумерации"/>
    <w:qFormat/>
    <w:rPr/>
  </w:style>
  <w:style w:type="character" w:styleId="Linenumber2" w:customStyle="1">
    <w:name w:val="line number2"/>
    <w:qFormat/>
    <w:rPr/>
  </w:style>
  <w:style w:type="character" w:styleId="Linenumber3" w:customStyle="1">
    <w:name w:val="line number3"/>
    <w:qFormat/>
    <w:rPr/>
  </w:style>
  <w:style w:type="character" w:styleId="Linenumber4">
    <w:name w:val="line number4"/>
    <w:qFormat/>
    <w:rPr/>
  </w:style>
  <w:style w:type="character" w:styleId="LineNumber">
    <w:name w:val="Line Number"/>
    <w:rPr/>
  </w:style>
  <w:style w:type="paragraph" w:styleId="Style22">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886f70"/>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3">
    <w:name w:val="Указатель"/>
    <w:basedOn w:val="Normal"/>
    <w:qFormat/>
    <w:pPr>
      <w:suppressLineNumbers/>
    </w:pPr>
    <w:rPr/>
  </w:style>
  <w:style w:type="paragraph" w:styleId="Title">
    <w:name w:val="Title"/>
    <w:basedOn w:val="Normal"/>
    <w:next w:val="BodyText"/>
    <w:link w:val="Style7"/>
    <w:qFormat/>
    <w:rsid w:val="00886f70"/>
    <w:pPr>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i/>
      <w:iCs/>
      <w:sz w:val="24"/>
      <w:szCs w:val="24"/>
    </w:rPr>
  </w:style>
  <w:style w:type="paragraph" w:styleId="Caption1111" w:customStyle="1">
    <w:name w:val="caption1111"/>
    <w:basedOn w:val="Normal"/>
    <w:qFormat/>
    <w:pPr>
      <w:suppressLineNumbers/>
      <w:spacing w:before="120" w:after="120"/>
    </w:pPr>
    <w:rPr>
      <w:i/>
      <w:iCs/>
      <w:sz w:val="24"/>
      <w:szCs w:val="24"/>
    </w:rPr>
  </w:style>
  <w:style w:type="paragraph" w:styleId="Style24" w:customStyle="1">
    <w:name w:val="Таблицы (моноширинный)"/>
    <w:basedOn w:val="Normal"/>
    <w:next w:val="Normal"/>
    <w:qFormat/>
    <w:rsid w:val="00886f70"/>
    <w:pPr>
      <w:jc w:val="both"/>
    </w:pPr>
    <w:rPr>
      <w:rFonts w:ascii="Courier New" w:hAnsi="Courier New" w:cs="Courier New"/>
    </w:rPr>
  </w:style>
  <w:style w:type="paragraph" w:styleId="BodyTextIndent2">
    <w:name w:val="Body Text Indent 2"/>
    <w:basedOn w:val="Normal"/>
    <w:link w:val="2"/>
    <w:qFormat/>
    <w:rsid w:val="00886f70"/>
    <w:pPr>
      <w:ind w:left="1843" w:hanging="0"/>
      <w:jc w:val="both"/>
    </w:pPr>
    <w:rPr>
      <w:sz w:val="24"/>
    </w:rPr>
  </w:style>
  <w:style w:type="paragraph" w:styleId="BalloonText">
    <w:name w:val="Balloon Text"/>
    <w:basedOn w:val="Normal"/>
    <w:link w:val="Style8"/>
    <w:semiHidden/>
    <w:qFormat/>
    <w:rsid w:val="00886f70"/>
    <w:pPr/>
    <w:rPr>
      <w:rFonts w:ascii="Tahoma" w:hAnsi="Tahoma" w:cs="Tahoma"/>
      <w:sz w:val="16"/>
      <w:szCs w:val="16"/>
    </w:rPr>
  </w:style>
  <w:style w:type="paragraph" w:styleId="BodyText2">
    <w:name w:val="Body Text 2"/>
    <w:basedOn w:val="Normal"/>
    <w:link w:val="21"/>
    <w:qFormat/>
    <w:rsid w:val="00886f70"/>
    <w:pPr>
      <w:widowControl/>
      <w:spacing w:lineRule="auto" w:line="480" w:before="0" w:after="120"/>
    </w:pPr>
    <w:rPr>
      <w:sz w:val="24"/>
      <w:szCs w:val="24"/>
    </w:rPr>
  </w:style>
  <w:style w:type="paragraph" w:styleId="Style25" w:customStyle="1">
    <w:name w:val="Колонтитул"/>
    <w:basedOn w:val="Normal"/>
    <w:qFormat/>
    <w:pPr/>
    <w:rPr/>
  </w:style>
  <w:style w:type="paragraph" w:styleId="Footer">
    <w:name w:val="Footer"/>
    <w:basedOn w:val="Normal"/>
    <w:link w:val="Style10"/>
    <w:uiPriority w:val="99"/>
    <w:rsid w:val="00886f70"/>
    <w:pPr>
      <w:tabs>
        <w:tab w:val="clear" w:pos="709"/>
        <w:tab w:val="center" w:pos="4677" w:leader="none"/>
        <w:tab w:val="right" w:pos="9355" w:leader="none"/>
      </w:tabs>
    </w:pPr>
    <w:rPr/>
  </w:style>
  <w:style w:type="paragraph" w:styleId="BodyText3">
    <w:name w:val="Body Text 3"/>
    <w:basedOn w:val="Normal"/>
    <w:link w:val="31"/>
    <w:qFormat/>
    <w:rsid w:val="00886f70"/>
    <w:pPr>
      <w:spacing w:before="0" w:after="120"/>
    </w:pPr>
    <w:rPr>
      <w:sz w:val="16"/>
      <w:szCs w:val="16"/>
      <w:lang w:val="x-none" w:eastAsia="x-none"/>
    </w:rPr>
  </w:style>
  <w:style w:type="paragraph" w:styleId="Annotationtext">
    <w:name w:val="annotation text"/>
    <w:basedOn w:val="Normal"/>
    <w:link w:val="Style11"/>
    <w:qFormat/>
    <w:rsid w:val="00886f70"/>
    <w:pPr/>
    <w:rPr/>
  </w:style>
  <w:style w:type="paragraph" w:styleId="Annotationsubject">
    <w:name w:val="annotation subject"/>
    <w:basedOn w:val="Annotationtext"/>
    <w:next w:val="Annotationtext"/>
    <w:link w:val="Style12"/>
    <w:qFormat/>
    <w:rsid w:val="00886f70"/>
    <w:pPr/>
    <w:rPr>
      <w:b/>
      <w:bCs/>
      <w:lang w:val="x-none" w:eastAsia="x-none"/>
    </w:rPr>
  </w:style>
  <w:style w:type="paragraph" w:styleId="ListParagraph">
    <w:name w:val="List Paragraph"/>
    <w:basedOn w:val="Normal"/>
    <w:link w:val="Style19"/>
    <w:uiPriority w:val="34"/>
    <w:qFormat/>
    <w:rsid w:val="00886f70"/>
    <w:pPr>
      <w:spacing w:before="0" w:after="0"/>
      <w:ind w:left="720" w:hanging="0"/>
      <w:contextualSpacing/>
    </w:pPr>
    <w:rPr/>
  </w:style>
  <w:style w:type="paragraph" w:styleId="Style26" w:customStyle="1">
    <w:name w:val="Знак Знак Знак Знак Знак Знак Знак Знак Знак"/>
    <w:basedOn w:val="Normal"/>
    <w:uiPriority w:val="99"/>
    <w:qFormat/>
    <w:rsid w:val="00886f70"/>
    <w:pPr>
      <w:widowControl/>
      <w:spacing w:lineRule="exact" w:line="240" w:before="0" w:after="160"/>
      <w:jc w:val="both"/>
    </w:pPr>
    <w:rPr>
      <w:rFonts w:ascii="Verdana" w:hAnsi="Verdana"/>
      <w:sz w:val="22"/>
      <w:lang w:val="en-US" w:eastAsia="en-US"/>
    </w:rPr>
  </w:style>
  <w:style w:type="paragraph" w:styleId="Style27" w:customStyle="1">
    <w:name w:val="Подпункт договора"/>
    <w:basedOn w:val="Normal"/>
    <w:qFormat/>
    <w:rsid w:val="00886f70"/>
    <w:pPr>
      <w:widowControl/>
      <w:tabs>
        <w:tab w:val="clear" w:pos="709"/>
        <w:tab w:val="left" w:pos="360" w:leader="none"/>
      </w:tabs>
      <w:jc w:val="both"/>
    </w:pPr>
    <w:rPr>
      <w:rFonts w:ascii="Arial" w:hAnsi="Arial"/>
    </w:rPr>
  </w:style>
  <w:style w:type="paragraph" w:styleId="ConsNormal" w:customStyle="1">
    <w:name w:val="ConsNormal"/>
    <w:qFormat/>
    <w:rsid w:val="00886f70"/>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3"/>
    <w:rsid w:val="00886f70"/>
    <w:pPr>
      <w:spacing w:before="0" w:after="120"/>
      <w:ind w:left="283" w:hanging="0"/>
    </w:pPr>
    <w:rPr/>
  </w:style>
  <w:style w:type="paragraph" w:styleId="Style28" w:customStyle="1">
    <w:name w:val="Знак"/>
    <w:basedOn w:val="Normal"/>
    <w:qFormat/>
    <w:rsid w:val="00886f70"/>
    <w:pPr>
      <w:widowControl/>
      <w:spacing w:lineRule="exact" w:line="240" w:before="0" w:after="160"/>
    </w:pPr>
    <w:rPr>
      <w:rFonts w:ascii="Verdana" w:hAnsi="Verdana" w:cs="Verdana"/>
      <w:lang w:val="en-US" w:eastAsia="en-US"/>
    </w:rPr>
  </w:style>
  <w:style w:type="paragraph" w:styleId="FootnoteText">
    <w:name w:val="Footnote Text"/>
    <w:basedOn w:val="Normal"/>
    <w:link w:val="Style15"/>
    <w:uiPriority w:val="99"/>
    <w:rsid w:val="00886f70"/>
    <w:pPr/>
    <w:rPr/>
  </w:style>
  <w:style w:type="paragraph" w:styleId="ListBullet3">
    <w:name w:val="List Bullet 3"/>
    <w:basedOn w:val="Normal"/>
    <w:uiPriority w:val="99"/>
    <w:unhideWhenUsed/>
    <w:qFormat/>
    <w:rsid w:val="00886f70"/>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886f70"/>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7"/>
    <w:semiHidden/>
    <w:qFormat/>
    <w:rsid w:val="00886f70"/>
    <w:pPr>
      <w:shd w:val="clear" w:color="auto" w:fill="000080"/>
    </w:pPr>
    <w:rPr>
      <w:rFonts w:ascii="Tahoma" w:hAnsi="Tahoma" w:cs="Tahoma"/>
    </w:rPr>
  </w:style>
  <w:style w:type="paragraph" w:styleId="Revision">
    <w:name w:val="Revision"/>
    <w:uiPriority w:val="99"/>
    <w:semiHidden/>
    <w:qFormat/>
    <w:rsid w:val="00886f70"/>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8"/>
    <w:rsid w:val="00886f70"/>
    <w:pPr>
      <w:tabs>
        <w:tab w:val="clear" w:pos="709"/>
        <w:tab w:val="center" w:pos="4677" w:leader="none"/>
        <w:tab w:val="right" w:pos="9355" w:leader="none"/>
      </w:tabs>
    </w:pPr>
    <w:rPr/>
  </w:style>
  <w:style w:type="paragraph" w:styleId="Style29" w:customStyle="1">
    <w:name w:val="Пункт договора"/>
    <w:basedOn w:val="Normal"/>
    <w:qFormat/>
    <w:rsid w:val="00886f70"/>
    <w:pPr>
      <w:jc w:val="both"/>
    </w:pPr>
    <w:rPr>
      <w:rFonts w:ascii="Arial" w:hAnsi="Arial"/>
    </w:rPr>
  </w:style>
  <w:style w:type="paragraph" w:styleId="11" w:customStyle="1">
    <w:name w:val="Знак Знак Знак Знак Знак Знак Знак Знак Знак1"/>
    <w:basedOn w:val="Normal"/>
    <w:qFormat/>
    <w:rsid w:val="00886f70"/>
    <w:pPr>
      <w:widowControl/>
      <w:spacing w:lineRule="exact" w:line="240" w:before="0" w:after="160"/>
      <w:jc w:val="both"/>
    </w:pPr>
    <w:rPr>
      <w:rFonts w:ascii="Verdana" w:hAnsi="Verdana"/>
      <w:sz w:val="22"/>
      <w:lang w:val="en-US" w:eastAsia="en-US"/>
    </w:rPr>
  </w:style>
  <w:style w:type="paragraph" w:styleId="12" w:customStyle="1">
    <w:name w:val="Обычный1"/>
    <w:qFormat/>
    <w:rsid w:val="00886f70"/>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886f70"/>
    <w:pPr>
      <w:widowControl w:val="false"/>
      <w:suppressAutoHyphens w:val="true"/>
      <w:bidi w:val="0"/>
      <w:spacing w:before="0" w:after="0"/>
      <w:jc w:val="left"/>
    </w:pPr>
    <w:rPr>
      <w:rFonts w:ascii="Calibri" w:hAnsi="Calibri" w:eastAsia="Times New Roman" w:cs="Calibri" w:asciiTheme="minorHAnsi" w:hAnsiTheme="minorHAnsi"/>
      <w:color w:val="auto"/>
      <w:kern w:val="0"/>
      <w:sz w:val="22"/>
      <w:szCs w:val="20"/>
      <w:lang w:val="ru-RU" w:eastAsia="ru-RU" w:bidi="ar-SA"/>
    </w:rPr>
  </w:style>
  <w:style w:type="paragraph" w:styleId="Style30" w:customStyle="1">
    <w:name w:val="Содержимое таблицы"/>
    <w:basedOn w:val="Normal"/>
    <w:qFormat/>
    <w:pPr>
      <w:suppressLineNumbers/>
    </w:pPr>
    <w:rPr/>
  </w:style>
  <w:style w:type="paragraph" w:styleId="Style31" w:customStyle="1">
    <w:name w:val="Заголовок таблицы"/>
    <w:basedOn w:val="Style30"/>
    <w:qFormat/>
    <w:pPr>
      <w:jc w:val="center"/>
    </w:pPr>
    <w:rPr>
      <w:b/>
      <w:bCs/>
    </w:rPr>
  </w:style>
  <w:style w:type="numbering" w:styleId="NoList" w:default="1">
    <w:name w:val="No List"/>
    <w:uiPriority w:val="99"/>
    <w:semiHidden/>
    <w:unhideWhenUsed/>
    <w:qFormat/>
  </w:style>
  <w:style w:type="numbering" w:styleId="38652917851" w:customStyle="1">
    <w:name w:val="38652917851"/>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
    <w:name w:val="Table Grid"/>
    <w:basedOn w:val="a1"/>
    <w:rsid w:val="00886f70"/>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header" Target="header7.xml"/><Relationship Id="rId17" Type="http://schemas.openxmlformats.org/officeDocument/2006/relationships/header" Target="header8.xml"/><Relationship Id="rId18" Type="http://schemas.openxmlformats.org/officeDocument/2006/relationships/footer" Target="footer6.xml"/><Relationship Id="rId19" Type="http://schemas.openxmlformats.org/officeDocument/2006/relationships/footer" Target="footer7.xml"/><Relationship Id="rId20" Type="http://schemas.openxmlformats.org/officeDocument/2006/relationships/footnotes" Target="footnotes.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Relationship Id="rId25" Type="http://schemas.openxmlformats.org/officeDocument/2006/relationships/customXml" Target="../customXml/item1.xml"/><Relationship Id="rId26" Type="http://schemas.openxmlformats.org/officeDocument/2006/relationships/customXml" Target="../customXml/item2.xml"/><Relationship Id="rId27" Type="http://schemas.openxmlformats.org/officeDocument/2006/relationships/customXml" Target="../customXml/item3.xml"/><Relationship Id="rId28"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085CE-3EE5-4257-A854-521088406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5CAEEA5-E2B6-4B76-A826-4F29FF9531A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B3B29469-CEFB-4C63-A023-2AFB44A96B18}">
  <ds:schemaRefs>
    <ds:schemaRef ds:uri="http://schemas.microsoft.com/sharepoint/v3/contenttype/forms"/>
  </ds:schemaRefs>
</ds:datastoreItem>
</file>

<file path=customXml/itemProps4.xml><?xml version="1.0" encoding="utf-8"?>
<ds:datastoreItem xmlns:ds="http://schemas.openxmlformats.org/officeDocument/2006/customXml" ds:itemID="{C3FCF915-A20A-454C-B272-7F8B070C5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Application>AlterOffice/3.4.0.9$Linux_X86_64 LibreOffice_project/b8daf9e823b1a5463a2f48435ddc2e8696e7d4fc</Application>
  <AppVersion>15.0000</AppVersion>
  <Pages>19</Pages>
  <Words>7013</Words>
  <Characters>50189</Characters>
  <CharactersWithSpaces>56945</CharactersWithSpaces>
  <Paragraphs>340</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2025-11-11T11:37:00Z</dcterms:created>
  <dc:creator>Быстрова Дарья Андреевна</dc:creator>
  <dc:description/>
  <dc:language>ru-RU</dc:language>
  <cp:lastModifiedBy>kovalevaev@corp.gidroogk.com</cp:lastModifiedBy>
  <dcterms:modified xsi:type="dcterms:W3CDTF">2026-07-17T11:11:45Z</dcterms:modified>
  <cp:revision>35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1</vt:bool>
  </property>
</Properties>
</file>