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embeddings/oleObject1.bin" ContentType="application/vnd.openxmlformats-officedocument.oleObjec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docx" ContentType="application/vnd.openxmlformats-officedocument.wordprocessingml.document"/>
  <Override PartName="/word/embeddings/oleObject5.xlsx" ContentType="application/vnd.openxmlformats-officedocument.spreadsheetml.sheet"/>
  <Override PartName="/word/embeddings/oleObject6.docx" ContentType="application/vnd.openxmlformats-officedocument.wordprocessingml.document"/>
  <Override PartName="/word/embeddings/oleObject7.docx" ContentType="application/vnd.openxmlformats-officedocument.wordprocessingml.document"/>
  <Override PartName="/word/embeddings/oleObject8.docx" ContentType="application/vnd.openxmlformats-officedocument.wordprocessingml.document"/>
  <Override PartName="/word/embeddings/oleObject9.docx" ContentType="application/vnd.openxmlformats-officedocument.wordprocessingml.document"/>
  <Override PartName="/word/footer3.xml" ContentType="application/vnd.openxmlformats-officedocument.wordprocessingml.footer+xml"/>
  <Override PartName="/word/media/image28.wmf" ContentType="image/x-wmf"/>
  <Override PartName="/word/media/image22.jpeg" ContentType="image/jpeg"/>
  <Override PartName="/word/media/image2.jpeg" ContentType="image/jpeg"/>
  <Override PartName="/word/media/image3.jpeg" ContentType="image/jpeg"/>
  <Override PartName="/word/media/image11.png" ContentType="image/png"/>
  <Override PartName="/word/media/image4.png" ContentType="image/png"/>
  <Override PartName="/word/media/image9.png" ContentType="image/png"/>
  <Override PartName="/word/media/image10.png" ContentType="image/png"/>
  <Override PartName="/word/media/image30.wmf" ContentType="image/x-wmf"/>
  <Override PartName="/word/media/image5.png" ContentType="image/png"/>
  <Override PartName="/word/media/image7.png" ContentType="image/png"/>
  <Override PartName="/word/media/image12.png" ContentType="image/png"/>
  <Override PartName="/word/media/image8.png" ContentType="image/png"/>
  <Override PartName="/word/media/image13.png" ContentType="image/png"/>
  <Override PartName="/word/media/image29.wmf" ContentType="image/x-wmf"/>
  <Override PartName="/word/media/image1.jpeg" ContentType="image/jpeg"/>
  <Override PartName="/word/media/image27.wmf" ContentType="image/x-wmf"/>
  <Override PartName="/word/media/image14.wmf" ContentType="image/x-wmf"/>
  <Override PartName="/word/media/image31.wmf" ContentType="image/x-wmf"/>
  <Override PartName="/word/media/image6.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1.jpeg" ContentType="image/jpeg"/>
  <Override PartName="/word/media/image23.jpeg" ContentType="image/jpeg"/>
  <Override PartName="/word/media/image24.wmf" ContentType="image/x-wmf"/>
  <Override PartName="/word/media/image20.jpeg" ContentType="image/jpeg"/>
  <Override PartName="/word/media/image25.wmf" ContentType="image/x-wmf"/>
  <Override PartName="/word/media/image26.wmf" ContentType="image/x-wmf"/>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header8.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er5.xml" ContentType="application/vnd.openxmlformats-officedocument.wordprocessingml.footer+xml"/>
  <Override PartName="/word/header6.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spacing w:before="5000" w:after="240"/>
        <w:jc w:val="center"/>
        <w:rPr>
          <w:sz w:val="28"/>
          <w:szCs w:val="28"/>
        </w:rPr>
      </w:pPr>
      <w:r>
        <w:rPr>
          <w:rFonts w:eastAsia="Calibri"/>
          <w:b/>
          <w:caps/>
          <w:sz w:val="28"/>
          <w:szCs w:val="28"/>
        </w:rPr>
        <w:t>Технические требования на поставку МТР</w:t>
      </w:r>
    </w:p>
    <w:p>
      <w:pPr>
        <w:pStyle w:val="Normal"/>
        <w:keepNext w:val="true"/>
        <w:keepLines/>
        <w:jc w:val="center"/>
        <w:rPr>
          <w:sz w:val="28"/>
          <w:szCs w:val="28"/>
        </w:rPr>
      </w:pPr>
      <w:r>
        <w:rPr>
          <w:rFonts w:eastAsia="Calibri"/>
          <w:b/>
          <w:caps/>
          <w:sz w:val="28"/>
          <w:szCs w:val="28"/>
        </w:rPr>
        <w:t>по ОКДП2 14.12.30.190 на поставку специальных средств защиты труда в корпоративном стиле группы русгидро на территории российской федерации для нужд ООО «РГЦР»</w:t>
      </w:r>
    </w:p>
    <w:p>
      <w:pPr>
        <w:pStyle w:val="Normal"/>
        <w:rPr/>
      </w:pPr>
      <w:r>
        <w:rPr/>
      </w:r>
    </w:p>
    <w:p>
      <w:pPr>
        <w:sectPr>
          <w:headerReference w:type="default" r:id="rId2"/>
          <w:footerReference w:type="default" r:id="rId3"/>
          <w:type w:val="nextPage"/>
          <w:pgSz w:w="11906" w:h="16838"/>
          <w:pgMar w:left="1134" w:right="851" w:gutter="0" w:header="680" w:top="1134" w:footer="0" w:bottom="992"/>
          <w:pgNumType w:fmt="decimal"/>
          <w:formProt w:val="false"/>
          <w:textDirection w:val="lrTb"/>
          <w:docGrid w:type="default" w:linePitch="600" w:charSpace="32768"/>
        </w:sectPr>
        <w:pStyle w:val="Normal"/>
        <w:keepNext w:val="true"/>
        <w:keepLines/>
        <w:jc w:val="center"/>
        <w:rPr>
          <w:sz w:val="28"/>
          <w:szCs w:val="28"/>
        </w:rPr>
      </w:pPr>
      <w:r>
        <w:rPr>
          <w:rFonts w:eastAsia="Calibri"/>
          <w:b/>
          <w:sz w:val="28"/>
          <w:szCs w:val="28"/>
        </w:rPr>
        <w:t>Лот № 0001-ЭКСП ПРОД-2027-РГЦР</w:t>
      </w:r>
    </w:p>
    <w:p>
      <w:pPr>
        <w:pStyle w:val="Normal"/>
        <w:jc w:val="center"/>
        <w:rPr>
          <w:sz w:val="28"/>
        </w:rPr>
      </w:pPr>
      <w:r>
        <w:rPr>
          <w:b/>
          <w:sz w:val="28"/>
        </w:rPr>
        <w:t>СОДЕРЖАНИЕ</w:t>
      </w:r>
    </w:p>
    <w:sdt>
      <w:sdtPr>
        <w:docPartObj>
          <w:docPartGallery w:val="Table of Contents"/>
          <w:docPartUnique w:val="true"/>
        </w:docPartObj>
      </w:sdtPr>
      <w:sdtContent>
        <w:p>
          <w:pPr>
            <w:pStyle w:val="TOC1"/>
            <w:tabs>
              <w:tab w:val="clear" w:pos="709"/>
              <w:tab w:val="right" w:pos="9921" w:leader="dot"/>
            </w:tabs>
            <w:rPr/>
          </w:pPr>
          <w:r>
            <w:fldChar w:fldCharType="begin"/>
          </w:r>
          <w:r>
            <w:rPr/>
            <w:instrText xml:space="preserve"> TOC \o "1-4" \h</w:instrText>
          </w:r>
          <w:r>
            <w:rPr/>
            <w:fldChar w:fldCharType="separate"/>
          </w:r>
          <w:r>
            <w:rPr/>
            <w:t>1. Общие сведения</w:t>
            <w:tab/>
            <w:t>3</w:t>
          </w:r>
        </w:p>
        <w:p>
          <w:pPr>
            <w:pStyle w:val="TOC4"/>
            <w:tabs>
              <w:tab w:val="clear" w:pos="709"/>
              <w:tab w:val="right" w:pos="10481" w:leader="dot"/>
            </w:tabs>
            <w:rPr/>
          </w:pPr>
          <w:r>
            <w:rPr/>
            <w:t>1.1. Обозначения и сокращения</w:t>
            <w:tab/>
            <w:t>3</w:t>
          </w:r>
        </w:p>
        <w:p>
          <w:pPr>
            <w:pStyle w:val="TOC4"/>
            <w:tabs>
              <w:tab w:val="clear" w:pos="709"/>
              <w:tab w:val="right" w:pos="10481" w:leader="dot"/>
            </w:tabs>
            <w:rPr/>
          </w:pPr>
          <w:r>
            <w:rPr/>
            <w:t>1.2. Наименование закупаемой продукции</w:t>
            <w:tab/>
            <w:t>3</w:t>
          </w:r>
        </w:p>
        <w:p>
          <w:pPr>
            <w:pStyle w:val="TOC4"/>
            <w:tabs>
              <w:tab w:val="clear" w:pos="709"/>
              <w:tab w:val="right" w:pos="10481" w:leader="dot"/>
            </w:tabs>
            <w:rPr/>
          </w:pPr>
          <w:r>
            <w:rPr/>
            <w:t>1.3. Цель использования закупаемой продукции</w:t>
            <w:tab/>
            <w:t>3</w:t>
          </w:r>
        </w:p>
        <w:p>
          <w:pPr>
            <w:pStyle w:val="TOC4"/>
            <w:tabs>
              <w:tab w:val="clear" w:pos="709"/>
              <w:tab w:val="right" w:pos="10481" w:leader="dot"/>
            </w:tabs>
            <w:rPr/>
          </w:pPr>
          <w:r>
            <w:rPr/>
            <w:t>1.4. 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tab/>
            <w:t>3</w:t>
          </w:r>
        </w:p>
        <w:p>
          <w:pPr>
            <w:pStyle w:val="TOC1"/>
            <w:tabs>
              <w:tab w:val="clear" w:pos="709"/>
              <w:tab w:val="right" w:pos="9921" w:leader="dot"/>
            </w:tabs>
            <w:rPr/>
          </w:pPr>
          <w:r>
            <w:rPr/>
            <w:t>2. Требования к продукции</w:t>
            <w:tab/>
            <w:t>3</w:t>
          </w:r>
        </w:p>
        <w:p>
          <w:pPr>
            <w:pStyle w:val="TOC4"/>
            <w:tabs>
              <w:tab w:val="clear" w:pos="709"/>
              <w:tab w:val="right" w:pos="10481" w:leader="dot"/>
            </w:tabs>
            <w:rPr/>
          </w:pPr>
          <w:r>
            <w:rPr/>
            <w:t>2.1. Требования к объемам и срокам поставки</w:t>
            <w:tab/>
            <w:t>3</w:t>
          </w:r>
        </w:p>
        <w:p>
          <w:pPr>
            <w:pStyle w:val="TOC3"/>
            <w:tabs>
              <w:tab w:val="clear" w:pos="709"/>
              <w:tab w:val="right" w:pos="10201" w:leader="dot"/>
            </w:tabs>
            <w:rPr/>
          </w:pPr>
          <w:r>
            <w:rPr/>
            <w:t>2.1.1. Перечень и объем закупаемой продукции</w:t>
            <w:tab/>
            <w:t>3</w:t>
          </w:r>
        </w:p>
        <w:p>
          <w:pPr>
            <w:pStyle w:val="TOC1"/>
            <w:tabs>
              <w:tab w:val="clear" w:pos="709"/>
              <w:tab w:val="right" w:pos="9921" w:leader="dot"/>
            </w:tabs>
            <w:rPr/>
          </w:pPr>
          <w:r>
            <w:rPr/>
            <w:t>Таблица 1.1 Перечень и объем закупаемой продукции</w:t>
            <w:tab/>
            <w:t>3</w:t>
          </w:r>
        </w:p>
        <w:p>
          <w:pPr>
            <w:pStyle w:val="TOC1"/>
            <w:tabs>
              <w:tab w:val="clear" w:pos="709"/>
              <w:tab w:val="right" w:pos="9921" w:leader="dot"/>
            </w:tabs>
            <w:rPr/>
          </w:pPr>
          <w:r>
            <w:rPr/>
            <w:t>Таблица 1.2 Перечень и объем закупаемых сопутствующих услуг</w:t>
            <w:tab/>
            <w:t>5</w:t>
          </w:r>
        </w:p>
        <w:p>
          <w:pPr>
            <w:pStyle w:val="TOC3"/>
            <w:tabs>
              <w:tab w:val="clear" w:pos="709"/>
              <w:tab w:val="right" w:pos="10201" w:leader="dot"/>
            </w:tabs>
            <w:rPr/>
          </w:pPr>
          <w:r>
            <w:rPr/>
            <w:t>2.1.2. Требования к срокам поставки продукции и оказания сопутствующих услуг</w:t>
            <w:tab/>
            <w:t>5</w:t>
          </w:r>
        </w:p>
        <w:p>
          <w:pPr>
            <w:pStyle w:val="TOC1"/>
            <w:tabs>
              <w:tab w:val="clear" w:pos="709"/>
              <w:tab w:val="right" w:pos="9921" w:leader="dot"/>
            </w:tabs>
            <w:rPr/>
          </w:pPr>
          <w:r>
            <w:rPr/>
            <w:t>Таблица 2.1 Требования по срокам поставки продукции</w:t>
            <w:tab/>
            <w:t>5</w:t>
          </w:r>
        </w:p>
        <w:p>
          <w:pPr>
            <w:pStyle w:val="TOC1"/>
            <w:tabs>
              <w:tab w:val="clear" w:pos="709"/>
              <w:tab w:val="right" w:pos="9921" w:leader="dot"/>
            </w:tabs>
            <w:rPr/>
          </w:pPr>
          <w:r>
            <w:rPr/>
            <w:t>Таблица 2.2 Требования по срокам оказания сопутствующих услуг</w:t>
            <w:tab/>
            <w:t>5</w:t>
          </w:r>
        </w:p>
        <w:p>
          <w:pPr>
            <w:pStyle w:val="TOC4"/>
            <w:tabs>
              <w:tab w:val="clear" w:pos="709"/>
              <w:tab w:val="right" w:pos="10481" w:leader="dot"/>
            </w:tabs>
            <w:rPr/>
          </w:pPr>
          <w:r>
            <w:rPr/>
            <w:t>2.2. Требования к качеству продукции</w:t>
            <w:tab/>
            <w:t>6</w:t>
          </w:r>
        </w:p>
        <w:p>
          <w:pPr>
            <w:pStyle w:val="TOC1"/>
            <w:tabs>
              <w:tab w:val="clear" w:pos="709"/>
              <w:tab w:val="right" w:pos="9921" w:leader="dot"/>
            </w:tabs>
            <w:rPr/>
          </w:pPr>
          <w:r>
            <w:rPr/>
            <w:t>Таблица 3. Требования к продукции</w:t>
            <w:tab/>
            <w:t>6</w:t>
          </w:r>
        </w:p>
        <w:p>
          <w:pPr>
            <w:pStyle w:val="TOC1"/>
            <w:tabs>
              <w:tab w:val="clear" w:pos="709"/>
              <w:tab w:val="right" w:pos="9921" w:leader="dot"/>
            </w:tabs>
            <w:rPr/>
          </w:pPr>
          <w:r>
            <w:rPr/>
            <w:t>3. Требования к документации по ценообразованию на этапе закупки</w:t>
            <w:tab/>
            <w:t>3</w:t>
          </w:r>
          <w:r>
            <w:rPr/>
            <w:t>8</w:t>
          </w:r>
        </w:p>
        <w:p>
          <w:pPr>
            <w:pStyle w:val="TOC1"/>
            <w:tabs>
              <w:tab w:val="clear" w:pos="709"/>
              <w:tab w:val="right" w:pos="9921" w:leader="dot"/>
            </w:tabs>
            <w:rPr/>
          </w:pPr>
          <w:r>
            <w:rPr/>
            <w:t>4. Приложения</w:t>
            <w:tab/>
            <w:t>3</w:t>
          </w:r>
          <w:r>
            <w:rPr/>
            <w:t>8</w:t>
          </w:r>
          <w:r>
            <w:rPr/>
            <w:fldChar w:fldCharType="end"/>
          </w:r>
        </w:p>
      </w:sdtContent>
    </w:sdt>
    <w:p>
      <w:pPr>
        <w:pStyle w:val="Heading2"/>
        <w:numPr>
          <w:ilvl w:val="0"/>
        </w:numPr>
        <w:spacing w:before="0" w:after="0"/>
        <w:ind w:hanging="0" w:left="0"/>
        <w:rPr/>
      </w:pPr>
      <w:r>
        <w:rPr/>
      </w:r>
    </w:p>
    <w:p>
      <w:pPr>
        <w:pStyle w:val="Normal"/>
        <w:keepNext w:val="true"/>
        <w:keepLines/>
        <w:jc w:val="center"/>
        <w:rPr>
          <w:rFonts w:eastAsia="Calibri"/>
          <w:b/>
          <w:i/>
          <w:i/>
        </w:rPr>
      </w:pPr>
      <w:r>
        <w:rPr>
          <w:rFonts w:eastAsia="Calibri"/>
          <w:b/>
          <w:i/>
        </w:rPr>
      </w:r>
      <w:r>
        <w:br w:type="page"/>
      </w:r>
    </w:p>
    <w:p>
      <w:pPr>
        <w:pStyle w:val="Heading1"/>
        <w:spacing w:before="0" w:after="0"/>
        <w:ind w:hanging="0" w:left="0"/>
        <w:jc w:val="center"/>
        <w:rPr>
          <w:caps/>
        </w:rPr>
      </w:pPr>
      <w:bookmarkStart w:id="0" w:name="__RefHeading___Toc8237_2541170438"/>
      <w:bookmarkStart w:id="1" w:name="_Toc181179529"/>
      <w:bookmarkStart w:id="2" w:name="_Toc51339692"/>
      <w:bookmarkEnd w:id="0"/>
      <w:r>
        <w:rPr/>
        <w:t>Общие сведения</w:t>
      </w:r>
      <w:bookmarkEnd w:id="1"/>
      <w:bookmarkEnd w:id="2"/>
    </w:p>
    <w:p>
      <w:pPr>
        <w:pStyle w:val="Heading4"/>
        <w:numPr>
          <w:ilvl w:val="1"/>
          <w:numId w:val="1"/>
        </w:numPr>
        <w:spacing w:before="240" w:after="120"/>
        <w:ind w:hanging="0" w:left="0"/>
        <w:rPr/>
      </w:pPr>
      <w:bookmarkStart w:id="3" w:name="__RefHeading___Toc8239_2541170438"/>
      <w:bookmarkStart w:id="4" w:name="_Toc181179530"/>
      <w:bookmarkStart w:id="5" w:name="_Toc46743505"/>
      <w:bookmarkEnd w:id="3"/>
      <w:r>
        <w:rPr/>
        <w:t>Обозначения и сокращения</w:t>
      </w:r>
      <w:bookmarkEnd w:id="4"/>
      <w:bookmarkEnd w:id="5"/>
    </w:p>
    <w:tbl>
      <w:tblPr>
        <w:tblW w:w="978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235"/>
        <w:gridCol w:w="7547"/>
      </w:tblGrid>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Заказчик</w:t>
            </w:r>
          </w:p>
        </w:tc>
        <w:tc>
          <w:tcPr>
            <w:tcW w:w="7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 xml:space="preserve">ООО </w:t>
            </w:r>
            <w:r>
              <w:rPr>
                <w:rFonts w:eastAsia="Calibri"/>
              </w:rPr>
              <w:t>«</w:t>
            </w:r>
            <w:r>
              <w:rPr>
                <w:rFonts w:eastAsia="Calibri"/>
                <w:lang w:val="en-US"/>
              </w:rPr>
              <w:t>РГЦР</w:t>
            </w:r>
            <w:r>
              <w:rPr>
                <w:rFonts w:eastAsia="Calibri"/>
              </w:rPr>
              <w:t>»</w:t>
            </w:r>
          </w:p>
        </w:tc>
      </w:tr>
      <w:tr>
        <w:trPr>
          <w:trHeight w:val="162" w:hRule="atLeast"/>
          <w:cantSplit w:val="true"/>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Группа РусГидро</w:t>
            </w:r>
          </w:p>
        </w:tc>
        <w:tc>
          <w:tcPr>
            <w:tcW w:w="7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Российский энергетический холдинг</w:t>
            </w:r>
          </w:p>
        </w:tc>
      </w:tr>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Участник</w:t>
            </w:r>
          </w:p>
        </w:tc>
        <w:tc>
          <w:tcPr>
            <w:tcW w:w="7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Юридическое или физическое лицо, подавшее заявку на участие в закупке</w:t>
            </w:r>
          </w:p>
        </w:tc>
      </w:tr>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Производитель</w:t>
            </w:r>
          </w:p>
        </w:tc>
        <w:tc>
          <w:tcPr>
            <w:tcW w:w="7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Физическое или юридическое лицо, обладающее полным спектром вещных прав на продукцию, выпускающее ее под своей торговой маркой самостоятельно (либо с привлечением услуг маркировщиков, упаковщиков, проектировщиков и изготовителей) и несущее полную ответственность за соблюдение требований безопасности, установленных в конкретной отрасли. Информация о нем в обязательном порядке указывается на продукции и доводится до Потребителя</w:t>
            </w:r>
          </w:p>
        </w:tc>
      </w:tr>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Поставщик</w:t>
            </w:r>
          </w:p>
        </w:tc>
        <w:tc>
          <w:tcPr>
            <w:tcW w:w="7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rPr>
              <w:t>Победитель закупочной процедуры - Участник, получивший право заключения договора</w:t>
            </w:r>
          </w:p>
        </w:tc>
      </w:tr>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lang w:val="en-US"/>
              </w:rPr>
              <w:t>Товар</w:t>
            </w:r>
          </w:p>
        </w:tc>
        <w:tc>
          <w:tcPr>
            <w:tcW w:w="7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lang w:val="en-US"/>
              </w:rPr>
              <w:t>Номенклатурная единица поставки</w:t>
            </w:r>
          </w:p>
        </w:tc>
      </w:tr>
      <w:tr>
        <w:trPr>
          <w:trHeight w:val="162" w:hRule="atLeast"/>
          <w:cantSplit w:val="true"/>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ЗТР</w:t>
            </w:r>
          </w:p>
        </w:tc>
        <w:tc>
          <w:tcPr>
            <w:tcW w:w="7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Защита от термических рисков электрической дуги</w:t>
            </w:r>
          </w:p>
        </w:tc>
      </w:tr>
      <w:tr>
        <w:trPr>
          <w:trHeight w:val="162" w:hRule="atLeast"/>
          <w:cantSplit w:val="true"/>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ИТР</w:t>
            </w:r>
          </w:p>
        </w:tc>
        <w:tc>
          <w:tcPr>
            <w:tcW w:w="7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Инженерно-технический работник</w:t>
            </w:r>
          </w:p>
        </w:tc>
      </w:tr>
      <w:tr>
        <w:trPr>
          <w:trHeight w:val="162" w:hRule="atLeast"/>
          <w:cantSplit w:val="true"/>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ОПЗ</w:t>
            </w:r>
          </w:p>
        </w:tc>
        <w:tc>
          <w:tcPr>
            <w:tcW w:w="75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jc w:val="both"/>
              <w:rPr/>
            </w:pPr>
            <w:r>
              <w:rPr>
                <w:rFonts w:cs="Calibri"/>
              </w:rPr>
              <w:t>Общие производственные загрязнения</w:t>
            </w:r>
          </w:p>
        </w:tc>
      </w:tr>
      <w:tr>
        <w:trPr>
          <w:cantSplit w:val="true"/>
        </w:trPr>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lang w:val="en-US"/>
              </w:rPr>
              <w:t>СИЗ</w:t>
            </w:r>
          </w:p>
        </w:tc>
        <w:tc>
          <w:tcPr>
            <w:tcW w:w="75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426" w:leader="none"/>
              </w:tabs>
              <w:jc w:val="both"/>
              <w:rPr/>
            </w:pPr>
            <w:r>
              <w:rPr>
                <w:rFonts w:cs="Calibri"/>
                <w:lang w:val="en-US"/>
              </w:rPr>
              <w:t>Средства индивидуальной защиты</w:t>
            </w:r>
          </w:p>
        </w:tc>
      </w:tr>
    </w:tbl>
    <w:p>
      <w:pPr>
        <w:pStyle w:val="Heading4"/>
        <w:numPr>
          <w:ilvl w:val="1"/>
          <w:numId w:val="1"/>
        </w:numPr>
        <w:spacing w:before="240" w:after="120"/>
        <w:ind w:hanging="0" w:left="0"/>
        <w:rPr/>
      </w:pPr>
      <w:bookmarkStart w:id="6" w:name="__RefHeading___Toc8241_2541170438"/>
      <w:bookmarkStart w:id="7" w:name="_Toc181179531"/>
      <w:bookmarkStart w:id="8" w:name="_Toc46743506"/>
      <w:bookmarkEnd w:id="6"/>
      <w:r>
        <w:rPr/>
        <w:t>Наименование закупаемой продукции</w:t>
      </w:r>
      <w:bookmarkEnd w:id="7"/>
      <w:bookmarkEnd w:id="8"/>
    </w:p>
    <w:p>
      <w:pPr>
        <w:pStyle w:val="Normal"/>
        <w:widowControl w:val="false"/>
        <w:tabs>
          <w:tab w:val="clear" w:pos="709"/>
          <w:tab w:val="left" w:pos="426" w:leader="none"/>
        </w:tabs>
        <w:jc w:val="both"/>
        <w:rPr/>
      </w:pPr>
      <w:r>
        <w:rPr>
          <w:rFonts w:eastAsia="Calibri"/>
          <w:lang w:eastAsia="x-none"/>
        </w:rPr>
        <w:t>ОКДП2 14.12.30.190 Поставка специальных средств защиты труда в корпоративном стиле Группы РусГидро на территории Российской Федерации для нужд ООО «РГЦР» (лот № 0001-ЭКСП ПРОД-2027-РГЦР).</w:t>
      </w:r>
    </w:p>
    <w:p>
      <w:pPr>
        <w:pStyle w:val="Heading4"/>
        <w:numPr>
          <w:ilvl w:val="1"/>
          <w:numId w:val="1"/>
        </w:numPr>
        <w:spacing w:before="240" w:after="120"/>
        <w:ind w:hanging="0" w:left="0"/>
        <w:rPr/>
      </w:pPr>
      <w:bookmarkStart w:id="9" w:name="__RefHeading___Toc8243_2541170438"/>
      <w:bookmarkStart w:id="10" w:name="_Toc181179532"/>
      <w:bookmarkStart w:id="11" w:name="_Toc46743507"/>
      <w:bookmarkEnd w:id="9"/>
      <w:r>
        <w:rPr/>
        <w:t xml:space="preserve">Цель </w:t>
      </w:r>
      <w:bookmarkEnd w:id="11"/>
      <w:r>
        <w:rPr/>
        <w:t>использования закупаемой продукции</w:t>
      </w:r>
      <w:bookmarkEnd w:id="10"/>
      <w:r>
        <w:rPr/>
        <w:t xml:space="preserve"> </w:t>
      </w:r>
    </w:p>
    <w:p>
      <w:pPr>
        <w:pStyle w:val="Normal"/>
        <w:widowControl w:val="false"/>
        <w:tabs>
          <w:tab w:val="clear" w:pos="709"/>
          <w:tab w:val="left" w:pos="426" w:leader="none"/>
        </w:tabs>
        <w:ind w:firstLine="709"/>
        <w:jc w:val="both"/>
        <w:rPr/>
      </w:pPr>
      <w:bookmarkStart w:id="12" w:name="_Toc46743508"/>
      <w:bookmarkEnd w:id="12"/>
      <w:r>
        <w:rPr>
          <w:rFonts w:eastAsia="Calibri"/>
          <w:lang w:eastAsia="x-none"/>
        </w:rPr>
        <w:t>Обеспечение работников ООО «РГЦР» в 2027 г. комплектами защиты от ОПЗ и ЗТР, согласно утвержденным нормам и требованиям.</w:t>
      </w:r>
    </w:p>
    <w:p>
      <w:pPr>
        <w:pStyle w:val="Heading4"/>
        <w:numPr>
          <w:ilvl w:val="1"/>
          <w:numId w:val="1"/>
        </w:numPr>
        <w:spacing w:before="240" w:after="120"/>
        <w:ind w:hanging="0" w:left="0"/>
        <w:jc w:val="both"/>
        <w:rPr/>
      </w:pPr>
      <w:bookmarkStart w:id="13" w:name="__RefHeading___Toc8245_2541170438"/>
      <w:bookmarkStart w:id="14" w:name="_Toc181179533"/>
      <w:bookmarkStart w:id="15" w:name="_Hlk49857604"/>
      <w:bookmarkStart w:id="16" w:name="_Toc46743509"/>
      <w:bookmarkStart w:id="17" w:name="_Toc46743508_Копия_1"/>
      <w:bookmarkEnd w:id="13"/>
      <w:bookmarkEnd w:id="17"/>
      <w:r>
        <w:rPr/>
        <w:t xml:space="preserve">Информация в отношении исполнения договора, </w:t>
      </w:r>
      <w:bookmarkStart w:id="18" w:name="_Hlk46492347"/>
      <w:r>
        <w:rPr/>
        <w:t xml:space="preserve">которая должна быть учтена при подготовке заявки </w:t>
      </w:r>
      <w:bookmarkEnd w:id="18"/>
      <w:r>
        <w:rPr/>
        <w:t>(в том числе перечень ресурсов, услуг и документов, предоставляемых заказчиком на этапе исполнения договора)</w:t>
      </w:r>
      <w:bookmarkEnd w:id="14"/>
      <w:bookmarkEnd w:id="15"/>
      <w:bookmarkEnd w:id="16"/>
    </w:p>
    <w:p>
      <w:pPr>
        <w:pStyle w:val="ListParagraph"/>
        <w:widowControl w:val="false"/>
        <w:numPr>
          <w:ilvl w:val="2"/>
          <w:numId w:val="2"/>
        </w:numPr>
        <w:tabs>
          <w:tab w:val="clear" w:pos="709"/>
          <w:tab w:val="left" w:pos="0" w:leader="none"/>
        </w:tabs>
        <w:ind w:hanging="709" w:left="709"/>
        <w:jc w:val="both"/>
        <w:rPr>
          <w:lang w:eastAsia="x-none"/>
        </w:rPr>
      </w:pPr>
      <w:bookmarkStart w:id="19" w:name="_Hlk48209761"/>
      <w:bookmarkEnd w:id="19"/>
      <w:r>
        <w:rPr>
          <w:lang w:eastAsia="x-none"/>
        </w:rPr>
        <w:t>Единичные расценки (цена за единицу продукции по каждой позиции товара) должны включать в себя расходы все сопутствующие расходы, таможенные, налоговые и иные обязательные платежи, расходы по изготовлению, заводским испытаниям, доставке, страхованию груза и транспортировке до места поставки и прочие затраты, и расходы Поставщика, связанные с поставкой товара до складов/получателей – работников Покупателя по соответствующим Приложению № 3 к Техническим требования адресам подразделений Покупателя.</w:t>
      </w:r>
    </w:p>
    <w:p>
      <w:pPr>
        <w:pStyle w:val="ListParagraph"/>
        <w:widowControl w:val="false"/>
        <w:numPr>
          <w:ilvl w:val="2"/>
          <w:numId w:val="2"/>
        </w:numPr>
        <w:tabs>
          <w:tab w:val="clear" w:pos="709"/>
          <w:tab w:val="left" w:pos="0" w:leader="none"/>
        </w:tabs>
        <w:ind w:hanging="709" w:left="709"/>
        <w:jc w:val="both"/>
        <w:rPr>
          <w:lang w:eastAsia="x-none"/>
        </w:rPr>
      </w:pPr>
      <w:r>
        <w:rPr>
          <w:lang w:eastAsia="x-none"/>
        </w:rPr>
        <w:t>На СИЗ устанавливается гарантийный срок, равный сроку, установленному заводом - изготовителем и исчисляемый с даты подписания Сторонами товарной накладной по форме ТОРГ-12.</w:t>
      </w:r>
    </w:p>
    <w:p>
      <w:pPr>
        <w:pStyle w:val="ListParagraph"/>
        <w:widowControl w:val="false"/>
        <w:numPr>
          <w:ilvl w:val="2"/>
          <w:numId w:val="2"/>
        </w:numPr>
        <w:tabs>
          <w:tab w:val="clear" w:pos="709"/>
          <w:tab w:val="left" w:pos="0" w:leader="none"/>
        </w:tabs>
        <w:ind w:hanging="709" w:left="709"/>
        <w:jc w:val="both"/>
        <w:rPr>
          <w:lang w:eastAsia="x-none"/>
        </w:rPr>
      </w:pPr>
      <w:r>
        <w:rPr>
          <w:lang w:eastAsia="x-none"/>
        </w:rPr>
        <w:t>Товар без сопроводительных документов (товарная накладная, счет-фактура) не принимается, ответственность за его сохранность Покупатель не несет.</w:t>
      </w:r>
    </w:p>
    <w:p>
      <w:pPr>
        <w:pStyle w:val="Heading1"/>
        <w:spacing w:before="240" w:after="0"/>
        <w:ind w:hanging="0" w:left="0"/>
        <w:jc w:val="center"/>
        <w:rPr/>
      </w:pPr>
      <w:bookmarkStart w:id="20" w:name="__RefHeading___Toc8247_2541170438"/>
      <w:bookmarkStart w:id="21" w:name="_Toc51339693"/>
      <w:bookmarkStart w:id="22" w:name="_Toc181179534"/>
      <w:bookmarkStart w:id="23" w:name="_Toc50125126"/>
      <w:bookmarkStart w:id="24" w:name="_Toc46743510"/>
      <w:bookmarkStart w:id="25" w:name="_Hlk48209761_Копия_1"/>
      <w:bookmarkEnd w:id="20"/>
      <w:bookmarkEnd w:id="23"/>
      <w:bookmarkEnd w:id="24"/>
      <w:bookmarkEnd w:id="25"/>
      <w:r>
        <w:rPr/>
        <w:t>Требования к продукции</w:t>
      </w:r>
      <w:bookmarkEnd w:id="21"/>
      <w:bookmarkEnd w:id="22"/>
    </w:p>
    <w:p>
      <w:pPr>
        <w:pStyle w:val="Heading4"/>
        <w:numPr>
          <w:ilvl w:val="1"/>
          <w:numId w:val="1"/>
        </w:numPr>
        <w:spacing w:before="240" w:after="120"/>
        <w:ind w:hanging="0" w:left="0"/>
        <w:rPr/>
      </w:pPr>
      <w:bookmarkStart w:id="26" w:name="__RefHeading___Toc8249_2541170438"/>
      <w:bookmarkStart w:id="27" w:name="_Toc181179535"/>
      <w:bookmarkEnd w:id="26"/>
      <w:r>
        <w:rPr/>
        <w:t>Требования к объемам и срокам поставки</w:t>
      </w:r>
      <w:bookmarkEnd w:id="27"/>
    </w:p>
    <w:p>
      <w:pPr>
        <w:pStyle w:val="Heading3"/>
        <w:spacing w:before="120" w:after="120"/>
        <w:ind w:hanging="0" w:left="0"/>
        <w:rPr/>
      </w:pPr>
      <w:bookmarkStart w:id="28" w:name="__RefHeading___Toc8251_2541170438"/>
      <w:bookmarkStart w:id="29" w:name="_Toc181179536"/>
      <w:bookmarkEnd w:id="28"/>
      <w:r>
        <w:rPr/>
        <w:t>Перечень и объем закупаемой продукции</w:t>
      </w:r>
      <w:bookmarkEnd w:id="29"/>
    </w:p>
    <w:p>
      <w:pPr>
        <w:pStyle w:val="Heading3"/>
        <w:numPr>
          <w:ilvl w:val="0"/>
          <w:numId w:val="0"/>
        </w:numPr>
        <w:spacing w:before="0" w:after="60"/>
        <w:ind w:hanging="0" w:left="0"/>
        <w:jc w:val="right"/>
        <w:rPr/>
      </w:pPr>
      <w:bookmarkStart w:id="30" w:name="__RefHeading___Toc8253_2541170438"/>
      <w:bookmarkStart w:id="31" w:name="_Toc181179537"/>
      <w:bookmarkStart w:id="32" w:name="_Toc51339695"/>
      <w:bookmarkEnd w:id="30"/>
      <w:r>
        <w:rPr/>
        <w:t xml:space="preserve">Таблица 1.1 Перечень </w:t>
      </w:r>
      <w:bookmarkEnd w:id="32"/>
      <w:r>
        <w:rPr/>
        <w:t>и объем закупаемой продукции</w:t>
      </w:r>
      <w:bookmarkEnd w:id="31"/>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844"/>
        <w:gridCol w:w="5940"/>
        <w:gridCol w:w="1588"/>
        <w:gridCol w:w="1974"/>
      </w:tblGrid>
      <w:tr>
        <w:trPr>
          <w:tblHeader w:val="true"/>
        </w:trPr>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w:t>
            </w:r>
          </w:p>
          <w:p>
            <w:pPr>
              <w:pStyle w:val="Normal"/>
              <w:widowControl w:val="false"/>
              <w:jc w:val="center"/>
              <w:rPr>
                <w:b/>
                <w:sz w:val="20"/>
                <w:szCs w:val="20"/>
              </w:rPr>
            </w:pPr>
            <w:r>
              <w:rPr>
                <w:b/>
                <w:sz w:val="20"/>
                <w:szCs w:val="20"/>
              </w:rPr>
              <w:t>п/п</w:t>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Наименование продукции</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Единица измерения</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Количество*</w:t>
            </w:r>
          </w:p>
        </w:tc>
      </w:tr>
      <w:tr>
        <w:trPr>
          <w:tblHeader w:val="true"/>
        </w:trPr>
        <w:tc>
          <w:tcPr>
            <w:tcW w:w="8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1</w:t>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2</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3</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4</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
              </w:numPr>
              <w:spacing w:before="60" w:after="60"/>
              <w:contextualSpacing w:val="false"/>
              <w:jc w:val="center"/>
              <w:rPr>
                <w:i/>
                <w:i/>
                <w:iCs/>
              </w:rPr>
            </w:pPr>
            <w:r>
              <w:rPr>
                <w:i/>
                <w:iCs/>
              </w:rPr>
            </w:r>
          </w:p>
        </w:tc>
        <w:tc>
          <w:tcPr>
            <w:tcW w:w="950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both"/>
              <w:rPr/>
            </w:pPr>
            <w:r>
              <w:rPr>
                <w:b/>
              </w:rPr>
              <w:t>ОКДП2 14.12.30.190 Поставка специальных средств защиты труда в корпоративном стиле Группы РусГидро на территории Российской Федерации для нужд ООО «РГЦР», а именно:</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3"/>
              </w:numPr>
              <w:spacing w:before="60" w:after="60"/>
              <w:contextualSpacing w:val="false"/>
              <w:jc w:val="center"/>
              <w:rPr>
                <w:i/>
                <w:i/>
                <w:iCs/>
              </w:rPr>
            </w:pPr>
            <w:r>
              <w:rPr>
                <w:i/>
                <w:iCs/>
              </w:rPr>
            </w:r>
          </w:p>
        </w:tc>
        <w:tc>
          <w:tcPr>
            <w:tcW w:w="950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b/>
              </w:rPr>
              <w:t>Поставка специальной корпоративной одежды, в том числе:</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 xml:space="preserve">Костюм летний для защиты от ОПЗ для ИТР (куртка/брюки) корпоративный мужской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45</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 xml:space="preserve">Костюм летний для защиты от ОПЗ для ИТР (куртка/брюки) корпоративный женский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3</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 xml:space="preserve">Куртка утепленная для защиты от ОПЗ для ИТР корпоративная мужская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Куртка утепленная для защиты от ОПЗ для ИТР корпоративная женская</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1</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Белье нательное (футболка)</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96</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Белье нательное, мужское</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Белье нательное, женское</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1</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Куртка демисезонная</w:t>
            </w:r>
            <w:r>
              <w:rPr>
                <w:lang w:val="en-US"/>
              </w:rPr>
              <w:t xml:space="preserve"> </w:t>
            </w:r>
            <w:r>
              <w:rPr/>
              <w:t>корпоративная (унисекс)</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w:t>
            </w:r>
          </w:p>
        </w:tc>
      </w:tr>
      <w:tr>
        <w:trPr>
          <w:trHeight w:val="619" w:hRule="atLeast"/>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Костюм летний для защиты от термических рисков электрической дуги корпоративный</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5</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Белье нательное для защиты от термических рисков</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компл.</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5</w:t>
            </w:r>
          </w:p>
        </w:tc>
      </w:tr>
      <w:tr>
        <w:trPr/>
        <w:tc>
          <w:tcPr>
            <w:tcW w:w="844" w:type="dxa"/>
            <w:tcBorders>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left w:val="single" w:sz="4" w:space="0" w:color="000000"/>
              <w:bottom w:val="single" w:sz="4" w:space="0" w:color="000000"/>
              <w:right w:val="single" w:sz="4" w:space="0" w:color="000000"/>
            </w:tcBorders>
          </w:tcPr>
          <w:p>
            <w:pPr>
              <w:pStyle w:val="Normal"/>
              <w:widowControl w:val="false"/>
              <w:spacing w:before="60" w:after="60"/>
              <w:rPr/>
            </w:pPr>
            <w:r>
              <w:rPr/>
              <w:t>Жилет сигнальный</w:t>
            </w:r>
          </w:p>
        </w:tc>
        <w:tc>
          <w:tcPr>
            <w:tcW w:w="1588"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10</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3"/>
              </w:numPr>
              <w:spacing w:before="60" w:after="60"/>
              <w:contextualSpacing w:val="false"/>
              <w:jc w:val="center"/>
              <w:rPr>
                <w:i/>
                <w:i/>
              </w:rPr>
            </w:pPr>
            <w:r>
              <w:rPr>
                <w:i/>
              </w:rPr>
            </w:r>
          </w:p>
        </w:tc>
        <w:tc>
          <w:tcPr>
            <w:tcW w:w="950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b/>
              </w:rPr>
              <w:t>Поставка рабочей (специальной) обуви, в том числе:</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 xml:space="preserve">Полуботинки кожаные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пара</w:t>
            </w:r>
            <w:r>
              <w:rPr>
                <w:rStyle w:val="FootnoteReference"/>
              </w:rPr>
              <w:footnoteReference w:id="2"/>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Ботинки кожаные утепленные, мужские</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пара</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Ботинки кожаные утепленные, женские</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пара</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1</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3"/>
              </w:numPr>
              <w:spacing w:before="60" w:after="60"/>
              <w:contextualSpacing w:val="false"/>
              <w:jc w:val="center"/>
              <w:rPr>
                <w:i/>
                <w:i/>
              </w:rPr>
            </w:pPr>
            <w:r>
              <w:rPr>
                <w:i/>
              </w:rPr>
            </w:r>
          </w:p>
        </w:tc>
        <w:tc>
          <w:tcPr>
            <w:tcW w:w="9502"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b/>
              </w:rPr>
              <w:t>Поставка специальных корпоративных средств индивидуальной защиты, в том числе:</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Каска защитная с храповиком корпоративная</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Подшлемник под каску (шапка)</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9</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 xml:space="preserve">Перчатки с полимерным покрытием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480</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Очки защитные</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 xml:space="preserve">Наушники противошумные </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48</w:t>
            </w:r>
          </w:p>
        </w:tc>
      </w:tr>
      <w:tr>
        <w:trPr/>
        <w:tc>
          <w:tcPr>
            <w:tcW w:w="844"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3"/>
              </w:numPr>
              <w:spacing w:before="60" w:after="60"/>
              <w:contextualSpacing w:val="false"/>
              <w:jc w:val="center"/>
              <w:rPr>
                <w:i/>
                <w:i/>
              </w:rPr>
            </w:pPr>
            <w:r>
              <w:rPr>
                <w:i/>
              </w:rPr>
            </w:r>
          </w:p>
        </w:tc>
        <w:tc>
          <w:tcPr>
            <w:tcW w:w="594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Самоспасатель</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30</w:t>
            </w:r>
          </w:p>
        </w:tc>
      </w:tr>
      <w:tr>
        <w:trPr/>
        <w:tc>
          <w:tcPr>
            <w:tcW w:w="844" w:type="dxa"/>
            <w:tcBorders>
              <w:left w:val="single" w:sz="4" w:space="0" w:color="000000"/>
              <w:bottom w:val="single" w:sz="4" w:space="0" w:color="000000"/>
              <w:right w:val="single" w:sz="4" w:space="0" w:color="000000"/>
            </w:tcBorders>
          </w:tcPr>
          <w:p>
            <w:pPr>
              <w:pStyle w:val="ListParagraph"/>
              <w:widowControl w:val="false"/>
              <w:numPr>
                <w:ilvl w:val="0"/>
                <w:numId w:val="4"/>
              </w:numPr>
              <w:spacing w:before="60" w:after="60"/>
              <w:ind w:hanging="0" w:left="0"/>
              <w:contextualSpacing w:val="false"/>
              <w:jc w:val="center"/>
              <w:rPr>
                <w:i/>
                <w:i/>
              </w:rPr>
            </w:pPr>
            <w:r>
              <w:rPr>
                <w:i/>
              </w:rPr>
            </w:r>
          </w:p>
        </w:tc>
        <w:tc>
          <w:tcPr>
            <w:tcW w:w="9502" w:type="dxa"/>
            <w:gridSpan w:val="3"/>
            <w:tcBorders>
              <w:left w:val="single" w:sz="4" w:space="0" w:color="000000"/>
              <w:bottom w:val="single" w:sz="4" w:space="0" w:color="000000"/>
              <w:right w:val="single" w:sz="4" w:space="0" w:color="000000"/>
            </w:tcBorders>
          </w:tcPr>
          <w:p>
            <w:pPr>
              <w:pStyle w:val="Normal"/>
              <w:widowControl w:val="false"/>
              <w:spacing w:before="60" w:after="60"/>
              <w:rPr/>
            </w:pPr>
            <w:r>
              <w:rPr>
                <w:b/>
                <w:bCs/>
              </w:rPr>
              <w:t>Поставка дерматологических средств индивидуальной защиты, в том числе:</w:t>
            </w:r>
          </w:p>
        </w:tc>
      </w:tr>
      <w:tr>
        <w:trPr/>
        <w:tc>
          <w:tcPr>
            <w:tcW w:w="844" w:type="dxa"/>
            <w:tcBorders>
              <w:left w:val="single" w:sz="4" w:space="0" w:color="000000"/>
              <w:bottom w:val="single" w:sz="4" w:space="0" w:color="000000"/>
              <w:right w:val="single" w:sz="4" w:space="0" w:color="000000"/>
            </w:tcBorders>
          </w:tcPr>
          <w:p>
            <w:pPr>
              <w:pStyle w:val="ListParagraph"/>
              <w:widowControl w:val="false"/>
              <w:numPr>
                <w:ilvl w:val="0"/>
                <w:numId w:val="5"/>
              </w:numPr>
              <w:spacing w:before="60" w:after="60"/>
              <w:ind w:hanging="0" w:left="0"/>
              <w:contextualSpacing w:val="false"/>
              <w:jc w:val="center"/>
              <w:rPr>
                <w:i/>
                <w:i/>
              </w:rPr>
            </w:pPr>
            <w:r>
              <w:rPr>
                <w:i/>
              </w:rPr>
            </w:r>
          </w:p>
        </w:tc>
        <w:tc>
          <w:tcPr>
            <w:tcW w:w="5940" w:type="dxa"/>
            <w:tcBorders>
              <w:left w:val="single" w:sz="4" w:space="0" w:color="000000"/>
              <w:bottom w:val="single" w:sz="4" w:space="0" w:color="000000"/>
              <w:right w:val="single" w:sz="4" w:space="0" w:color="000000"/>
            </w:tcBorders>
          </w:tcPr>
          <w:p>
            <w:pPr>
              <w:pStyle w:val="Normal"/>
              <w:widowControl w:val="false"/>
              <w:spacing w:before="60" w:after="60"/>
              <w:rPr/>
            </w:pPr>
            <w:r>
              <w:rPr/>
              <w:t>Очищающее средство (мыло жидкое), 250 мл.</w:t>
            </w:r>
          </w:p>
        </w:tc>
        <w:tc>
          <w:tcPr>
            <w:tcW w:w="1588"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10</w:t>
            </w:r>
          </w:p>
        </w:tc>
      </w:tr>
      <w:tr>
        <w:trPr/>
        <w:tc>
          <w:tcPr>
            <w:tcW w:w="844" w:type="dxa"/>
            <w:tcBorders>
              <w:left w:val="single" w:sz="4" w:space="0" w:color="000000"/>
              <w:bottom w:val="single" w:sz="4" w:space="0" w:color="000000"/>
              <w:right w:val="single" w:sz="4" w:space="0" w:color="000000"/>
            </w:tcBorders>
          </w:tcPr>
          <w:p>
            <w:pPr>
              <w:pStyle w:val="ListParagraph"/>
              <w:widowControl w:val="false"/>
              <w:numPr>
                <w:ilvl w:val="0"/>
                <w:numId w:val="5"/>
              </w:numPr>
              <w:spacing w:before="60" w:after="60"/>
              <w:ind w:hanging="0" w:left="0"/>
              <w:contextualSpacing w:val="false"/>
              <w:jc w:val="center"/>
              <w:rPr>
                <w:i/>
                <w:i/>
              </w:rPr>
            </w:pPr>
            <w:r>
              <w:rPr>
                <w:i/>
              </w:rPr>
            </w:r>
          </w:p>
        </w:tc>
        <w:tc>
          <w:tcPr>
            <w:tcW w:w="5940" w:type="dxa"/>
            <w:tcBorders>
              <w:left w:val="single" w:sz="4" w:space="0" w:color="000000"/>
              <w:bottom w:val="single" w:sz="4" w:space="0" w:color="000000"/>
              <w:right w:val="single" w:sz="4" w:space="0" w:color="000000"/>
            </w:tcBorders>
          </w:tcPr>
          <w:p>
            <w:pPr>
              <w:pStyle w:val="Normal"/>
              <w:widowControl w:val="false"/>
              <w:spacing w:before="60" w:after="60"/>
              <w:rPr/>
            </w:pPr>
            <w:r>
              <w:rPr/>
              <w:t>Средство защиты кожи (спрей для защиты ног от потоотделения и грибковых заболеваний), 100 мл.</w:t>
            </w:r>
          </w:p>
        </w:tc>
        <w:tc>
          <w:tcPr>
            <w:tcW w:w="1588"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шт.</w:t>
            </w:r>
          </w:p>
        </w:tc>
        <w:tc>
          <w:tcPr>
            <w:tcW w:w="1974" w:type="dxa"/>
            <w:tcBorders>
              <w:left w:val="single" w:sz="4" w:space="0" w:color="000000"/>
              <w:bottom w:val="single" w:sz="4" w:space="0" w:color="000000"/>
              <w:right w:val="single" w:sz="4" w:space="0" w:color="000000"/>
            </w:tcBorders>
          </w:tcPr>
          <w:p>
            <w:pPr>
              <w:pStyle w:val="Normal"/>
              <w:widowControl w:val="false"/>
              <w:spacing w:before="60" w:after="60"/>
              <w:jc w:val="center"/>
              <w:rPr/>
            </w:pPr>
            <w:r>
              <w:rPr/>
              <w:t>10</w:t>
            </w:r>
          </w:p>
        </w:tc>
      </w:tr>
    </w:tbl>
    <w:p>
      <w:pPr>
        <w:pStyle w:val="Normal"/>
        <w:spacing w:before="60" w:after="240"/>
        <w:jc w:val="both"/>
        <w:rPr>
          <w:rFonts w:eastAsia="MS Mincho"/>
          <w:bCs/>
          <w:i/>
          <w:i/>
          <w:iCs/>
          <w:sz w:val="20"/>
          <w:szCs w:val="20"/>
          <w:lang w:eastAsia="ja-JP"/>
        </w:rPr>
      </w:pPr>
      <w:r>
        <w:rPr>
          <w:rFonts w:eastAsia="MS Mincho"/>
          <w:bCs/>
          <w:i/>
          <w:iCs/>
          <w:sz w:val="20"/>
          <w:szCs w:val="20"/>
          <w:lang w:eastAsia="ja-JP"/>
        </w:rPr>
        <w:t>*Информация о количестве Товара носит информационно-справочный характер и приведена исходя из планируемого к приобретению Заказчиком объёма Товара. Указание количества Товара не налагает на Заказчика обязательств по приобретению Товара в полном объёме, указанном в настоящих Технических требованиях.</w:t>
      </w:r>
    </w:p>
    <w:p>
      <w:pPr>
        <w:pStyle w:val="Heading3"/>
        <w:numPr>
          <w:ilvl w:val="0"/>
          <w:numId w:val="0"/>
        </w:numPr>
        <w:spacing w:before="0" w:after="60"/>
        <w:ind w:hanging="0" w:left="0"/>
        <w:jc w:val="right"/>
        <w:rPr/>
      </w:pPr>
      <w:bookmarkStart w:id="33" w:name="__RefHeading___Toc8255_2541170438"/>
      <w:bookmarkStart w:id="34" w:name="_Toc181179538"/>
      <w:bookmarkEnd w:id="33"/>
      <w:r>
        <w:rPr/>
        <w:t>Таблица 1.2 Перечень и объем закупаемых сопутствующих услуг</w:t>
      </w:r>
      <w:bookmarkEnd w:id="34"/>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723"/>
        <w:gridCol w:w="6435"/>
        <w:gridCol w:w="1607"/>
        <w:gridCol w:w="1581"/>
      </w:tblGrid>
      <w:tr>
        <w:trPr/>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w:t>
            </w:r>
          </w:p>
          <w:p>
            <w:pPr>
              <w:pStyle w:val="Normal"/>
              <w:widowControl w:val="false"/>
              <w:jc w:val="center"/>
              <w:rPr>
                <w:b/>
                <w:sz w:val="20"/>
                <w:szCs w:val="20"/>
              </w:rPr>
            </w:pPr>
            <w:r>
              <w:rPr>
                <w:b/>
                <w:sz w:val="20"/>
                <w:szCs w:val="20"/>
              </w:rPr>
              <w:t>п/п</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Наименование услуг</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Единица измерения</w:t>
            </w:r>
          </w:p>
        </w:tc>
        <w:tc>
          <w:tcPr>
            <w:tcW w:w="15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Количество</w:t>
            </w:r>
          </w:p>
        </w:tc>
      </w:tr>
      <w:tr>
        <w:trPr/>
        <w:tc>
          <w:tcPr>
            <w:tcW w:w="72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1</w:t>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2</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3</w:t>
            </w:r>
          </w:p>
        </w:tc>
        <w:tc>
          <w:tcPr>
            <w:tcW w:w="15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4</w:t>
            </w:r>
          </w:p>
        </w:tc>
      </w:tr>
      <w:tr>
        <w:trPr/>
        <w:tc>
          <w:tcPr>
            <w:tcW w:w="72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6"/>
              </w:numPr>
              <w:spacing w:before="60" w:after="60"/>
              <w:contextualSpacing w:val="false"/>
              <w:jc w:val="center"/>
              <w:rPr/>
            </w:pPr>
            <w:r>
              <w:rPr/>
            </w:r>
          </w:p>
        </w:tc>
        <w:tc>
          <w:tcPr>
            <w:tcW w:w="9623"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both"/>
              <w:rPr/>
            </w:pPr>
            <w:r>
              <w:rPr>
                <w:b/>
              </w:rPr>
              <w:t>ОКДП2 14.12.30.190 Поставка специальных средств защиты труда в корпоративном стиле Группы РусГидро на территории Российской Федерации для нужд ООО «РГЦР», а именно:</w:t>
            </w:r>
          </w:p>
        </w:tc>
      </w:tr>
      <w:tr>
        <w:trPr/>
        <w:tc>
          <w:tcPr>
            <w:tcW w:w="72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7"/>
              </w:numPr>
              <w:spacing w:before="60" w:after="60"/>
              <w:contextualSpacing w:val="false"/>
              <w:jc w:val="center"/>
              <w:rPr/>
            </w:pPr>
            <w:r>
              <w:rPr/>
            </w:r>
          </w:p>
        </w:tc>
        <w:tc>
          <w:tcPr>
            <w:tcW w:w="64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pPr>
            <w:r>
              <w:rPr/>
              <w:t>Оказание услуги по брендированию поставляемого Товара в корпоративном стиле Группы РусГидро</w:t>
            </w:r>
          </w:p>
        </w:tc>
        <w:tc>
          <w:tcPr>
            <w:tcW w:w="16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усл. ед.</w:t>
            </w:r>
          </w:p>
        </w:tc>
        <w:tc>
          <w:tcPr>
            <w:tcW w:w="15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1</w:t>
            </w:r>
          </w:p>
        </w:tc>
      </w:tr>
    </w:tbl>
    <w:p>
      <w:pPr>
        <w:pStyle w:val="Heading3"/>
        <w:spacing w:before="120" w:after="120"/>
        <w:ind w:hanging="0" w:left="0"/>
        <w:rPr/>
      </w:pPr>
      <w:bookmarkStart w:id="35" w:name="__RefHeading___Toc8257_2541170438"/>
      <w:bookmarkStart w:id="36" w:name="_Toc181179539"/>
      <w:bookmarkStart w:id="37" w:name="_Toc51339696"/>
      <w:bookmarkEnd w:id="35"/>
      <w:r>
        <w:rPr/>
        <w:t xml:space="preserve">Требования </w:t>
      </w:r>
      <w:bookmarkEnd w:id="37"/>
      <w:r>
        <w:rPr/>
        <w:t>к срокам поставки продукции и оказания сопутствующих услуг</w:t>
      </w:r>
      <w:bookmarkEnd w:id="36"/>
    </w:p>
    <w:p>
      <w:pPr>
        <w:pStyle w:val="Heading3"/>
        <w:numPr>
          <w:ilvl w:val="0"/>
          <w:numId w:val="0"/>
        </w:numPr>
        <w:spacing w:before="0" w:after="60"/>
        <w:ind w:hanging="0" w:left="0"/>
        <w:jc w:val="right"/>
        <w:rPr/>
      </w:pPr>
      <w:bookmarkStart w:id="38" w:name="__RefHeading___Toc8259_2541170438"/>
      <w:bookmarkStart w:id="39" w:name="_Toc181179540"/>
      <w:bookmarkStart w:id="40" w:name="_Toc51339697"/>
      <w:bookmarkStart w:id="41" w:name="_Toc50125127"/>
      <w:bookmarkStart w:id="42" w:name="_Toc50125126_Копия_1"/>
      <w:bookmarkEnd w:id="38"/>
      <w:bookmarkEnd w:id="42"/>
      <w:r>
        <w:rPr/>
        <w:t xml:space="preserve">Таблица 2.1 </w:t>
      </w:r>
      <w:bookmarkStart w:id="43" w:name="_Hlk50465284"/>
      <w:r>
        <w:rPr/>
        <w:t xml:space="preserve">Требования по срокам </w:t>
      </w:r>
      <w:bookmarkEnd w:id="40"/>
      <w:bookmarkEnd w:id="41"/>
      <w:bookmarkEnd w:id="43"/>
      <w:r>
        <w:rPr/>
        <w:t>поставки продукции</w:t>
      </w:r>
      <w:bookmarkEnd w:id="39"/>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60"/>
        <w:gridCol w:w="6536"/>
        <w:gridCol w:w="1562"/>
        <w:gridCol w:w="1588"/>
      </w:tblGrid>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0"/>
                <w:szCs w:val="20"/>
              </w:rPr>
            </w:pPr>
            <w:r>
              <w:rPr>
                <w:b/>
                <w:sz w:val="20"/>
                <w:szCs w:val="20"/>
              </w:rPr>
              <w:t xml:space="preserve">№ </w:t>
            </w:r>
            <w:r>
              <w:rPr>
                <w:b/>
                <w:sz w:val="20"/>
                <w:szCs w:val="20"/>
              </w:rPr>
              <w:t>п/п</w:t>
            </w:r>
          </w:p>
        </w:tc>
        <w:tc>
          <w:tcPr>
            <w:tcW w:w="6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0"/>
                <w:szCs w:val="20"/>
              </w:rPr>
            </w:pPr>
            <w:r>
              <w:rPr>
                <w:b/>
                <w:sz w:val="20"/>
                <w:szCs w:val="20"/>
              </w:rPr>
              <w:t>Наименование продукции / партии продукции</w:t>
            </w:r>
          </w:p>
        </w:tc>
        <w:tc>
          <w:tcPr>
            <w:tcW w:w="15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Требования к началу срока поставки продукции</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Требования к окончанию срока поставки продукции</w:t>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0"/>
                <w:szCs w:val="20"/>
              </w:rPr>
            </w:pPr>
            <w:r>
              <w:rPr>
                <w:b/>
                <w:sz w:val="20"/>
                <w:szCs w:val="20"/>
              </w:rPr>
              <w:t>1</w:t>
            </w:r>
          </w:p>
        </w:tc>
        <w:tc>
          <w:tcPr>
            <w:tcW w:w="6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20"/>
                <w:szCs w:val="20"/>
              </w:rPr>
            </w:pPr>
            <w:r>
              <w:rPr>
                <w:b/>
                <w:sz w:val="20"/>
                <w:szCs w:val="20"/>
              </w:rPr>
              <w:t>2</w:t>
            </w:r>
          </w:p>
        </w:tc>
        <w:tc>
          <w:tcPr>
            <w:tcW w:w="15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3</w:t>
            </w:r>
          </w:p>
        </w:tc>
        <w:tc>
          <w:tcPr>
            <w:tcW w:w="15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4</w:t>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8"/>
              </w:numPr>
              <w:spacing w:before="60" w:after="60"/>
              <w:contextualSpacing w:val="false"/>
              <w:jc w:val="center"/>
              <w:rPr/>
            </w:pPr>
            <w:r>
              <w:rPr/>
            </w:r>
          </w:p>
        </w:tc>
        <w:tc>
          <w:tcPr>
            <w:tcW w:w="9686"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both"/>
              <w:rPr/>
            </w:pPr>
            <w:r>
              <w:rPr>
                <w:b/>
              </w:rPr>
              <w:t>ОКДП2 14.12.30.190 Поставка специальных средств защиты труда в корпоративном стиле Группы РусГидро на территории Российской Федерации для нужд ООО «РГЦР», а именно:</w:t>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9"/>
              </w:numPr>
              <w:spacing w:before="60" w:after="60"/>
              <w:contextualSpacing w:val="false"/>
              <w:jc w:val="center"/>
              <w:rPr/>
            </w:pPr>
            <w:r>
              <w:rPr/>
            </w:r>
          </w:p>
        </w:tc>
        <w:tc>
          <w:tcPr>
            <w:tcW w:w="6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Поставка специальной корпоративной одежды</w:t>
            </w:r>
          </w:p>
        </w:tc>
        <w:tc>
          <w:tcPr>
            <w:tcW w:w="156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дата, следующей за датой подписания договора</w:t>
            </w:r>
          </w:p>
        </w:tc>
        <w:tc>
          <w:tcPr>
            <w:tcW w:w="158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pPr>
            <w:r>
              <w:rPr/>
              <w:t>в течение</w:t>
              <w:br/>
              <w:t>12 кален</w:t>
              <w:softHyphen/>
              <w:t>дарных месяцев*</w:t>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9"/>
              </w:numPr>
              <w:spacing w:before="60" w:after="60"/>
              <w:contextualSpacing w:val="false"/>
              <w:jc w:val="center"/>
              <w:rPr/>
            </w:pPr>
            <w:r>
              <w:rPr/>
            </w:r>
          </w:p>
        </w:tc>
        <w:tc>
          <w:tcPr>
            <w:tcW w:w="653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pPr>
            <w:r>
              <w:rPr/>
              <w:t>Поставка рабочей</w:t>
            </w:r>
            <w:r>
              <w:rPr>
                <w:lang w:val="en-US"/>
              </w:rPr>
              <w:t xml:space="preserve"> (</w:t>
            </w:r>
            <w:r>
              <w:rPr/>
              <w:t>специальной</w:t>
            </w:r>
            <w:r>
              <w:rPr>
                <w:lang w:val="en-US"/>
              </w:rPr>
              <w:t>)</w:t>
            </w:r>
            <w:r>
              <w:rPr/>
              <w:t xml:space="preserve"> обуви</w:t>
            </w:r>
          </w:p>
        </w:tc>
        <w:tc>
          <w:tcPr>
            <w:tcW w:w="1562" w:type="dxa"/>
            <w:vMerge w:val="continue"/>
            <w:tcBorders>
              <w:left w:val="single" w:sz="4" w:space="0" w:color="000000"/>
              <w:right w:val="single" w:sz="4" w:space="0" w:color="000000"/>
            </w:tcBorders>
          </w:tcPr>
          <w:p>
            <w:pPr>
              <w:pStyle w:val="Normal"/>
              <w:widowControl w:val="false"/>
              <w:spacing w:before="60" w:after="60"/>
              <w:rPr/>
            </w:pPr>
            <w:r>
              <w:rPr/>
            </w:r>
          </w:p>
        </w:tc>
        <w:tc>
          <w:tcPr>
            <w:tcW w:w="1588" w:type="dxa"/>
            <w:vMerge w:val="continue"/>
            <w:tcBorders>
              <w:left w:val="single" w:sz="4" w:space="0" w:color="000000"/>
              <w:right w:val="single" w:sz="4" w:space="0" w:color="000000"/>
            </w:tcBorders>
          </w:tcPr>
          <w:p>
            <w:pPr>
              <w:pStyle w:val="Normal"/>
              <w:widowControl w:val="false"/>
              <w:spacing w:before="60" w:after="60"/>
              <w:rPr/>
            </w:pPr>
            <w:r>
              <w:rPr/>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9"/>
              </w:numPr>
              <w:spacing w:before="60" w:after="60"/>
              <w:contextualSpacing w:val="false"/>
              <w:jc w:val="center"/>
              <w:rPr/>
            </w:pPr>
            <w:r>
              <w:rPr/>
            </w:r>
          </w:p>
        </w:tc>
        <w:tc>
          <w:tcPr>
            <w:tcW w:w="65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60" w:after="60"/>
              <w:rPr/>
            </w:pPr>
            <w:r>
              <w:rPr/>
              <w:t>Поставка специальных корпоративных средств индивидуальной защиты</w:t>
            </w:r>
          </w:p>
        </w:tc>
        <w:tc>
          <w:tcPr>
            <w:tcW w:w="1562" w:type="dxa"/>
            <w:vMerge w:val="continue"/>
            <w:tcBorders>
              <w:left w:val="single" w:sz="4" w:space="0" w:color="000000"/>
              <w:right w:val="single" w:sz="4" w:space="0" w:color="000000"/>
            </w:tcBorders>
          </w:tcPr>
          <w:p>
            <w:pPr>
              <w:pStyle w:val="Normal"/>
              <w:widowControl w:val="false"/>
              <w:spacing w:before="60" w:after="60"/>
              <w:rPr/>
            </w:pPr>
            <w:r>
              <w:rPr/>
            </w:r>
          </w:p>
        </w:tc>
        <w:tc>
          <w:tcPr>
            <w:tcW w:w="1588" w:type="dxa"/>
            <w:vMerge w:val="continue"/>
            <w:tcBorders>
              <w:left w:val="single" w:sz="4" w:space="0" w:color="000000"/>
              <w:right w:val="single" w:sz="4" w:space="0" w:color="000000"/>
            </w:tcBorders>
          </w:tcPr>
          <w:p>
            <w:pPr>
              <w:pStyle w:val="Normal"/>
              <w:widowControl w:val="false"/>
              <w:spacing w:before="60" w:after="60"/>
              <w:rPr/>
            </w:pPr>
            <w:r>
              <w:rPr/>
            </w:r>
          </w:p>
        </w:tc>
      </w:tr>
      <w:tr>
        <w:trPr/>
        <w:tc>
          <w:tcPr>
            <w:tcW w:w="660"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1"/>
                <w:numId w:val="9"/>
              </w:numPr>
              <w:spacing w:before="60" w:after="60"/>
              <w:contextualSpacing w:val="false"/>
              <w:jc w:val="center"/>
              <w:rPr/>
            </w:pPr>
            <w:r>
              <w:rPr/>
            </w:r>
          </w:p>
        </w:tc>
        <w:tc>
          <w:tcPr>
            <w:tcW w:w="6536"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spacing w:before="60" w:after="60"/>
              <w:rPr/>
            </w:pPr>
            <w:r>
              <w:rPr/>
              <w:t>Оказание услуги по брендированию поставляемого Товара в корпоративном стиле Группы РусГидро</w:t>
            </w:r>
          </w:p>
        </w:tc>
        <w:tc>
          <w:tcPr>
            <w:tcW w:w="1562" w:type="dxa"/>
            <w:vMerge w:val="continue"/>
            <w:tcBorders>
              <w:left w:val="single" w:sz="4" w:space="0" w:color="000000"/>
              <w:bottom w:val="single" w:sz="4" w:space="0" w:color="000000"/>
              <w:right w:val="single" w:sz="4" w:space="0" w:color="000000"/>
            </w:tcBorders>
          </w:tcPr>
          <w:p>
            <w:pPr>
              <w:pStyle w:val="Normal"/>
              <w:widowControl w:val="false"/>
              <w:spacing w:before="60" w:after="60"/>
              <w:rPr/>
            </w:pPr>
            <w:r>
              <w:rPr/>
            </w:r>
          </w:p>
        </w:tc>
        <w:tc>
          <w:tcPr>
            <w:tcW w:w="1588" w:type="dxa"/>
            <w:vMerge w:val="continue"/>
            <w:tcBorders>
              <w:left w:val="single" w:sz="4" w:space="0" w:color="000000"/>
              <w:bottom w:val="single" w:sz="4" w:space="0" w:color="000000"/>
              <w:right w:val="single" w:sz="4" w:space="0" w:color="000000"/>
            </w:tcBorders>
          </w:tcPr>
          <w:p>
            <w:pPr>
              <w:pStyle w:val="Normal"/>
              <w:widowControl w:val="false"/>
              <w:spacing w:before="60" w:after="60"/>
              <w:rPr/>
            </w:pPr>
            <w:r>
              <w:rPr/>
            </w:r>
          </w:p>
        </w:tc>
      </w:tr>
    </w:tbl>
    <w:p>
      <w:pPr>
        <w:pStyle w:val="Normal"/>
        <w:spacing w:before="60" w:after="240"/>
        <w:jc w:val="both"/>
        <w:rPr>
          <w:rFonts w:eastAsia="MS Mincho"/>
          <w:bCs/>
          <w:i/>
          <w:i/>
          <w:iCs/>
          <w:sz w:val="20"/>
          <w:szCs w:val="20"/>
          <w:lang w:eastAsia="ja-JP"/>
        </w:rPr>
      </w:pPr>
      <w:bookmarkStart w:id="44" w:name="_Toc46743510_Копия_1"/>
      <w:bookmarkEnd w:id="44"/>
      <w:r>
        <w:rPr>
          <w:rFonts w:eastAsia="MS Mincho"/>
          <w:bCs/>
          <w:i/>
          <w:iCs/>
          <w:sz w:val="20"/>
          <w:szCs w:val="20"/>
          <w:lang w:eastAsia="ja-JP"/>
        </w:rPr>
        <w:t>*Поставка осуществляется партиями в соответствии с заявками на поставку Товара Покупателя по форме Приложения № 1 к настоящим Техническим требованиям (далее – «Заявка») в течение всего срока действия договора.</w:t>
      </w:r>
    </w:p>
    <w:p>
      <w:pPr>
        <w:pStyle w:val="Normal"/>
        <w:spacing w:before="60" w:after="240"/>
        <w:jc w:val="both"/>
        <w:rPr>
          <w:rFonts w:eastAsia="MS Mincho"/>
          <w:bCs/>
          <w:i/>
          <w:i/>
          <w:iCs/>
          <w:sz w:val="20"/>
          <w:szCs w:val="20"/>
          <w:lang w:eastAsia="ja-JP"/>
        </w:rPr>
      </w:pPr>
      <w:r>
        <w:rPr>
          <w:rFonts w:eastAsia="MS Mincho"/>
          <w:bCs/>
          <w:i/>
          <w:iCs/>
          <w:sz w:val="20"/>
          <w:szCs w:val="20"/>
          <w:lang w:eastAsia="ja-JP"/>
        </w:rPr>
        <w:t>Срок поставки товара определяется в Заявках, но не может быть менее 7 (Семи) рабочих дней с момента предоставленной письменной Заявки Заказчика. В Заявках указываются данные по наименованию и количеству необходимого Товара.</w:t>
      </w:r>
    </w:p>
    <w:p>
      <w:pPr>
        <w:sectPr>
          <w:headerReference w:type="default" r:id="rId4"/>
          <w:headerReference w:type="first" r:id="rId5"/>
          <w:footerReference w:type="default" r:id="rId6"/>
          <w:footerReference w:type="first" r:id="rId7"/>
          <w:footnotePr>
            <w:numFmt w:val="decimal"/>
          </w:footnotePr>
          <w:type w:val="nextPage"/>
          <w:pgSz w:w="11906" w:h="16838"/>
          <w:pgMar w:left="992" w:right="567" w:gutter="0" w:header="0" w:top="680" w:footer="0" w:bottom="850"/>
          <w:pgNumType w:fmt="decimal"/>
          <w:formProt w:val="false"/>
          <w:textDirection w:val="lrTb"/>
          <w:docGrid w:type="default" w:linePitch="100" w:charSpace="0"/>
        </w:sectPr>
        <w:pStyle w:val="Normal"/>
        <w:spacing w:before="60" w:after="240"/>
        <w:jc w:val="both"/>
        <w:rPr>
          <w:rFonts w:eastAsia="MS Mincho"/>
          <w:bCs/>
          <w:i/>
          <w:i/>
          <w:iCs/>
          <w:sz w:val="20"/>
          <w:szCs w:val="20"/>
          <w:lang w:eastAsia="ja-JP"/>
        </w:rPr>
      </w:pPr>
      <w:r>
        <w:rPr>
          <w:rFonts w:eastAsia="MS Mincho"/>
          <w:bCs/>
          <w:i/>
          <w:iCs/>
          <w:sz w:val="20"/>
          <w:szCs w:val="20"/>
          <w:lang w:eastAsia="ja-JP"/>
        </w:rPr>
        <w:t>Услуги оказываются в отношении каждой партии поставляемого Товара</w:t>
      </w:r>
    </w:p>
    <w:p>
      <w:pPr>
        <w:pStyle w:val="Heading4"/>
        <w:numPr>
          <w:ilvl w:val="1"/>
          <w:numId w:val="1"/>
        </w:numPr>
        <w:spacing w:before="0" w:after="0"/>
        <w:ind w:hanging="0" w:left="0"/>
        <w:rPr/>
      </w:pPr>
      <w:bookmarkStart w:id="45" w:name="__RefHeading___Toc8263_2541170438"/>
      <w:bookmarkStart w:id="46" w:name="_Toc181179542"/>
      <w:bookmarkStart w:id="47" w:name="_Toc46743511"/>
      <w:bookmarkStart w:id="48" w:name="_Toc51339698"/>
      <w:bookmarkEnd w:id="45"/>
      <w:bookmarkEnd w:id="48"/>
      <w:r>
        <w:rPr/>
        <w:t xml:space="preserve">Требования к </w:t>
      </w:r>
      <w:bookmarkEnd w:id="47"/>
      <w:r>
        <w:rPr/>
        <w:t>качеству продукции</w:t>
      </w:r>
      <w:bookmarkEnd w:id="46"/>
    </w:p>
    <w:p>
      <w:pPr>
        <w:pStyle w:val="Normal"/>
        <w:jc w:val="both"/>
        <w:rPr/>
      </w:pPr>
      <w:bookmarkStart w:id="49" w:name="_Toc51339698_Копия_1"/>
      <w:bookmarkEnd w:id="49"/>
      <w:r>
        <w:rPr>
          <w:b/>
          <w:bCs/>
        </w:rPr>
        <w:t>Наименование продукции (позиции № 1.1., 1.2., 1.3. Таблицы 1.1):</w:t>
      </w:r>
    </w:p>
    <w:p>
      <w:pPr>
        <w:pStyle w:val="Normal"/>
        <w:tabs>
          <w:tab w:val="clear" w:pos="709"/>
          <w:tab w:val="left" w:pos="1080" w:leader="none"/>
        </w:tabs>
        <w:jc w:val="both"/>
        <w:rPr/>
      </w:pPr>
      <w:r>
        <w:rPr>
          <w:bCs/>
        </w:rPr>
        <w:t>ОКДП2 14.12.30.190 Поставка специальных средств защиты труда в корпоративном стиле Группы РусГидро на территории Российской Федерации для нужд ООО «РГЦР» (лот № 0001-ЭКСП ПРОД-2027-РГЦР)</w:t>
      </w:r>
    </w:p>
    <w:p>
      <w:pPr>
        <w:pStyle w:val="Heading3"/>
        <w:numPr>
          <w:ilvl w:val="0"/>
          <w:numId w:val="0"/>
        </w:numPr>
        <w:spacing w:before="0" w:after="60"/>
        <w:ind w:hanging="0" w:left="0"/>
        <w:jc w:val="right"/>
        <w:rPr/>
      </w:pPr>
      <w:bookmarkStart w:id="50" w:name="__RefHeading___Toc8265_2541170438"/>
      <w:bookmarkStart w:id="51" w:name="_Toc181179543"/>
      <w:bookmarkEnd w:id="50"/>
      <w:r>
        <w:rPr/>
        <w:t>Таблица 3. Требования к продукции</w:t>
      </w:r>
      <w:bookmarkEnd w:id="51"/>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800"/>
        <w:gridCol w:w="2498"/>
        <w:gridCol w:w="2819"/>
        <w:gridCol w:w="182"/>
        <w:gridCol w:w="992"/>
        <w:gridCol w:w="1349"/>
        <w:gridCol w:w="1440"/>
        <w:gridCol w:w="1441"/>
        <w:gridCol w:w="3756"/>
      </w:tblGrid>
      <w:tr>
        <w:trPr>
          <w:tblHeader w:val="true"/>
          <w:trHeight w:val="135" w:hRule="atLeast"/>
        </w:trPr>
        <w:tc>
          <w:tcPr>
            <w:tcW w:w="8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rFonts w:eastAsia="Times New Roman" w:cs="Times New Roman"/>
                <w:b/>
                <w:bCs/>
                <w:kern w:val="0"/>
                <w:sz w:val="20"/>
                <w:szCs w:val="20"/>
                <w:lang w:eastAsia="ru-RU" w:bidi="ar-SA"/>
              </w:rPr>
              <w:t xml:space="preserve">№ </w:t>
            </w:r>
            <w:r>
              <w:rPr>
                <w:rFonts w:eastAsia="Times New Roman" w:cs="Times New Roman"/>
                <w:b/>
                <w:bCs/>
                <w:kern w:val="0"/>
                <w:sz w:val="20"/>
                <w:szCs w:val="20"/>
                <w:lang w:eastAsia="ru-RU" w:bidi="ar-SA"/>
              </w:rPr>
              <w:t>п/п</w:t>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rFonts w:eastAsia="Times New Roman" w:cs="Times New Roman"/>
                <w:b/>
                <w:bCs/>
                <w:kern w:val="0"/>
                <w:sz w:val="20"/>
                <w:szCs w:val="20"/>
                <w:lang w:eastAsia="ru-RU" w:bidi="ar-SA"/>
              </w:rPr>
              <w:t>Наименование параметра</w:t>
            </w:r>
          </w:p>
        </w:tc>
        <w:tc>
          <w:tcPr>
            <w:tcW w:w="11979" w:type="dxa"/>
            <w:gridSpan w:val="7"/>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rFonts w:eastAsia="Times New Roman" w:cs="Times New Roman"/>
                <w:b/>
                <w:bCs/>
                <w:kern w:val="0"/>
                <w:sz w:val="20"/>
                <w:szCs w:val="20"/>
                <w:lang w:eastAsia="ru-RU" w:bidi="ar-SA"/>
              </w:rPr>
              <w:t>Требование заказчика</w:t>
            </w:r>
          </w:p>
        </w:tc>
      </w:tr>
      <w:tr>
        <w:trPr>
          <w:tblHeader w:val="true"/>
        </w:trPr>
        <w:tc>
          <w:tcPr>
            <w:tcW w:w="8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rFonts w:eastAsia="Times New Roman" w:cs="Times New Roman"/>
                <w:b/>
                <w:kern w:val="0"/>
                <w:sz w:val="20"/>
                <w:szCs w:val="20"/>
                <w:lang w:eastAsia="ru-RU" w:bidi="ar-SA"/>
              </w:rPr>
              <w:t>1</w:t>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rFonts w:eastAsia="Times New Roman" w:cs="Times New Roman"/>
                <w:b/>
                <w:kern w:val="0"/>
                <w:sz w:val="20"/>
                <w:szCs w:val="20"/>
                <w:lang w:eastAsia="ru-RU" w:bidi="ar-SA"/>
              </w:rPr>
              <w:t>2</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rFonts w:eastAsia="Times New Roman" w:cs="Times New Roman"/>
                <w:b/>
                <w:kern w:val="0"/>
                <w:sz w:val="20"/>
                <w:szCs w:val="20"/>
                <w:lang w:eastAsia="ru-RU" w:bidi="ar-SA"/>
              </w:rPr>
              <w:t>3</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b/>
                <w:kern w:val="0"/>
                <w:sz w:val="22"/>
                <w:szCs w:val="22"/>
                <w:lang w:eastAsia="ru-RU" w:bidi="ar-SA"/>
              </w:rPr>
              <w:t>Требования к техническим и функциональным характеристикам (включая гарантируемые показатели)</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sz w:val="22"/>
                <w:szCs w:val="22"/>
              </w:rPr>
            </w:pPr>
            <w:r>
              <w:rPr>
                <w:rFonts w:eastAsia="Times New Roman" w:cs="Times New Roman"/>
                <w:b/>
                <w:bCs/>
                <w:i/>
                <w:kern w:val="0"/>
                <w:sz w:val="22"/>
                <w:szCs w:val="22"/>
                <w:lang w:eastAsia="ru-RU" w:bidi="ar-SA"/>
              </w:rPr>
              <w:t>Общие требования</w:t>
            </w:r>
          </w:p>
        </w:tc>
        <w:tc>
          <w:tcPr>
            <w:tcW w:w="1197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Спецодежда является индивидуальным средством защиты тела, верхних и нижних конечностей, работающих от вредных и опасных факторов, основными из которых являются: общие производственные загрязнения, пониженная и повышенная температура, контакт с химическим и веществами, вредные биологические факторы.</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СИЗ не должны оказывать вредного воздействия на здоровье пользователя либо уровни их воздействия не должны превышать установленные нормы при эксплуатации в условиях, предусмотренных изготовителем.</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 xml:space="preserve">Материалы, используемые для изготовления СИЗ, и вещества, которые могут выделяться при их эксплуатации, не должны вызывать у пользователя заболевание и (или) травму. Материалы СИЗ должны соответствовать санитарно-гигиеническим требованиям Технического регламента Таможенного союза «О безопасности средств индивидуальной защиты» (ТР ТС 019/2011) (далее – ТР ТС 019/2011) и Технического </w:t>
            </w:r>
            <w:hyperlink r:id="rId8">
              <w:r>
                <w:rPr>
                  <w:rFonts w:cs="Times New Roman"/>
                  <w:kern w:val="0"/>
                  <w:sz w:val="22"/>
                  <w:szCs w:val="22"/>
                  <w:lang w:eastAsia="ru-RU" w:bidi="ar-SA"/>
                </w:rPr>
                <w:t>регламент</w:t>
              </w:r>
            </w:hyperlink>
            <w:r>
              <w:rPr>
                <w:rFonts w:cs="Times New Roman"/>
                <w:kern w:val="0"/>
                <w:sz w:val="22"/>
                <w:szCs w:val="22"/>
                <w:lang w:eastAsia="ru-RU" w:bidi="ar-SA"/>
              </w:rPr>
              <w:t>а Таможенного союза «О безопасности продукции легкой промышленности» (ТР ТС 017/2011) (далее – ТР ТС 017/2011) (для белья нательного хлопчатобумажного).</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Материалы, которые применяются в изготовлении средств индивидуальной защиты, должны быть новыми, ранее не использованными и произведенными не ранее 2023 года.</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Спецодежда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и соответствовать требованиям ТР ТС 019/2011.</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Химчистка или стирка спецодежды должна производиться в соответствии с рекомендациями производителя по уходу за изделием.</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Размер предоставляемых СИЗ должен соответствовать антропометрическим измерениям работников, в соответствии с размерами, приведенными в Приложении № 2 к Техническим требованиям. Спецодежда должна быть удобной при эксплуатации.</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Поставляемые костюмы и обувь должны быть новыми и ранее не использованными и изготовлены не ранее года, предшествующего году поставки.</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Все СИЗ должны иметь руководство (инструкция) по эксплуатации, уходу и ремонту, которое содержит информацию об условиях эксплуатации, правилах ухода и ремонта за изделиями, системе маркировки и прикладывается к каждому комплекту.</w:t>
            </w:r>
          </w:p>
          <w:p>
            <w:pPr>
              <w:pStyle w:val="ListParagraph"/>
              <w:widowControl w:val="false"/>
              <w:spacing w:before="60" w:after="60"/>
              <w:ind w:left="709"/>
              <w:contextualSpacing w:val="false"/>
              <w:jc w:val="both"/>
              <w:rPr>
                <w:sz w:val="22"/>
                <w:szCs w:val="22"/>
              </w:rPr>
            </w:pPr>
            <w:r>
              <w:rPr>
                <w:rFonts w:cs="Times New Roman"/>
                <w:kern w:val="0"/>
                <w:sz w:val="22"/>
                <w:szCs w:val="22"/>
                <w:lang w:eastAsia="ru-RU" w:bidi="ar-SA"/>
              </w:rPr>
              <w:t>В руководстве по эксплуатации производителем должны указываться гарантийный срок эксплуатации изделия.</w:t>
            </w:r>
          </w:p>
          <w:p>
            <w:pPr>
              <w:pStyle w:val="ListParagraph"/>
              <w:widowControl w:val="false"/>
              <w:spacing w:before="60" w:after="60"/>
              <w:ind w:left="709"/>
              <w:contextualSpacing w:val="false"/>
              <w:jc w:val="both"/>
              <w:rPr>
                <w:sz w:val="22"/>
                <w:szCs w:val="22"/>
              </w:rPr>
            </w:pPr>
            <w:r>
              <w:rPr>
                <w:rFonts w:cs="Times New Roman"/>
                <w:kern w:val="0"/>
                <w:sz w:val="22"/>
                <w:szCs w:val="22"/>
                <w:lang w:eastAsia="ru-RU" w:bidi="ar-SA"/>
              </w:rPr>
              <w:t>Срок эксплуатации средств индивидуальной одежды должен быть не меньше срока, установленного Типовыми нормами бесплатной выдачи специальной одежды, специальной обуви и других СИЗ работникам.</w:t>
            </w:r>
          </w:p>
        </w:tc>
      </w:tr>
      <w:tr>
        <w:trPr>
          <w:trHeight w:val="1324"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sz w:val="22"/>
                <w:szCs w:val="22"/>
              </w:rPr>
            </w:pPr>
            <w:r>
              <w:rPr>
                <w:rFonts w:eastAsia="Times New Roman" w:cs="Times New Roman"/>
                <w:b/>
                <w:bCs/>
                <w:i/>
                <w:kern w:val="0"/>
                <w:sz w:val="22"/>
                <w:szCs w:val="22"/>
                <w:lang w:eastAsia="ru-RU" w:bidi="ar-SA"/>
              </w:rPr>
              <w:t>Требования к маркированию</w:t>
            </w:r>
          </w:p>
        </w:tc>
        <w:tc>
          <w:tcPr>
            <w:tcW w:w="1197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sz w:val="22"/>
                <w:szCs w:val="22"/>
              </w:rPr>
            </w:pPr>
            <w:r>
              <w:rPr>
                <w:rFonts w:eastAsia="Times New Roman" w:cs="Times New Roman"/>
                <w:kern w:val="0"/>
                <w:sz w:val="22"/>
                <w:szCs w:val="22"/>
                <w:lang w:eastAsia="ru-RU" w:bidi="ar-SA"/>
              </w:rPr>
              <w:t>Маркировка СИЗ должна соответствовать следующим требованиям:</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Каждая единица СИЗ, включая сменные комплектующие изделия, должна иметь маркировку. Маркировка наносится непосредственно на изделие и на его упаковку.</w:t>
            </w:r>
          </w:p>
          <w:p>
            <w:pPr>
              <w:pStyle w:val="ListParagraph"/>
              <w:widowControl w:val="false"/>
              <w:spacing w:before="60" w:after="60"/>
              <w:ind w:left="709"/>
              <w:contextualSpacing w:val="false"/>
              <w:jc w:val="both"/>
              <w:rPr>
                <w:sz w:val="22"/>
                <w:szCs w:val="22"/>
              </w:rPr>
            </w:pPr>
            <w:r>
              <w:rPr>
                <w:rFonts w:cs="Times New Roman"/>
                <w:kern w:val="0"/>
                <w:sz w:val="22"/>
                <w:szCs w:val="22"/>
                <w:lang w:eastAsia="ru-RU" w:bidi="ar-SA"/>
              </w:rPr>
              <w:t>Если маркировку невозможно нанести непосредственно на изделие, она наносится на трудноудаляемую этикетку, прикрепленную к изделию. При отсутствии возможности нанесения маркировки в полном объеме непосредственно на само изделие, допускается не наносить часть информации в маркировке, при условии, что соответствующая информация нанесена на индивидуальную упаковку изделия и на прикрепленную к изделию трудноудаляемую этикетку.</w:t>
            </w:r>
          </w:p>
          <w:p>
            <w:pPr>
              <w:pStyle w:val="ListParagraph"/>
              <w:widowControl w:val="false"/>
              <w:numPr>
                <w:ilvl w:val="0"/>
                <w:numId w:val="11"/>
              </w:numPr>
              <w:spacing w:before="60" w:after="60"/>
              <w:ind w:hanging="567" w:left="1276"/>
              <w:contextualSpacing w:val="false"/>
              <w:rPr>
                <w:sz w:val="22"/>
                <w:szCs w:val="22"/>
              </w:rPr>
            </w:pPr>
            <w:r>
              <w:rPr>
                <w:rFonts w:cs="Times New Roman"/>
                <w:kern w:val="0"/>
                <w:sz w:val="22"/>
                <w:szCs w:val="22"/>
                <w:lang w:eastAsia="ru-RU" w:bidi="ar-SA"/>
              </w:rPr>
              <w:t>Маркировка, наносимая непосредственно на изделие или на трудноудаляемую этикетку, прикрепленную к изделию, должна содержать:</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Наименование изделия (при наличии – наименование модели, кода, артикула).</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Наименование изготовителя и (или) его товарный знак (при наличии).</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Защитные свойства.</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Размер (при наличии).</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Обозначение ТР ТС 019/2011, требованиям которого должно соответствовать СИЗ.</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Единый знак обращения продукции на рынке государств – членов Таможенного союза.</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Дату (месяц, год) изготовления или дату окончания срока годности, если она установлена.</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Сведения о классе защиты и климатическом поясе, определяемом в соответствии с таблицей 3 приложения № 3 к ТР ТС 019/2011 и в котором могут применяться СИЗ (при необходимости).</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Сведения о способах ухода и требованиях к утилизации СИЗ.</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Сведения о документе, в соответствии с которым изготовлено СИЗ.</w:t>
            </w:r>
          </w:p>
          <w:p>
            <w:pPr>
              <w:pStyle w:val="ListParagraph"/>
              <w:widowControl w:val="false"/>
              <w:numPr>
                <w:ilvl w:val="0"/>
                <w:numId w:val="12"/>
              </w:numPr>
              <w:spacing w:before="60" w:after="60"/>
              <w:ind w:hanging="567" w:left="1843"/>
              <w:contextualSpacing w:val="false"/>
              <w:rPr>
                <w:sz w:val="22"/>
                <w:szCs w:val="22"/>
              </w:rPr>
            </w:pPr>
            <w:r>
              <w:rPr>
                <w:rFonts w:cs="Times New Roman"/>
                <w:kern w:val="0"/>
                <w:sz w:val="22"/>
                <w:szCs w:val="22"/>
                <w:lang w:eastAsia="ru-RU" w:bidi="ar-SA"/>
              </w:rPr>
              <w:t>Другую информацию в соответствии с документацией изготовителя.</w:t>
            </w:r>
          </w:p>
          <w:p>
            <w:pPr>
              <w:pStyle w:val="ListParagraph"/>
              <w:widowControl w:val="false"/>
              <w:spacing w:before="60" w:after="60"/>
              <w:ind w:left="1843"/>
              <w:contextualSpacing w:val="false"/>
              <w:jc w:val="both"/>
              <w:rPr>
                <w:sz w:val="22"/>
                <w:szCs w:val="22"/>
              </w:rPr>
            </w:pPr>
            <w:r>
              <w:rPr>
                <w:rFonts w:cs="Times New Roman"/>
                <w:kern w:val="0"/>
                <w:sz w:val="22"/>
                <w:szCs w:val="22"/>
                <w:lang w:eastAsia="ru-RU" w:bidi="ar-SA"/>
              </w:rPr>
              <w:t>Информация должна наноситься любым рельефным способом (в том числе тиснение, шелкография, гравировка, литье, штамповка) либо трудноудаляемой краской непосредственно на изделие или на трудноудаляемую этикетку, прикрепленную к изделию. Допускается нанесение информации в виде пиктограмм, которые могут использоваться в качестве указателей опасности или области применения СИЗ.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pPr>
              <w:pStyle w:val="ListParagraph"/>
              <w:widowControl w:val="false"/>
              <w:numPr>
                <w:ilvl w:val="0"/>
                <w:numId w:val="11"/>
              </w:numPr>
              <w:spacing w:before="60" w:after="60"/>
              <w:ind w:hanging="567" w:left="1276"/>
              <w:contextualSpacing w:val="false"/>
              <w:rPr>
                <w:sz w:val="22"/>
                <w:szCs w:val="22"/>
              </w:rPr>
            </w:pPr>
            <w:r>
              <w:rPr>
                <w:rFonts w:cs="Times New Roman"/>
                <w:kern w:val="0"/>
                <w:sz w:val="22"/>
                <w:szCs w:val="22"/>
                <w:lang w:eastAsia="ru-RU" w:bidi="ar-SA"/>
              </w:rPr>
              <w:t>Маркировка, наносимая на упаковку изделия, должна содержать:</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Наименование изделия (при наличии – наименование модели, кода, артикула).</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Наименование страны-изготовителя.</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Наименование, юридический адрес и торговую марку (при наличии) изготовителя.</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Обозначение ТР ТС 019/2011, требованиям которого должно соответствовать СИЗ.</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Размер (при наличии).</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Защитные свойства изделия.</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Способы ухода за изделием (при необходимости).</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Дату изготовления, и (или) дату окончания срока годности, если установлены.</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Срок хранения для СИЗ, теряющих защитные свойства в процессе хранения.</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Единый знак обращения продукции на рынке государств – членов Таможенного союза.</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Сведения о классе защиты и климатическом поясе, определяемом в соответствии с таблицей 3 приложения № 3 к ТР ТС 019/2011, и в котором могут применяться СИЗ (при необходимости).</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Сведения о документе, в соответствии с которым изготовлено СИЗ.</w:t>
            </w:r>
          </w:p>
          <w:p>
            <w:pPr>
              <w:pStyle w:val="ListParagraph"/>
              <w:widowControl w:val="false"/>
              <w:numPr>
                <w:ilvl w:val="0"/>
                <w:numId w:val="13"/>
              </w:numPr>
              <w:spacing w:before="60" w:after="60"/>
              <w:ind w:hanging="567" w:left="1843"/>
              <w:contextualSpacing w:val="false"/>
              <w:rPr>
                <w:sz w:val="22"/>
                <w:szCs w:val="22"/>
              </w:rPr>
            </w:pPr>
            <w:r>
              <w:rPr>
                <w:rFonts w:cs="Times New Roman"/>
                <w:kern w:val="0"/>
                <w:sz w:val="22"/>
                <w:szCs w:val="22"/>
                <w:lang w:eastAsia="ru-RU" w:bidi="ar-SA"/>
              </w:rPr>
              <w:t>Другую информацию в соответствии с документацией изготовителя.</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Маркировка и эксплуатационные документы выполняются на официальном и государственном(ых) языке(ах) государства(в) – члена(ов) Таможенного союза, за исключением наименования изготовителя и наименования изделия, а также другого текста, входящего в зарегистрированный товарный знак. Допускается одновременное использование нескольких языков государств – членов Таможенного союза. Дополнительное использование иностранных языков допускается при условии полной идентичности содержания с текстом.</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Маркировка СИЗ должна быть разборчивой, легкочитаемой и нанесена на поверхность продукции (этикетки, упаковки), доступную для осмотра без снятия упаковки, разборки или применения инструментов.</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Обувь должна быть промаркирована средством идентификации в соответствии с постановлением Правительства Российской Федерации от 05.07.2019 № 860 «Об утверждении Правил маркировки обувных товаров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обувных товаров».</w:t>
            </w:r>
          </w:p>
        </w:tc>
      </w:tr>
      <w:tr>
        <w:trPr>
          <w:trHeight w:val="1324"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sz w:val="22"/>
                <w:szCs w:val="22"/>
              </w:rPr>
            </w:pPr>
            <w:r>
              <w:rPr>
                <w:rFonts w:eastAsia="Times New Roman" w:cs="Times New Roman"/>
                <w:b/>
                <w:bCs/>
                <w:i/>
                <w:kern w:val="0"/>
                <w:sz w:val="22"/>
                <w:szCs w:val="22"/>
                <w:lang w:eastAsia="ru-RU" w:bidi="ar-SA"/>
              </w:rPr>
              <w:t>Требования к содержанию эксплуатационной документации</w:t>
            </w:r>
          </w:p>
        </w:tc>
        <w:tc>
          <w:tcPr>
            <w:tcW w:w="1197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sz w:val="22"/>
                <w:szCs w:val="22"/>
              </w:rPr>
            </w:pPr>
            <w:r>
              <w:rPr>
                <w:rFonts w:eastAsia="Times New Roman" w:cs="Times New Roman"/>
                <w:kern w:val="0"/>
                <w:sz w:val="22"/>
                <w:szCs w:val="22"/>
                <w:lang w:eastAsia="ru-RU" w:bidi="ar-SA"/>
              </w:rPr>
              <w:t>Указания по эксплуатации СИЗ включаются в эксплуатационную документацию на СИЗ и должны содержать:</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Область применения.</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Ограничения применения СИЗ по факторам воздействия.</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Вид СИЗ согласно приложению 1 к ТР ТС 019/2011.</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Наименование СИЗ.</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Показатели защитных и эксплуатационных свойств СИЗ согласно требованиям, к информации для приобретателя (пользователя) и условия, при которых эти показатели достигаются.</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Ведения о способах безопасного применения СИЗ.</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Информацию о размере СИЗ в единицах измерения, применяемых в государствах – членах Таможенного союза (при наличии).</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Правила, условия и сроки хранения СИЗ.</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Требования к безопасной транспортировке СИЗ (при наличии таких требований).</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Требования по утилизации СИЗ (при наличии таких требований).</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Единый знак обращения продукции на рынке государств – членов Таможенного союза.</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Обозначение ТР ТС 019/2011, требованиям которого должно соответствовать СИЗ.</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Наименование страны-изготовителя и наименование изготовителя, его юридический адрес.</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Сведения о документе, в соответствии с которым изготовлено СИЗ.</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Дату изготовления и / или срок хранения или дату истечения срока годности, если они установлены, допускается указание срока хранения с обязательным указанием информации о месте нанесения и способе определения даты изготовления или окончания срока хранения.</w:t>
            </w:r>
          </w:p>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Гарантии изготовителя при использовании изделия по назначению.</w:t>
            </w:r>
          </w:p>
        </w:tc>
      </w:tr>
      <w:tr>
        <w:trPr>
          <w:trHeight w:val="440" w:hRule="atLeast"/>
        </w:trPr>
        <w:tc>
          <w:tcPr>
            <w:tcW w:w="800"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249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t>Требования к брендированию в корпоративном стиле Группы РусГидро</w:t>
            </w:r>
          </w:p>
        </w:tc>
        <w:tc>
          <w:tcPr>
            <w:tcW w:w="11979"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2"/>
                <w:numId w:val="10"/>
              </w:numPr>
              <w:spacing w:before="60" w:after="60"/>
              <w:contextualSpacing w:val="false"/>
              <w:jc w:val="both"/>
              <w:rPr>
                <w:sz w:val="22"/>
                <w:szCs w:val="22"/>
              </w:rPr>
            </w:pPr>
            <w:r>
              <w:rPr>
                <w:rFonts w:cs="Times New Roman"/>
                <w:kern w:val="0"/>
                <w:sz w:val="22"/>
                <w:szCs w:val="22"/>
                <w:lang w:eastAsia="ru-RU" w:bidi="ar-SA"/>
              </w:rPr>
              <w:t>Одежда от общих производственных загрязнений должна выполняться в корпоративном стиле Группы РусГидро:</w:t>
            </w:r>
          </w:p>
          <w:p>
            <w:pPr>
              <w:pStyle w:val="ListParagraph"/>
              <w:widowControl w:val="false"/>
              <w:numPr>
                <w:ilvl w:val="0"/>
                <w:numId w:val="14"/>
              </w:numPr>
              <w:spacing w:before="60" w:after="60"/>
              <w:ind w:hanging="567" w:left="1276"/>
              <w:contextualSpacing w:val="false"/>
              <w:rPr>
                <w:sz w:val="22"/>
                <w:szCs w:val="22"/>
              </w:rPr>
            </w:pPr>
            <w:r>
              <w:rPr>
                <w:rFonts w:cs="Times New Roman"/>
                <w:kern w:val="0"/>
                <w:sz w:val="22"/>
                <w:szCs w:val="22"/>
                <w:lang w:eastAsia="ru-RU" w:bidi="ar-SA"/>
              </w:rPr>
              <w:t xml:space="preserve">Основной цвет костюмов – василек, цвет канта под световозвращающей лентой и на карманах – оранжевый. </w:t>
            </w:r>
          </w:p>
          <w:p>
            <w:pPr>
              <w:pStyle w:val="ListParagraph"/>
              <w:widowControl w:val="false"/>
              <w:numPr>
                <w:ilvl w:val="0"/>
                <w:numId w:val="14"/>
              </w:numPr>
              <w:spacing w:before="60" w:after="60"/>
              <w:ind w:hanging="567" w:left="1276"/>
              <w:contextualSpacing w:val="false"/>
              <w:rPr>
                <w:sz w:val="22"/>
                <w:szCs w:val="22"/>
              </w:rPr>
            </w:pPr>
            <w:r>
              <w:rPr>
                <w:rFonts w:cs="Times New Roman"/>
                <w:kern w:val="0"/>
                <w:sz w:val="22"/>
                <w:szCs w:val="22"/>
                <w:lang w:eastAsia="ru-RU" w:bidi="ar-SA"/>
              </w:rPr>
              <w:t>Основной цвет курток-рубашек – василек.</w:t>
            </w:r>
          </w:p>
          <w:p>
            <w:pPr>
              <w:pStyle w:val="ListParagraph"/>
              <w:widowControl w:val="false"/>
              <w:numPr>
                <w:ilvl w:val="0"/>
                <w:numId w:val="14"/>
              </w:numPr>
              <w:spacing w:before="60" w:after="60"/>
              <w:ind w:hanging="567" w:left="1276"/>
              <w:contextualSpacing w:val="false"/>
              <w:rPr>
                <w:sz w:val="22"/>
                <w:szCs w:val="22"/>
              </w:rPr>
            </w:pPr>
            <w:r>
              <w:rPr>
                <w:rFonts w:cs="Times New Roman"/>
                <w:kern w:val="0"/>
                <w:sz w:val="22"/>
                <w:szCs w:val="22"/>
                <w:lang w:eastAsia="ru-RU" w:bidi="ar-SA"/>
              </w:rPr>
              <w:t>Основной цвет плащей – темно-синий.</w:t>
            </w:r>
          </w:p>
          <w:p>
            <w:pPr>
              <w:pStyle w:val="ListParagraph"/>
              <w:widowControl w:val="false"/>
              <w:numPr>
                <w:ilvl w:val="0"/>
                <w:numId w:val="14"/>
              </w:numPr>
              <w:spacing w:before="60" w:after="720"/>
              <w:ind w:hanging="567" w:left="1276"/>
              <w:contextualSpacing w:val="false"/>
              <w:rPr>
                <w:sz w:val="22"/>
                <w:szCs w:val="22"/>
              </w:rPr>
            </w:pPr>
            <w:r>
              <w:rPr>
                <w:rFonts w:cs="Times New Roman"/>
                <w:kern w:val="0"/>
                <w:sz w:val="22"/>
                <w:szCs w:val="22"/>
                <w:lang w:eastAsia="ru-RU" w:bidi="ar-SA"/>
              </w:rPr>
              <w:t>Световозвращающая лента шириной от 25 до 50 мм – серая.</w:t>
            </w:r>
          </w:p>
          <w:p>
            <w:pPr>
              <w:pStyle w:val="ListParagraph"/>
              <w:widowControl w:val="false"/>
              <w:numPr>
                <w:ilvl w:val="2"/>
                <w:numId w:val="10"/>
              </w:numPr>
              <w:spacing w:before="60" w:after="60"/>
              <w:contextualSpacing w:val="false"/>
              <w:jc w:val="both"/>
              <w:rPr>
                <w:rFonts w:cs="Times New Roman"/>
                <w:kern w:val="0"/>
                <w:sz w:val="22"/>
                <w:szCs w:val="22"/>
                <w:lang w:eastAsia="ru-RU" w:bidi="ar-SA"/>
              </w:rPr>
            </w:pPr>
            <w:r>
              <w:rPr>
                <w:rFonts w:cs="Times New Roman"/>
                <w:kern w:val="0"/>
                <w:sz w:val="22"/>
                <w:szCs w:val="22"/>
                <w:lang w:eastAsia="ru-RU" w:bidi="ar-SA"/>
              </w:rPr>
              <w:t>Виды и способы брендирования:</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Наименование</w:t>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Размер</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Цвета</w:t>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Способ нанесения</w:t>
            </w:r>
          </w:p>
        </w:tc>
        <w:tc>
          <w:tcPr>
            <w:tcW w:w="14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Место размещения</w:t>
            </w:r>
          </w:p>
        </w:tc>
        <w:tc>
          <w:tcPr>
            <w:tcW w:w="37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b/>
                <w:kern w:val="0"/>
                <w:sz w:val="20"/>
                <w:szCs w:val="20"/>
                <w:lang w:val="en-US" w:eastAsia="ru-RU" w:bidi="ar-SA"/>
              </w:rPr>
              <w:t>Вид изделия для нанесения</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spacing w:before="0" w:after="120"/>
              <w:jc w:val="center"/>
              <w:rPr>
                <w:rFonts w:eastAsia="Times New Roman" w:cs="Times New Roman"/>
                <w:b/>
                <w:kern w:val="0"/>
                <w:sz w:val="22"/>
                <w:szCs w:val="22"/>
                <w:lang w:val="en-US" w:eastAsia="ru-RU" w:bidi="ar-SA"/>
              </w:rPr>
            </w:pPr>
            <w:r>
              <w:rPr>
                <w:rFonts w:eastAsia="Times New Roman" w:cs="Times New Roman"/>
                <w:b/>
                <w:kern w:val="0"/>
                <w:sz w:val="22"/>
                <w:szCs w:val="22"/>
                <w:lang w:val="en-US" w:eastAsia="ru-RU" w:bidi="ar-SA"/>
              </w:rPr>
              <w:t>Логотип на спину</w:t>
            </w:r>
          </w:p>
          <w:p>
            <w:pPr>
              <w:pStyle w:val="Normal"/>
              <w:widowControl w:val="false"/>
              <w:spacing w:before="60" w:after="60"/>
              <w:jc w:val="both"/>
              <w:rPr>
                <w:rFonts w:cs="Times New Roman"/>
                <w:kern w:val="0"/>
                <w:sz w:val="22"/>
                <w:szCs w:val="22"/>
                <w:lang w:eastAsia="ru-RU" w:bidi="ar-SA"/>
              </w:rPr>
            </w:pPr>
            <w:r>
              <w:rPr/>
              <w:drawing>
                <wp:inline distT="0" distB="0" distL="0" distR="0">
                  <wp:extent cx="1746885" cy="762000"/>
                  <wp:effectExtent l="0" t="0" r="0" b="0"/>
                  <wp:docPr id="1" name="Рисунок 8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3 Копия 1" descr=""/>
                          <pic:cNvPicPr>
                            <a:picLocks noChangeAspect="1" noChangeArrowheads="1"/>
                          </pic:cNvPicPr>
                        </pic:nvPicPr>
                        <pic:blipFill>
                          <a:blip r:embed="rId9"/>
                          <a:stretch>
                            <a:fillRect/>
                          </a:stretch>
                        </pic:blipFill>
                        <pic:spPr bwMode="auto">
                          <a:xfrm>
                            <a:off x="0" y="0"/>
                            <a:ext cx="1746885" cy="76200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kern w:val="0"/>
                <w:sz w:val="22"/>
                <w:szCs w:val="22"/>
                <w:lang w:eastAsia="ru-RU" w:bidi="ar-SA"/>
              </w:rPr>
              <w:t>242х69 мм</w:t>
            </w:r>
          </w:p>
        </w:tc>
        <w:tc>
          <w:tcPr>
            <w:tcW w:w="13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p>
            <w:pPr>
              <w:pStyle w:val="Normal"/>
              <w:widowControl w:val="false"/>
              <w:spacing w:before="60" w:after="60"/>
              <w:jc w:val="center"/>
              <w:rPr>
                <w:rFonts w:cs="Times New Roman"/>
                <w:kern w:val="0"/>
                <w:sz w:val="22"/>
                <w:szCs w:val="22"/>
                <w:lang w:eastAsia="ru-RU" w:bidi="ar-SA"/>
              </w:rPr>
            </w:pPr>
            <w:r>
              <w:rPr>
                <w:rFonts w:eastAsia="Times New Roman" w:cs="Times New Roman"/>
                <w:kern w:val="0"/>
                <w:sz w:val="22"/>
                <w:szCs w:val="22"/>
                <w:lang w:val="en-US" w:eastAsia="ru-RU" w:bidi="ar-SA"/>
              </w:rPr>
              <w:t>Б</w:t>
            </w:r>
            <w:r>
              <w:rPr>
                <w:rFonts w:eastAsia="Times New Roman" w:cs="Times New Roman"/>
                <w:kern w:val="0"/>
                <w:sz w:val="22"/>
                <w:szCs w:val="22"/>
                <w:lang w:eastAsia="ru-RU" w:bidi="ar-SA"/>
              </w:rPr>
              <w:t>елый</w:t>
            </w:r>
          </w:p>
        </w:tc>
        <w:tc>
          <w:tcPr>
            <w:tcW w:w="14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kern w:val="0"/>
                <w:sz w:val="22"/>
                <w:szCs w:val="22"/>
                <w:lang w:val="en-US" w:eastAsia="ru-RU" w:bidi="ar-SA"/>
              </w:rPr>
              <w:t>Т</w:t>
            </w:r>
            <w:r>
              <w:rPr>
                <w:rFonts w:eastAsia="Times New Roman" w:cs="Times New Roman"/>
                <w:kern w:val="0"/>
                <w:sz w:val="22"/>
                <w:szCs w:val="22"/>
                <w:lang w:eastAsia="ru-RU" w:bidi="ar-SA"/>
              </w:rPr>
              <w:t>ермопечать</w:t>
            </w:r>
          </w:p>
        </w:tc>
        <w:tc>
          <w:tcPr>
            <w:tcW w:w="14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jc w:val="center"/>
              <w:rPr>
                <w:rFonts w:cs="Times New Roman"/>
                <w:kern w:val="0"/>
                <w:sz w:val="22"/>
                <w:szCs w:val="22"/>
                <w:lang w:eastAsia="ru-RU" w:bidi="ar-SA"/>
              </w:rPr>
            </w:pPr>
            <w:r>
              <w:rPr>
                <w:rFonts w:eastAsia="Times New Roman" w:cs="Times New Roman"/>
                <w:kern w:val="0"/>
                <w:sz w:val="22"/>
                <w:szCs w:val="22"/>
                <w:lang w:val="en-US" w:eastAsia="ru-RU" w:bidi="ar-SA"/>
              </w:rPr>
              <w:t>Н</w:t>
            </w:r>
            <w:r>
              <w:rPr>
                <w:rFonts w:eastAsia="Times New Roman" w:cs="Times New Roman"/>
                <w:kern w:val="0"/>
                <w:sz w:val="22"/>
                <w:szCs w:val="22"/>
                <w:lang w:eastAsia="ru-RU" w:bidi="ar-SA"/>
              </w:rPr>
              <w:t>а спине под кокеткой</w:t>
            </w:r>
          </w:p>
        </w:tc>
        <w:tc>
          <w:tcPr>
            <w:tcW w:w="3756"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15"/>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Куртка, утепленная для защиты от ОПЗ для ИТР.</w:t>
            </w:r>
          </w:p>
          <w:p>
            <w:pPr>
              <w:pStyle w:val="ListParagraph"/>
              <w:widowControl w:val="false"/>
              <w:numPr>
                <w:ilvl w:val="0"/>
                <w:numId w:val="15"/>
              </w:numPr>
              <w:tabs>
                <w:tab w:val="clear" w:pos="709"/>
                <w:tab w:val="left" w:pos="1854" w:leader="none"/>
              </w:tabs>
              <w:spacing w:before="0" w:after="0"/>
              <w:contextualSpacing w:val="false"/>
              <w:jc w:val="both"/>
              <w:rPr>
                <w:rFonts w:cs="Times New Roman"/>
                <w:kern w:val="0"/>
                <w:sz w:val="22"/>
                <w:szCs w:val="22"/>
                <w:lang w:eastAsia="ru-RU" w:bidi="ar-SA"/>
              </w:rPr>
            </w:pPr>
            <w:r>
              <w:rPr>
                <w:rFonts w:cs="Times New Roman"/>
                <w:kern w:val="0"/>
                <w:sz w:val="22"/>
                <w:szCs w:val="22"/>
                <w:lang w:eastAsia="ru-RU" w:bidi="ar-SA"/>
              </w:rPr>
              <w:t>Костюм летний для защиты от термических рисков электрической дуги</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spacing w:before="0" w:after="120"/>
              <w:jc w:val="center"/>
              <w:rPr>
                <w:rFonts w:eastAsia="Times New Roman" w:cs="Times New Roman"/>
                <w:b/>
                <w:kern w:val="0"/>
                <w:sz w:val="22"/>
                <w:szCs w:val="22"/>
                <w:lang w:val="en-US" w:eastAsia="ru-RU" w:bidi="ar-SA"/>
              </w:rPr>
            </w:pPr>
            <w:r>
              <w:rPr>
                <w:rFonts w:eastAsia="Times New Roman" w:cs="Times New Roman"/>
                <w:b/>
                <w:kern w:val="0"/>
                <w:sz w:val="22"/>
                <w:szCs w:val="22"/>
                <w:lang w:val="en-US" w:eastAsia="ru-RU" w:bidi="ar-SA"/>
              </w:rPr>
              <w:t>Логотип на спину</w:t>
            </w:r>
          </w:p>
          <w:p>
            <w:pPr>
              <w:pStyle w:val="Normal"/>
              <w:widowControl w:val="false"/>
              <w:spacing w:before="60" w:after="60"/>
              <w:jc w:val="both"/>
              <w:rPr>
                <w:rFonts w:cs="Times New Roman"/>
                <w:kern w:val="0"/>
                <w:sz w:val="22"/>
                <w:szCs w:val="22"/>
                <w:lang w:eastAsia="ru-RU" w:bidi="ar-SA"/>
              </w:rPr>
            </w:pPr>
            <w:r>
              <w:rPr/>
              <w:drawing>
                <wp:inline distT="0" distB="0" distL="0" distR="0">
                  <wp:extent cx="1746885" cy="762000"/>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10"/>
                          <a:stretch>
                            <a:fillRect/>
                          </a:stretch>
                        </pic:blipFill>
                        <pic:spPr bwMode="auto">
                          <a:xfrm>
                            <a:off x="0" y="0"/>
                            <a:ext cx="1746885" cy="76200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242х69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Б</w:t>
            </w:r>
            <w:r>
              <w:rPr>
                <w:rFonts w:eastAsia="Times New Roman" w:cs="Times New Roman"/>
                <w:kern w:val="0"/>
                <w:sz w:val="22"/>
                <w:szCs w:val="22"/>
                <w:lang w:eastAsia="ru-RU" w:bidi="ar-SA"/>
              </w:rPr>
              <w:t>елый</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Нашивка</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Н</w:t>
            </w:r>
            <w:r>
              <w:rPr>
                <w:rFonts w:eastAsia="Times New Roman" w:cs="Times New Roman"/>
                <w:kern w:val="0"/>
                <w:sz w:val="22"/>
                <w:szCs w:val="22"/>
                <w:lang w:eastAsia="ru-RU" w:bidi="ar-SA"/>
              </w:rPr>
              <w:t>а спине под кокеткой</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9"/>
                <w:tab w:val="left" w:pos="1854" w:leader="none"/>
              </w:tabs>
              <w:spacing w:before="0" w:after="0"/>
              <w:ind w:left="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1. Костюм летний для защиты от ОПЗ для ИТР</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spacing w:before="0" w:after="120"/>
              <w:jc w:val="center"/>
              <w:rPr>
                <w:rFonts w:eastAsia="Times New Roman" w:cs="Times New Roman"/>
                <w:b/>
                <w:kern w:val="0"/>
                <w:sz w:val="22"/>
                <w:szCs w:val="22"/>
                <w:lang w:eastAsia="ru-RU" w:bidi="ar-SA"/>
              </w:rPr>
            </w:pPr>
            <w:r>
              <w:rPr>
                <w:rFonts w:eastAsia="Times New Roman" w:cs="Times New Roman"/>
                <w:b/>
                <w:kern w:val="0"/>
                <w:sz w:val="22"/>
                <w:szCs w:val="22"/>
                <w:lang w:val="en-US" w:eastAsia="ru-RU" w:bidi="ar-SA"/>
              </w:rPr>
              <w:t xml:space="preserve">Логотип на </w:t>
            </w:r>
            <w:r>
              <w:rPr>
                <w:rFonts w:eastAsia="Times New Roman" w:cs="Times New Roman"/>
                <w:b/>
                <w:kern w:val="0"/>
                <w:sz w:val="22"/>
                <w:szCs w:val="22"/>
                <w:lang w:eastAsia="ru-RU" w:bidi="ar-SA"/>
              </w:rPr>
              <w:t>грудь</w:t>
            </w:r>
          </w:p>
          <w:p>
            <w:pPr>
              <w:pStyle w:val="Normal"/>
              <w:widowControl w:val="false"/>
              <w:spacing w:before="60" w:after="60"/>
              <w:jc w:val="both"/>
              <w:rPr>
                <w:rFonts w:cs="Times New Roman"/>
                <w:kern w:val="0"/>
                <w:sz w:val="22"/>
                <w:szCs w:val="22"/>
                <w:lang w:eastAsia="ru-RU" w:bidi="ar-SA"/>
              </w:rPr>
            </w:pPr>
            <w:r>
              <w:rPr/>
              <w:drawing>
                <wp:inline distT="0" distB="0" distL="0" distR="0">
                  <wp:extent cx="1746885" cy="762000"/>
                  <wp:effectExtent l="0" t="0" r="0" b="0"/>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11"/>
                          <a:stretch>
                            <a:fillRect/>
                          </a:stretch>
                        </pic:blipFill>
                        <pic:spPr bwMode="auto">
                          <a:xfrm>
                            <a:off x="0" y="0"/>
                            <a:ext cx="1746885" cy="76200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90х30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Т</w:t>
            </w:r>
            <w:r>
              <w:rPr>
                <w:rFonts w:eastAsia="Times New Roman" w:cs="Times New Roman"/>
                <w:kern w:val="0"/>
                <w:sz w:val="22"/>
                <w:szCs w:val="22"/>
                <w:lang w:eastAsia="ru-RU" w:bidi="ar-SA"/>
              </w:rPr>
              <w:t>ермопечать</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lang w:eastAsia="ru-RU" w:bidi="ar-SA"/>
              </w:rPr>
            </w:pPr>
            <w:r>
              <w:rPr>
                <w:rFonts w:eastAsia="Times New Roman" w:cs="Times New Roman"/>
                <w:kern w:val="0"/>
                <w:sz w:val="22"/>
                <w:szCs w:val="22"/>
                <w:lang w:eastAsia="ru-RU" w:bidi="ar-SA"/>
              </w:rPr>
              <w:t>Слева на груди над карманом (согласно эскизу), или в этой же зоне, даже если карман конструктивно отсутствует</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6"/>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Куртка, утепленная для защиты от ОПЗ для ИТР</w:t>
            </w:r>
          </w:p>
          <w:p>
            <w:pPr>
              <w:pStyle w:val="ListParagraph"/>
              <w:widowControl w:val="false"/>
              <w:numPr>
                <w:ilvl w:val="0"/>
                <w:numId w:val="16"/>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Белье нательное (футболка)</w:t>
            </w:r>
          </w:p>
          <w:p>
            <w:pPr>
              <w:pStyle w:val="ListParagraph"/>
              <w:widowControl w:val="false"/>
              <w:numPr>
                <w:ilvl w:val="0"/>
                <w:numId w:val="16"/>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Костюм летний для защиты от термических рисков электрической дуги</w:t>
            </w:r>
          </w:p>
          <w:p>
            <w:pPr>
              <w:pStyle w:val="ListParagraph"/>
              <w:widowControl w:val="false"/>
              <w:numPr>
                <w:ilvl w:val="0"/>
                <w:numId w:val="16"/>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Куртка демисезонная (унисекс)</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1134" w:leader="none"/>
              </w:tabs>
              <w:spacing w:before="0" w:after="120"/>
              <w:jc w:val="center"/>
              <w:rPr>
                <w:rFonts w:eastAsia="Times New Roman" w:cs="Times New Roman"/>
                <w:b/>
                <w:kern w:val="0"/>
                <w:sz w:val="22"/>
                <w:szCs w:val="22"/>
                <w:lang w:eastAsia="ru-RU" w:bidi="ar-SA"/>
              </w:rPr>
            </w:pPr>
            <w:r>
              <w:rPr>
                <w:rFonts w:eastAsia="Times New Roman" w:cs="Times New Roman"/>
                <w:b/>
                <w:kern w:val="0"/>
                <w:sz w:val="22"/>
                <w:szCs w:val="22"/>
                <w:lang w:val="en-US" w:eastAsia="ru-RU" w:bidi="ar-SA"/>
              </w:rPr>
              <w:t xml:space="preserve">Логотип на </w:t>
            </w:r>
            <w:r>
              <w:rPr>
                <w:rFonts w:eastAsia="Times New Roman" w:cs="Times New Roman"/>
                <w:b/>
                <w:kern w:val="0"/>
                <w:sz w:val="22"/>
                <w:szCs w:val="22"/>
                <w:lang w:eastAsia="ru-RU" w:bidi="ar-SA"/>
              </w:rPr>
              <w:t>грудь</w:t>
            </w:r>
          </w:p>
          <w:p>
            <w:pPr>
              <w:pStyle w:val="Normal"/>
              <w:widowControl w:val="false"/>
              <w:spacing w:before="60" w:after="60"/>
              <w:jc w:val="both"/>
              <w:rPr>
                <w:rFonts w:cs="Times New Roman"/>
                <w:kern w:val="0"/>
                <w:sz w:val="22"/>
                <w:szCs w:val="22"/>
                <w:lang w:eastAsia="ru-RU" w:bidi="ar-SA"/>
              </w:rPr>
            </w:pPr>
            <w:r>
              <w:rPr/>
              <w:drawing>
                <wp:inline distT="0" distB="0" distL="0" distR="0">
                  <wp:extent cx="1746885" cy="762000"/>
                  <wp:effectExtent l="0" t="0" r="0" b="0"/>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12"/>
                          <a:stretch>
                            <a:fillRect/>
                          </a:stretch>
                        </pic:blipFill>
                        <pic:spPr bwMode="auto">
                          <a:xfrm>
                            <a:off x="0" y="0"/>
                            <a:ext cx="1746885" cy="76200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90х30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Нашивка</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lang w:eastAsia="ru-RU" w:bidi="ar-SA"/>
              </w:rPr>
            </w:pPr>
            <w:r>
              <w:rPr>
                <w:rFonts w:eastAsia="Times New Roman" w:cs="Times New Roman"/>
                <w:kern w:val="0"/>
                <w:sz w:val="22"/>
                <w:szCs w:val="22"/>
                <w:lang w:eastAsia="ru-RU" w:bidi="ar-SA"/>
              </w:rPr>
              <w:t>Слева на груди над карманом (согласно эскизу), или в этой же зоне, даже если карман конструктивно отсутствует</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9"/>
                <w:tab w:val="left" w:pos="1854" w:leader="none"/>
              </w:tabs>
              <w:spacing w:before="0" w:after="0"/>
              <w:ind w:left="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1. Костюм летний для защиты от ОПЗ для ИТР</w:t>
            </w:r>
          </w:p>
        </w:tc>
      </w:tr>
      <w:tr>
        <w:trPr>
          <w:trHeight w:val="37"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60" w:after="60"/>
              <w:rPr>
                <w:rFonts w:ascii="Times New Roman" w:hAnsi="Times New Roman" w:eastAsia="Times New Roman" w:cs="Times New Roman"/>
                <w:kern w:val="0"/>
                <w:sz w:val="22"/>
                <w:szCs w:val="22"/>
                <w:lang w:eastAsia="ru-RU" w:bidi="ar-SA"/>
              </w:rPr>
            </w:pPr>
            <w:r>
              <w:rPr>
                <w:rFonts w:eastAsia="Times New Roman" w:cs="Times New Roman"/>
                <w:b/>
                <w:kern w:val="0"/>
                <w:sz w:val="22"/>
                <w:szCs w:val="22"/>
                <w:lang w:eastAsia="ru-RU" w:bidi="ar-SA"/>
              </w:rPr>
              <w:t>Именной логотип на грудь.</w:t>
            </w:r>
          </w:p>
          <w:p>
            <w:pPr>
              <w:pStyle w:val="Normal"/>
              <w:widowControl w:val="false"/>
              <w:tabs>
                <w:tab w:val="clear" w:pos="709"/>
                <w:tab w:val="left" w:pos="1134" w:leader="none"/>
              </w:tabs>
              <w:spacing w:before="60" w:after="60"/>
              <w:rPr>
                <w:rFonts w:ascii="Times New Roman" w:hAnsi="Times New Roman" w:eastAsia="Times New Roman" w:cs="Times New Roman"/>
                <w:kern w:val="0"/>
                <w:sz w:val="22"/>
                <w:szCs w:val="22"/>
                <w:lang w:eastAsia="ru-RU" w:bidi="ar-SA"/>
              </w:rPr>
            </w:pPr>
            <w:r>
              <w:rPr>
                <w:rFonts w:eastAsia="Times New Roman" w:cs="Times New Roman"/>
                <w:b/>
                <w:kern w:val="0"/>
                <w:sz w:val="22"/>
                <w:szCs w:val="22"/>
                <w:lang w:eastAsia="ru-RU" w:bidi="ar-SA"/>
              </w:rPr>
              <w:t>Образец именного логотипа на грудь, на примере сотрудника ЖУКОВА Дмитрия Андреевича:</w:t>
            </w:r>
          </w:p>
          <w:p>
            <w:pPr>
              <w:pStyle w:val="Normal"/>
              <w:widowControl w:val="false"/>
              <w:tabs>
                <w:tab w:val="clear" w:pos="709"/>
                <w:tab w:val="left" w:pos="1134" w:leader="none"/>
              </w:tabs>
              <w:spacing w:before="60" w:after="60"/>
              <w:jc w:val="both"/>
              <w:rPr>
                <w:rFonts w:ascii="Times New Roman" w:hAnsi="Times New Roman" w:eastAsia="Times New Roman" w:cs="Times New Roman"/>
                <w:kern w:val="0"/>
                <w:sz w:val="22"/>
                <w:szCs w:val="22"/>
                <w:lang w:eastAsia="ru-RU" w:bidi="ar-SA"/>
              </w:rPr>
            </w:pPr>
            <w:r>
              <w:rPr/>
              <w:drawing>
                <wp:inline distT="0" distB="0" distL="0" distR="0">
                  <wp:extent cx="1712595" cy="894080"/>
                  <wp:effectExtent l="0" t="0" r="0" b="0"/>
                  <wp:docPr id="5" name="Рисунок 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91" descr=""/>
                          <pic:cNvPicPr>
                            <a:picLocks noChangeAspect="1" noChangeArrowheads="1"/>
                          </pic:cNvPicPr>
                        </pic:nvPicPr>
                        <pic:blipFill>
                          <a:blip r:embed="rId13"/>
                          <a:stretch>
                            <a:fillRect/>
                          </a:stretch>
                        </pic:blipFill>
                        <pic:spPr bwMode="auto">
                          <a:xfrm>
                            <a:off x="0" y="0"/>
                            <a:ext cx="1712595" cy="89408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60" w:after="60"/>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90х45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60" w:after="60"/>
              <w:jc w:val="both"/>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spacing w:before="60" w:after="60"/>
              <w:jc w:val="both"/>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60" w:after="60"/>
              <w:jc w:val="both"/>
              <w:rPr>
                <w:rFonts w:ascii="Times New Roman" w:hAnsi="Times New Roman" w:eastAsia="Times New Roman" w:cs="Times New Roman"/>
                <w:kern w:val="0"/>
                <w:sz w:val="22"/>
                <w:szCs w:val="22"/>
                <w:lang w:eastAsia="ru-RU" w:bidi="ar-SA"/>
              </w:rPr>
            </w:pPr>
            <w:r>
              <w:rPr>
                <w:rFonts w:eastAsia="Times New Roman" w:cs="Times New Roman" w:ascii="Times New Roman" w:hAnsi="Times New Roman"/>
                <w:kern w:val="0"/>
                <w:sz w:val="22"/>
                <w:szCs w:val="22"/>
                <w:lang w:eastAsia="ru-RU" w:bidi="ar-SA"/>
              </w:rPr>
              <w:t>Нашивка</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lang w:eastAsia="ru-RU" w:bidi="ar-SA"/>
              </w:rPr>
            </w:pPr>
            <w:r>
              <w:rPr>
                <w:rFonts w:eastAsia="Times New Roman" w:cs="Times New Roman"/>
                <w:kern w:val="0"/>
                <w:sz w:val="22"/>
                <w:szCs w:val="22"/>
                <w:lang w:eastAsia="ru-RU" w:bidi="ar-SA"/>
              </w:rPr>
              <w:t>Справа на груди над карманом, или в этой же зоне, даже если карман конструктивно отсутствует, наносится с противоположной стороны от логотипа «Цифровые решения», при этом размер шрифта и тип шрифта должен быть как у нагрудного логотипа «Цифровые решения»</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7"/>
              </w:numPr>
              <w:tabs>
                <w:tab w:val="clear" w:pos="709"/>
                <w:tab w:val="left" w:pos="1134" w:leader="none"/>
              </w:tabs>
              <w:spacing w:before="0" w:after="0"/>
              <w:contextualSpacing w:val="false"/>
              <w:rPr>
                <w:rFonts w:ascii="Times New Roman" w:hAnsi="Times New Roman" w:cs="Times New Roman"/>
                <w:kern w:val="0"/>
                <w:sz w:val="22"/>
                <w:szCs w:val="22"/>
                <w:lang w:eastAsia="ru-RU" w:bidi="ar-SA"/>
              </w:rPr>
            </w:pPr>
            <w:r>
              <w:rPr>
                <w:rFonts w:cs="Times New Roman"/>
                <w:kern w:val="0"/>
                <w:sz w:val="22"/>
                <w:szCs w:val="22"/>
                <w:lang w:eastAsia="ru-RU" w:bidi="ar-SA"/>
              </w:rPr>
              <w:t>Костюм летний для защиты от ОПЗ для ИТР</w:t>
            </w:r>
          </w:p>
          <w:p>
            <w:pPr>
              <w:pStyle w:val="ListParagraph"/>
              <w:widowControl w:val="false"/>
              <w:numPr>
                <w:ilvl w:val="0"/>
                <w:numId w:val="17"/>
              </w:numPr>
              <w:tabs>
                <w:tab w:val="clear" w:pos="709"/>
                <w:tab w:val="left" w:pos="1134" w:leader="none"/>
              </w:tabs>
              <w:spacing w:before="0" w:after="0"/>
              <w:contextualSpacing w:val="false"/>
              <w:rPr>
                <w:rFonts w:ascii="Times New Roman" w:hAnsi="Times New Roman" w:cs="Times New Roman"/>
                <w:kern w:val="0"/>
                <w:sz w:val="22"/>
                <w:szCs w:val="22"/>
                <w:lang w:eastAsia="ru-RU" w:bidi="ar-SA"/>
              </w:rPr>
            </w:pPr>
            <w:r>
              <w:rPr>
                <w:rFonts w:cs="Times New Roman"/>
                <w:kern w:val="0"/>
                <w:sz w:val="22"/>
                <w:szCs w:val="22"/>
                <w:lang w:eastAsia="ru-RU" w:bidi="ar-SA"/>
              </w:rPr>
              <w:t>Список 14 сотрудников, для которых необходимо изготовить именные логотипы на грудь:</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ЖУКОВ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Дмитрий Андреевич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КАШИН</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Владимир Леонидович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ГРАФОВ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Артём Сергеевич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ЭСАУЛОВ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Андрей Сергеевич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ХИБИН</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Александр Александрович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СОСНИН</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Николай Алексеевич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ШЕЛАМОВ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Павел Сергеевич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ГАВРИЛОВ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Антон Николаевич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КАРПУНИН</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Юрий Николаевич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КАЧАЛОВ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Алексей Юрьевич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highlight w:val="darkBlue"/>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БОРОДАЙ</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Константин Анатольевич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КАТАЙЦЕВ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Андрей Александрович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ДЕРЕВЕНЦЕВ</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Кирилл Александрович</w:t>
            </w:r>
          </w:p>
          <w:p>
            <w:pPr>
              <w:pStyle w:val="Normal"/>
              <w:widowControl w:val="false"/>
              <w:shd w:val="clear" w:color="auto" w:fill="FFFFFF"/>
              <w:suppressAutoHyphens w:val="false"/>
              <w:jc w:val="center"/>
              <w:rPr>
                <w:rFonts w:ascii="Calibri" w:hAnsi="Calibri" w:cs="Calibri" w:asciiTheme="minorHAnsi" w:cstheme="minorHAnsi" w:hAnsiTheme="minorHAns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ДУДИН</w:t>
            </w:r>
          </w:p>
          <w:p>
            <w:pPr>
              <w:pStyle w:val="Normal"/>
              <w:widowControl w:val="false"/>
              <w:shd w:val="clear" w:color="auto" w:fill="FFFFFF"/>
              <w:suppressAutoHyphens w:val="false"/>
              <w:jc w:val="center"/>
              <w:rPr>
                <w:rFonts w:ascii="ITC Avant Garde Std Bk" w:hAnsi="ITC Avant Garde Std Bk" w:cs="Segoe UI"/>
                <w:b/>
                <w:bCs/>
                <w:color w:val="FFFFFF" w:themeColor="background1"/>
                <w:sz w:val="21"/>
                <w:szCs w:val="21"/>
              </w:rPr>
            </w:pPr>
            <w:r>
              <w:rPr>
                <w:rFonts w:eastAsia="Times New Roman" w:cs="Calibri" w:ascii="Calibri" w:hAnsi="Calibri" w:asciiTheme="minorHAnsi" w:cstheme="minorHAnsi" w:hAnsiTheme="minorHAnsi"/>
                <w:b/>
                <w:bCs/>
                <w:color w:val="FFFFFF" w:themeColor="background1"/>
                <w:kern w:val="0"/>
                <w:sz w:val="21"/>
                <w:szCs w:val="21"/>
                <w:highlight w:val="darkBlue"/>
                <w:lang w:eastAsia="ru-RU" w:bidi="ar-SA"/>
              </w:rPr>
              <w:t>Сергей Геннадьевич</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0" w:after="120"/>
              <w:jc w:val="center"/>
              <w:rPr>
                <w:rFonts w:eastAsia="Times New Roman" w:cs="Times New Roman"/>
                <w:b/>
                <w:kern w:val="0"/>
                <w:sz w:val="22"/>
                <w:szCs w:val="22"/>
                <w:lang w:val="en-US" w:eastAsia="ru-RU" w:bidi="ar-SA"/>
              </w:rPr>
            </w:pPr>
            <w:r>
              <w:rPr>
                <w:rFonts w:eastAsia="Times New Roman" w:cs="Times New Roman"/>
                <w:b/>
                <w:kern w:val="0"/>
                <w:sz w:val="22"/>
                <w:szCs w:val="22"/>
                <w:lang w:val="en-US" w:eastAsia="ru-RU" w:bidi="ar-SA"/>
              </w:rPr>
              <w:t>Шеврон</w:t>
            </w:r>
          </w:p>
          <w:p>
            <w:pPr>
              <w:pStyle w:val="Normal"/>
              <w:widowControl w:val="false"/>
              <w:tabs>
                <w:tab w:val="clear" w:pos="709"/>
                <w:tab w:val="left" w:pos="1134" w:leader="none"/>
              </w:tabs>
              <w:jc w:val="both"/>
              <w:rPr>
                <w:rFonts w:ascii="Times New Roman" w:hAnsi="Times New Roman" w:eastAsia="Times New Roman" w:cs="Times New Roman"/>
                <w:kern w:val="0"/>
                <w:sz w:val="22"/>
                <w:szCs w:val="22"/>
                <w:lang w:eastAsia="ru-RU" w:bidi="ar-SA"/>
              </w:rPr>
            </w:pPr>
            <w:r>
              <w:rPr/>
              <w:drawing>
                <wp:inline distT="0" distB="0" distL="0" distR="0">
                  <wp:extent cx="1583055" cy="1180465"/>
                  <wp:effectExtent l="0" t="0" r="0" b="0"/>
                  <wp:docPr id="6" name="Изображение2 Копия 1" descr="шарик на рук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Копия 1" descr="шарик на рукав"/>
                          <pic:cNvPicPr>
                            <a:picLocks noChangeAspect="1" noChangeArrowheads="1"/>
                          </pic:cNvPicPr>
                        </pic:nvPicPr>
                        <pic:blipFill>
                          <a:blip r:embed="rId14"/>
                          <a:srcRect l="0" t="0" r="0" b="42320"/>
                          <a:stretch>
                            <a:fillRect/>
                          </a:stretch>
                        </pic:blipFill>
                        <pic:spPr bwMode="auto">
                          <a:xfrm>
                            <a:off x="0" y="0"/>
                            <a:ext cx="1583055" cy="1180465"/>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Д</w:t>
            </w:r>
            <w:r>
              <w:rPr>
                <w:rFonts w:eastAsia="Times New Roman" w:cs="Times New Roman"/>
                <w:kern w:val="0"/>
                <w:sz w:val="22"/>
                <w:szCs w:val="22"/>
                <w:lang w:eastAsia="ru-RU" w:bidi="ar-SA"/>
              </w:rPr>
              <w:t>иаметр 60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Н</w:t>
            </w:r>
            <w:r>
              <w:rPr>
                <w:rFonts w:eastAsia="Times New Roman" w:cs="Times New Roman"/>
                <w:kern w:val="0"/>
                <w:sz w:val="22"/>
                <w:szCs w:val="22"/>
                <w:lang w:eastAsia="ru-RU" w:bidi="ar-SA"/>
              </w:rPr>
              <w:t>ашивка</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Н</w:t>
            </w:r>
            <w:r>
              <w:rPr>
                <w:rFonts w:eastAsia="Times New Roman" w:cs="Times New Roman"/>
                <w:kern w:val="0"/>
                <w:sz w:val="22"/>
                <w:szCs w:val="22"/>
                <w:lang w:eastAsia="ru-RU" w:bidi="ar-SA"/>
              </w:rPr>
              <w:t>а левом рукаве</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8"/>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Костюм летний для защиты от ОПЗ для ИТР</w:t>
            </w:r>
          </w:p>
          <w:p>
            <w:pPr>
              <w:pStyle w:val="ListParagraph"/>
              <w:widowControl w:val="false"/>
              <w:numPr>
                <w:ilvl w:val="0"/>
                <w:numId w:val="18"/>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Куртка, утепленная для защиты от ОПЗ для ИТР</w:t>
            </w:r>
          </w:p>
        </w:tc>
      </w:tr>
      <w:tr>
        <w:trPr>
          <w:trHeight w:val="44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spacing w:before="60" w:after="60"/>
              <w:ind w:hanging="0" w:left="0"/>
              <w:contextualSpacing w:val="false"/>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rFonts w:eastAsia="Times New Roman" w:cs="Times New Roman"/>
                <w:b/>
                <w:bCs/>
                <w:i/>
                <w:i/>
                <w:kern w:val="0"/>
                <w:sz w:val="22"/>
                <w:szCs w:val="22"/>
                <w:lang w:eastAsia="ru-RU" w:bidi="ar-SA"/>
              </w:rPr>
            </w:pPr>
            <w:r>
              <w:rPr>
                <w:rFonts w:eastAsia="Times New Roman" w:cs="Times New Roman"/>
                <w:b/>
                <w:bCs/>
                <w:i/>
                <w:kern w:val="0"/>
                <w:sz w:val="22"/>
                <w:szCs w:val="22"/>
                <w:lang w:eastAsia="ru-RU" w:bidi="ar-SA"/>
              </w:rPr>
            </w:r>
          </w:p>
        </w:tc>
        <w:tc>
          <w:tcPr>
            <w:tcW w:w="300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spacing w:before="0" w:after="120"/>
              <w:jc w:val="center"/>
              <w:rPr>
                <w:rFonts w:eastAsia="Times New Roman" w:cs="Times New Roman"/>
                <w:b/>
                <w:kern w:val="0"/>
                <w:sz w:val="22"/>
                <w:szCs w:val="22"/>
                <w:lang w:val="en-US" w:eastAsia="ru-RU" w:bidi="ar-SA"/>
              </w:rPr>
            </w:pPr>
            <w:r>
              <w:rPr>
                <w:rFonts w:eastAsia="Times New Roman" w:cs="Times New Roman"/>
                <w:b/>
                <w:kern w:val="0"/>
                <w:sz w:val="22"/>
                <w:szCs w:val="22"/>
                <w:lang w:val="en-US" w:eastAsia="ru-RU" w:bidi="ar-SA"/>
              </w:rPr>
              <w:t>Наклейка</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drawing>
                <wp:inline distT="0" distB="0" distL="0" distR="0">
                  <wp:extent cx="1543685" cy="487680"/>
                  <wp:effectExtent l="0" t="0" r="0" b="0"/>
                  <wp:docPr id="7"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descr=""/>
                          <pic:cNvPicPr>
                            <a:picLocks noChangeAspect="1" noChangeArrowheads="1"/>
                          </pic:cNvPicPr>
                        </pic:nvPicPr>
                        <pic:blipFill>
                          <a:blip r:embed="rId15"/>
                          <a:stretch>
                            <a:fillRect/>
                          </a:stretch>
                        </pic:blipFill>
                        <pic:spPr bwMode="auto">
                          <a:xfrm>
                            <a:off x="0" y="0"/>
                            <a:ext cx="1543685" cy="487680"/>
                          </a:xfrm>
                          <a:prstGeom prst="rect">
                            <a:avLst/>
                          </a:prstGeom>
                        </pic:spPr>
                      </pic:pic>
                    </a:graphicData>
                  </a:graphic>
                </wp:inline>
              </w:drawing>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cs="Times New Roman"/>
                <w:kern w:val="0"/>
                <w:sz w:val="22"/>
                <w:szCs w:val="22"/>
                <w:lang w:bidi="ar-SA"/>
              </w:rPr>
            </w:pPr>
            <w:r>
              <w:rPr>
                <w:rFonts w:eastAsia="Calibri" w:cs="Times New Roman"/>
                <w:kern w:val="0"/>
                <w:sz w:val="22"/>
                <w:szCs w:val="22"/>
                <w:lang w:eastAsia="en-US" w:bidi="ar-SA"/>
              </w:rPr>
              <w:t>70х50 мм</w:t>
            </w:r>
          </w:p>
        </w:tc>
        <w:tc>
          <w:tcPr>
            <w:tcW w:w="13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Синий (Pantone 300C)</w:t>
            </w:r>
          </w:p>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eastAsia="ru-RU" w:bidi="ar-SA"/>
              </w:rPr>
              <w:t>Оранжевый (Pantone 165C)</w:t>
            </w:r>
          </w:p>
        </w:tc>
        <w:tc>
          <w:tcPr>
            <w:tcW w:w="144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eastAsia="Times New Roman" w:cs="Times New Roman"/>
                <w:kern w:val="0"/>
                <w:sz w:val="22"/>
                <w:szCs w:val="22"/>
                <w:lang w:eastAsia="ru-RU" w:bidi="ar-SA"/>
              </w:rPr>
            </w:pPr>
            <w:r>
              <w:rPr>
                <w:rFonts w:eastAsia="Times New Roman" w:cs="Times New Roman"/>
                <w:kern w:val="0"/>
                <w:sz w:val="22"/>
                <w:szCs w:val="22"/>
                <w:lang w:val="en-US" w:eastAsia="ru-RU" w:bidi="ar-SA"/>
              </w:rPr>
              <w:t>Н</w:t>
            </w:r>
            <w:r>
              <w:rPr>
                <w:rFonts w:eastAsia="Times New Roman" w:cs="Times New Roman"/>
                <w:kern w:val="0"/>
                <w:sz w:val="22"/>
                <w:szCs w:val="22"/>
                <w:lang w:eastAsia="ru-RU" w:bidi="ar-SA"/>
              </w:rPr>
              <w:t>аклейка</w:t>
            </w:r>
          </w:p>
        </w:tc>
        <w:tc>
          <w:tcPr>
            <w:tcW w:w="144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134" w:leader="none"/>
              </w:tabs>
              <w:jc w:val="center"/>
              <w:rPr>
                <w:rFonts w:ascii="Times New Roman" w:hAnsi="Times New Roman" w:cs="Times New Roman"/>
                <w:kern w:val="0"/>
                <w:sz w:val="22"/>
                <w:szCs w:val="22"/>
                <w:lang w:bidi="ar-SA"/>
              </w:rPr>
            </w:pPr>
            <w:r>
              <w:rPr>
                <w:rFonts w:eastAsia="Calibri" w:cs="Times New Roman"/>
                <w:kern w:val="0"/>
                <w:sz w:val="22"/>
                <w:szCs w:val="22"/>
                <w:lang w:eastAsia="en-US" w:bidi="ar-SA"/>
              </w:rPr>
              <w:t>Лицев</w:t>
            </w:r>
            <w:r>
              <w:rPr>
                <w:rFonts w:eastAsia="Calibri" w:cs="Times New Roman"/>
                <w:kern w:val="0"/>
                <w:sz w:val="22"/>
                <w:szCs w:val="22"/>
                <w:lang w:val="en-US" w:eastAsia="en-US" w:bidi="ar-SA"/>
              </w:rPr>
              <w:t xml:space="preserve">ая </w:t>
            </w:r>
            <w:r>
              <w:rPr>
                <w:rFonts w:eastAsia="Calibri" w:cs="Times New Roman"/>
                <w:kern w:val="0"/>
                <w:sz w:val="22"/>
                <w:szCs w:val="22"/>
                <w:lang w:eastAsia="en-US" w:bidi="ar-SA"/>
              </w:rPr>
              <w:t>часть каски</w:t>
            </w:r>
          </w:p>
        </w:tc>
        <w:tc>
          <w:tcPr>
            <w:tcW w:w="375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9"/>
              </w:numPr>
              <w:tabs>
                <w:tab w:val="clear" w:pos="709"/>
                <w:tab w:val="left" w:pos="1854" w:leader="none"/>
              </w:tabs>
              <w:spacing w:before="0" w:after="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Каска защитная с храповиком</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b/>
                <w:kern w:val="0"/>
                <w:sz w:val="22"/>
                <w:szCs w:val="22"/>
                <w:lang w:eastAsia="ru-RU" w:bidi="ar-SA"/>
              </w:rPr>
              <w:t>Требования к конструкции, изготовлению и материалам</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b/>
                <w:bCs/>
                <w:kern w:val="0"/>
                <w:sz w:val="22"/>
                <w:szCs w:val="22"/>
                <w:lang w:eastAsia="ru-RU" w:bidi="ar-SA"/>
              </w:rPr>
              <w:t>Требования к конструкции спецодежды для защиты от общих производственных загрязнений</w:t>
            </w:r>
          </w:p>
        </w:tc>
      </w:tr>
      <w:tr>
        <w:trPr>
          <w:trHeight w:val="2565" w:hRule="atLeast"/>
        </w:trPr>
        <w:tc>
          <w:tcPr>
            <w:tcW w:w="800"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Костюм летний для защиты от общих производственных загрязнений для ИТР корпоративный (мужской/женский)</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Функциональные характеристики</w:t>
            </w:r>
            <w:r>
              <w:rPr>
                <w:rFonts w:cs="Times New Roman"/>
                <w:kern w:val="0"/>
                <w:sz w:val="22"/>
                <w:szCs w:val="22"/>
                <w:lang w:eastAsia="ru-RU" w:bidi="ar-SA"/>
              </w:rPr>
              <w:t>:</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Должен состоять из куртки и брюк, предназначен для защиты от общих производственных загрязнений и механических воздействий – Ми З.</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Должен соответствовать ТР ТС 019/2011 и изготавливаться с учетом требований ГОСТ 12.4.280-2014.</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Должен быть выполнен из тканей трех цветов: основной – темно-синий, с отделкой голубого и флуоресцентной красной.</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Маркировка должна соответствовать ГОСТ 12.4.115-82, ГОСТ ЕN 340 – 2012 и ТР ТС 019/2011.</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Маркировка должна быть нанесена несмываемой краской на русском языке, четкая и разборчивая.</w:t>
            </w:r>
          </w:p>
          <w:p>
            <w:pPr>
              <w:pStyle w:val="ListParagraph"/>
              <w:widowControl w:val="false"/>
              <w:numPr>
                <w:ilvl w:val="3"/>
                <w:numId w:val="20"/>
              </w:numPr>
              <w:spacing w:before="60" w:after="60"/>
              <w:ind w:hanging="567" w:left="1418"/>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7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b/>
                <w:bCs/>
                <w:i/>
                <w:sz w:val="22"/>
                <w:szCs w:val="22"/>
              </w:rPr>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0"/>
                <w:szCs w:val="20"/>
              </w:rPr>
            </w:pPr>
            <w:r>
              <w:rPr>
                <w:rFonts w:eastAsia="Times New Roman" w:cs="Times New Roman"/>
                <w:kern w:val="0"/>
                <w:sz w:val="20"/>
                <w:szCs w:val="20"/>
                <w:lang w:eastAsia="ru-RU" w:bidi="ar-SA"/>
              </w:rPr>
              <w:t>Внешний вид модели и наименование</w:t>
            </w:r>
          </w:p>
        </w:tc>
        <w:tc>
          <w:tcPr>
            <w:tcW w:w="9160"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60" w:after="60"/>
              <w:jc w:val="center"/>
              <w:rPr>
                <w:b/>
                <w:sz w:val="20"/>
                <w:szCs w:val="20"/>
              </w:rPr>
            </w:pPr>
            <w:r>
              <w:rPr>
                <w:rFonts w:eastAsia="Times New Roman" w:cs="Times New Roman"/>
                <w:b/>
                <w:kern w:val="0"/>
                <w:sz w:val="20"/>
                <w:szCs w:val="20"/>
                <w:lang w:eastAsia="ru-RU" w:bidi="ar-SA"/>
              </w:rPr>
              <w:t>Описание</w:t>
            </w:r>
          </w:p>
        </w:tc>
      </w:tr>
      <w:tr>
        <w:trPr>
          <w:trHeight w:val="7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b/>
                <w:bCs/>
                <w:i/>
                <w:sz w:val="22"/>
                <w:szCs w:val="22"/>
              </w:rPr>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bCs/>
                <w:kern w:val="0"/>
                <w:sz w:val="22"/>
                <w:szCs w:val="22"/>
                <w:lang w:eastAsia="ru-RU" w:bidi="ar-SA"/>
              </w:rPr>
              <w:t>Куртка прямого силуэта, с центральной застежкой на тесьму-«молнию»</w:t>
            </w:r>
          </w:p>
          <w:p>
            <w:pPr>
              <w:pStyle w:val="Normal"/>
              <w:widowControl w:val="false"/>
              <w:spacing w:before="60" w:after="60"/>
              <w:jc w:val="center"/>
              <w:rPr>
                <w:sz w:val="22"/>
                <w:szCs w:val="22"/>
              </w:rPr>
            </w:pPr>
            <w:r>
              <w:rPr/>
              <w:drawing>
                <wp:inline distT="0" distB="0" distL="0" distR="0">
                  <wp:extent cx="1795780" cy="2128520"/>
                  <wp:effectExtent l="0" t="0" r="0" b="0"/>
                  <wp:docPr id="8" name="Рисунок 10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0 Копия 1" descr=""/>
                          <pic:cNvPicPr>
                            <a:picLocks noChangeAspect="1" noChangeArrowheads="1"/>
                          </pic:cNvPicPr>
                        </pic:nvPicPr>
                        <pic:blipFill>
                          <a:blip r:embed="rId16"/>
                          <a:stretch>
                            <a:fillRect/>
                          </a:stretch>
                        </pic:blipFill>
                        <pic:spPr bwMode="auto">
                          <a:xfrm>
                            <a:off x="0" y="0"/>
                            <a:ext cx="1795780" cy="2128520"/>
                          </a:xfrm>
                          <a:prstGeom prst="rect">
                            <a:avLst/>
                          </a:prstGeom>
                        </pic:spPr>
                      </pic:pic>
                    </a:graphicData>
                  </a:graphic>
                </wp:inline>
              </w:drawing>
            </w:r>
          </w:p>
          <w:p>
            <w:pPr>
              <w:pStyle w:val="Normal"/>
              <w:widowControl w:val="false"/>
              <w:spacing w:before="60" w:after="60"/>
              <w:jc w:val="center"/>
              <w:rPr>
                <w:sz w:val="22"/>
                <w:szCs w:val="22"/>
              </w:rPr>
            </w:pPr>
            <w:r>
              <w:rPr>
                <w:sz w:val="22"/>
                <w:szCs w:val="22"/>
              </w:rPr>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21"/>
              </w:numPr>
              <w:spacing w:before="60" w:after="60"/>
              <w:ind w:hanging="567" w:left="1418"/>
              <w:contextualSpacing w:val="false"/>
              <w:jc w:val="both"/>
              <w:rPr>
                <w:sz w:val="22"/>
                <w:szCs w:val="22"/>
              </w:rPr>
            </w:pPr>
            <w:r>
              <w:rPr>
                <w:rFonts w:cs="Times New Roman"/>
                <w:kern w:val="0"/>
                <w:sz w:val="22"/>
                <w:szCs w:val="22"/>
                <w:lang w:eastAsia="ru-RU" w:bidi="ar-SA"/>
              </w:rPr>
              <w:t>Силуэт прямой с центральной застежкой на тесьму-«молнию».</w:t>
            </w:r>
          </w:p>
          <w:p>
            <w:pPr>
              <w:pStyle w:val="ListParagraph"/>
              <w:widowControl w:val="false"/>
              <w:numPr>
                <w:ilvl w:val="0"/>
                <w:numId w:val="21"/>
              </w:numPr>
              <w:spacing w:before="60" w:after="60"/>
              <w:ind w:hanging="567" w:left="1418"/>
              <w:contextualSpacing w:val="false"/>
              <w:jc w:val="both"/>
              <w:rPr>
                <w:sz w:val="22"/>
                <w:szCs w:val="22"/>
              </w:rPr>
            </w:pPr>
            <w:r>
              <w:rPr>
                <w:sz w:val="22"/>
                <w:szCs w:val="22"/>
              </w:rPr>
              <w:t>Полочки с должны быть с притачными кокетками, вверху которых нанесены световозвращающие термопринты в виде треугольников с флуоресцентным красным кантом и световозвращающим кантом внизу кокеток, с рельефами от проймы до шва притачивания пояса, с карманами внизу рельефных швов с застежкой на тесьму - молнию, вход в которые отстрочен двойными строчками, имитирующими листочку. Полочки с накладными нагрудными карманами с клапанами со скошенными уголками, с фиксацией на потайные кнопки (справа на 2 кнопки по краям, слева – кнопка по центру);</w:t>
            </w:r>
          </w:p>
          <w:p>
            <w:pPr>
              <w:pStyle w:val="ListParagraph"/>
              <w:widowControl w:val="false"/>
              <w:numPr>
                <w:ilvl w:val="0"/>
                <w:numId w:val="21"/>
              </w:numPr>
              <w:spacing w:before="60" w:after="60"/>
              <w:ind w:hanging="567" w:left="1418"/>
              <w:contextualSpacing w:val="false"/>
              <w:jc w:val="both"/>
              <w:rPr>
                <w:sz w:val="22"/>
                <w:szCs w:val="22"/>
              </w:rPr>
            </w:pPr>
            <w:r>
              <w:rPr>
                <w:sz w:val="22"/>
                <w:szCs w:val="22"/>
              </w:rPr>
              <w:t xml:space="preserve">На куртке должны присутствовать элементы повышенной видимости: </w:t>
            </w:r>
          </w:p>
          <w:p>
            <w:pPr>
              <w:pStyle w:val="ListParagraph"/>
              <w:widowControl w:val="false"/>
              <w:spacing w:before="60" w:after="60"/>
              <w:ind w:left="1418"/>
              <w:contextualSpacing w:val="false"/>
              <w:jc w:val="both"/>
              <w:rPr>
                <w:sz w:val="22"/>
                <w:szCs w:val="22"/>
              </w:rPr>
            </w:pPr>
            <w:r>
              <w:rPr>
                <w:sz w:val="22"/>
                <w:szCs w:val="22"/>
              </w:rPr>
              <w:t>- световозвращающий кант должен проходить по швам притачивания кокеток полочек и спинки, по передним и локтевым швам рукавов в верхней части.</w:t>
            </w:r>
          </w:p>
          <w:p>
            <w:pPr>
              <w:pStyle w:val="ListParagraph"/>
              <w:widowControl w:val="false"/>
              <w:spacing w:before="60" w:after="60"/>
              <w:ind w:left="1418"/>
              <w:contextualSpacing w:val="false"/>
              <w:jc w:val="both"/>
              <w:rPr>
                <w:sz w:val="22"/>
                <w:szCs w:val="22"/>
              </w:rPr>
            </w:pPr>
            <w:r>
              <w:rPr>
                <w:sz w:val="22"/>
                <w:szCs w:val="22"/>
              </w:rPr>
              <w:t>- световозвращающий сегментированный принт должен быть нанесен: вверху кокеток полочек и вверху спинки.</w:t>
            </w:r>
          </w:p>
          <w:p>
            <w:pPr>
              <w:pStyle w:val="ListParagraph"/>
              <w:widowControl w:val="false"/>
              <w:spacing w:before="60" w:after="60"/>
              <w:ind w:left="1418"/>
              <w:contextualSpacing w:val="false"/>
              <w:jc w:val="both"/>
              <w:rPr>
                <w:sz w:val="22"/>
                <w:szCs w:val="22"/>
              </w:rPr>
            </w:pPr>
            <w:r>
              <w:rPr>
                <w:sz w:val="22"/>
                <w:szCs w:val="22"/>
              </w:rPr>
              <w:t>- световозвращающая термоактивная сегментированная лента шириной 45 мм нанесена внизу средней части рукавов.</w:t>
            </w:r>
          </w:p>
          <w:p>
            <w:pPr>
              <w:pStyle w:val="ListParagraph"/>
              <w:widowControl w:val="false"/>
              <w:numPr>
                <w:ilvl w:val="0"/>
                <w:numId w:val="21"/>
              </w:numPr>
              <w:spacing w:before="60" w:after="60"/>
              <w:ind w:hanging="567" w:left="1418"/>
              <w:contextualSpacing w:val="false"/>
              <w:jc w:val="both"/>
              <w:rPr>
                <w:sz w:val="22"/>
                <w:szCs w:val="22"/>
              </w:rPr>
            </w:pPr>
            <w:r>
              <w:rPr>
                <w:sz w:val="22"/>
                <w:szCs w:val="22"/>
              </w:rPr>
              <w:t>Спинка должна быть с кокеткой, переходящей в сторону полочек, с отделочным кантом флуоресцентного красного цвета внизу и декоративной шлевкой на кокетке, с рельефными швами от проймы до шва притачивания пояса со световозвращающими кантами, с фигурными складками от шва кокетки до рельефных швов, с трикотажной сеткой под складками (вставки), для воздухообмена. Вверху спинки должен быть нанесен световозвращающий термопринт в виде треугольника.</w:t>
            </w:r>
          </w:p>
          <w:p>
            <w:pPr>
              <w:pStyle w:val="ListParagraph"/>
              <w:widowControl w:val="false"/>
              <w:numPr>
                <w:ilvl w:val="0"/>
                <w:numId w:val="21"/>
              </w:numPr>
              <w:spacing w:before="60" w:after="60"/>
              <w:ind w:hanging="567" w:left="1418"/>
              <w:contextualSpacing w:val="false"/>
              <w:jc w:val="both"/>
              <w:rPr>
                <w:sz w:val="22"/>
                <w:szCs w:val="22"/>
              </w:rPr>
            </w:pPr>
            <w:r>
              <w:rPr>
                <w:sz w:val="22"/>
                <w:szCs w:val="22"/>
              </w:rPr>
              <w:t xml:space="preserve">Рукава должны состоять из передней, средней и локтевой деталей с поперечным членением ниже уровня локтя, с притачными манжетами и патой с фиксацией на потайную кнопку с двумя ответными частями, установленными на отделочную тесьму голубого цвета. Передние и локтевые швы должны быть с световозвращающими кантами, низ средней части со световозвращающей термоактивной сегментированной лентой. Локтевая часть рукава с двумя вытачками со стороны нижнего шва. Вверху левого рукава накладной карман с вертикальной застежкой на молнию со стороны переднего шва и с объемом со стороны локтевого шва. Воротник требуется отложной, с притачной стойкой из отделочной ткани: внутренняя стойка - василькового цвета, внешняя стойка - оранжевого цвета. </w:t>
            </w:r>
          </w:p>
          <w:p>
            <w:pPr>
              <w:pStyle w:val="ListParagraph"/>
              <w:widowControl w:val="false"/>
              <w:numPr>
                <w:ilvl w:val="0"/>
                <w:numId w:val="21"/>
              </w:numPr>
              <w:spacing w:before="60" w:after="60"/>
              <w:ind w:hanging="567" w:left="1418"/>
              <w:contextualSpacing w:val="false"/>
              <w:jc w:val="both"/>
              <w:rPr>
                <w:sz w:val="22"/>
                <w:szCs w:val="22"/>
              </w:rPr>
            </w:pPr>
            <w:r>
              <w:rPr>
                <w:sz w:val="22"/>
                <w:szCs w:val="22"/>
              </w:rPr>
              <w:t>Низ карманов выполнен, как навесной.</w:t>
            </w:r>
          </w:p>
          <w:p>
            <w:pPr>
              <w:pStyle w:val="ListParagraph"/>
              <w:widowControl w:val="false"/>
              <w:numPr>
                <w:ilvl w:val="0"/>
                <w:numId w:val="21"/>
              </w:numPr>
              <w:spacing w:before="60" w:after="60"/>
              <w:ind w:hanging="567" w:left="1418"/>
              <w:contextualSpacing w:val="false"/>
              <w:jc w:val="both"/>
              <w:rPr>
                <w:sz w:val="22"/>
                <w:szCs w:val="22"/>
              </w:rPr>
            </w:pPr>
            <w:r>
              <w:rPr>
                <w:rFonts w:cs="Times New Roman"/>
                <w:kern w:val="0"/>
                <w:sz w:val="22"/>
                <w:szCs w:val="22"/>
                <w:lang w:eastAsia="ru-RU" w:bidi="ar-SA"/>
              </w:rPr>
              <w:t>По швам соединения полочек и спинки с кокетками, по продольным швам средней верхней части рукава проходят фигурные вставки из световозвращающего материала.</w:t>
            </w:r>
          </w:p>
          <w:p>
            <w:pPr>
              <w:pStyle w:val="ListParagraph"/>
              <w:widowControl w:val="false"/>
              <w:numPr>
                <w:ilvl w:val="0"/>
                <w:numId w:val="21"/>
              </w:numPr>
              <w:spacing w:before="60" w:after="60"/>
              <w:ind w:hanging="567" w:left="1418"/>
              <w:contextualSpacing w:val="false"/>
              <w:jc w:val="both"/>
              <w:rPr>
                <w:sz w:val="22"/>
                <w:szCs w:val="22"/>
              </w:rPr>
            </w:pPr>
            <w:r>
              <w:rPr>
                <w:rFonts w:cs="Times New Roman"/>
                <w:kern w:val="0"/>
                <w:sz w:val="22"/>
                <w:szCs w:val="22"/>
                <w:lang w:eastAsia="ru-RU" w:bidi="ar-SA"/>
              </w:rPr>
              <w:t>С внутренней стороны куртки наличие ленты ФИО, для определения принадлежности изделия.</w:t>
            </w:r>
          </w:p>
          <w:p>
            <w:pPr>
              <w:pStyle w:val="ListParagraph"/>
              <w:widowControl w:val="false"/>
              <w:numPr>
                <w:ilvl w:val="0"/>
                <w:numId w:val="21"/>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numPr>
                <w:ilvl w:val="0"/>
                <w:numId w:val="22"/>
              </w:numPr>
              <w:spacing w:before="60" w:after="60"/>
              <w:ind w:hanging="567" w:left="1985"/>
              <w:contextualSpacing w:val="false"/>
              <w:jc w:val="both"/>
              <w:rPr>
                <w:b/>
                <w:sz w:val="22"/>
                <w:szCs w:val="22"/>
              </w:rPr>
            </w:pPr>
            <w:r>
              <w:rPr>
                <w:rFonts w:cs="Times New Roman"/>
                <w:b/>
                <w:kern w:val="0"/>
                <w:sz w:val="22"/>
                <w:szCs w:val="22"/>
                <w:lang w:eastAsia="ru-RU" w:bidi="ar-SA"/>
              </w:rPr>
              <w:t>Ми</w:t>
            </w:r>
            <w:r>
              <w:rPr>
                <w:rFonts w:cs="Times New Roman"/>
                <w:kern w:val="0"/>
                <w:sz w:val="22"/>
                <w:szCs w:val="22"/>
                <w:lang w:eastAsia="ru-RU" w:bidi="ar-SA"/>
              </w:rPr>
              <w:t xml:space="preserve"> - защита от механических воздействий (истирания);</w:t>
            </w:r>
          </w:p>
          <w:p>
            <w:pPr>
              <w:pStyle w:val="ListParagraph"/>
              <w:widowControl w:val="false"/>
              <w:numPr>
                <w:ilvl w:val="0"/>
                <w:numId w:val="22"/>
              </w:numPr>
              <w:spacing w:before="60" w:after="60"/>
              <w:ind w:hanging="567" w:left="1985"/>
              <w:contextualSpacing w:val="false"/>
              <w:jc w:val="both"/>
              <w:rPr>
                <w:sz w:val="22"/>
                <w:szCs w:val="22"/>
              </w:rPr>
            </w:pPr>
            <w:r>
              <w:rPr>
                <w:rFonts w:cs="Times New Roman"/>
                <w:b/>
                <w:kern w:val="0"/>
                <w:sz w:val="22"/>
                <w:szCs w:val="22"/>
                <w:lang w:eastAsia="ru-RU" w:bidi="ar-SA"/>
              </w:rPr>
              <w:t>З</w:t>
            </w:r>
            <w:r>
              <w:rPr>
                <w:rFonts w:cs="Times New Roman"/>
                <w:kern w:val="0"/>
                <w:sz w:val="22"/>
                <w:szCs w:val="22"/>
                <w:lang w:eastAsia="ru-RU" w:bidi="ar-SA"/>
              </w:rPr>
              <w:t xml:space="preserve"> - защита от общих производственных загрязнений;</w:t>
            </w:r>
          </w:p>
          <w:p>
            <w:pPr>
              <w:pStyle w:val="ListParagraph"/>
              <w:widowControl w:val="false"/>
              <w:numPr>
                <w:ilvl w:val="0"/>
                <w:numId w:val="22"/>
              </w:numPr>
              <w:spacing w:before="60" w:after="60"/>
              <w:ind w:hanging="567" w:left="1985"/>
              <w:contextualSpacing w:val="false"/>
              <w:jc w:val="both"/>
              <w:rPr>
                <w:sz w:val="22"/>
                <w:szCs w:val="22"/>
              </w:rPr>
            </w:pPr>
            <w:r>
              <w:rPr>
                <w:rFonts w:cs="Times New Roman"/>
                <w:b/>
                <w:kern w:val="0"/>
                <w:sz w:val="22"/>
                <w:szCs w:val="22"/>
                <w:lang w:eastAsia="ru-RU" w:bidi="ar-SA"/>
              </w:rPr>
              <w:t>Мп</w:t>
            </w:r>
            <w:r>
              <w:rPr>
                <w:rFonts w:cs="Times New Roman"/>
                <w:kern w:val="0"/>
                <w:sz w:val="22"/>
                <w:szCs w:val="22"/>
                <w:lang w:eastAsia="ru-RU" w:bidi="ar-SA"/>
              </w:rPr>
              <w:t xml:space="preserve"> - защита от механических воздействий (проколов и порезов).</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23"/>
              </w:numPr>
              <w:spacing w:before="60" w:after="60"/>
              <w:ind w:hanging="567" w:left="1418"/>
              <w:contextualSpacing w:val="false"/>
              <w:jc w:val="both"/>
              <w:rPr>
                <w:b/>
                <w:sz w:val="22"/>
                <w:szCs w:val="22"/>
              </w:rPr>
            </w:pPr>
            <w:r>
              <w:rPr>
                <w:rFonts w:cs="Times New Roman"/>
                <w:b/>
                <w:kern w:val="0"/>
                <w:sz w:val="22"/>
                <w:szCs w:val="22"/>
                <w:lang w:eastAsia="ru-RU" w:bidi="ar-SA"/>
              </w:rPr>
              <w:t>Ткань верха:</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Малосминаемая смесовая ткань с содержанием хлопковых волокон 30-50% полиэфир 50-70% плотностью не менее 240 г/кв.м.</w:t>
            </w:r>
          </w:p>
          <w:p>
            <w:pPr>
              <w:pStyle w:val="ListParagraph"/>
              <w:widowControl w:val="false"/>
              <w:numPr>
                <w:ilvl w:val="0"/>
                <w:numId w:val="23"/>
              </w:numPr>
              <w:spacing w:before="60" w:after="60"/>
              <w:ind w:hanging="567" w:left="1418"/>
              <w:contextualSpacing w:val="false"/>
              <w:jc w:val="both"/>
              <w:rPr>
                <w:sz w:val="22"/>
                <w:szCs w:val="22"/>
              </w:rPr>
            </w:pPr>
            <w:r>
              <w:rPr>
                <w:rFonts w:cs="Times New Roman"/>
                <w:b/>
                <w:kern w:val="0"/>
                <w:sz w:val="22"/>
                <w:szCs w:val="22"/>
                <w:lang w:eastAsia="ru-RU" w:bidi="ar-SA"/>
              </w:rPr>
              <w:t>Основной цвет</w:t>
            </w:r>
            <w:r>
              <w:rPr>
                <w:rFonts w:cs="Times New Roman"/>
                <w:kern w:val="0"/>
                <w:sz w:val="22"/>
                <w:szCs w:val="22"/>
                <w:lang w:eastAsia="ru-RU" w:bidi="ar-SA"/>
              </w:rPr>
              <w:t>: темно-синий.</w:t>
            </w:r>
          </w:p>
          <w:p>
            <w:pPr>
              <w:pStyle w:val="ListParagraph"/>
              <w:widowControl w:val="false"/>
              <w:numPr>
                <w:ilvl w:val="0"/>
                <w:numId w:val="23"/>
              </w:numPr>
              <w:spacing w:before="60" w:after="60"/>
              <w:ind w:hanging="567" w:left="1418"/>
              <w:contextualSpacing w:val="false"/>
              <w:jc w:val="both"/>
              <w:rPr>
                <w:sz w:val="22"/>
                <w:szCs w:val="22"/>
              </w:rPr>
            </w:pPr>
            <w:r>
              <w:rPr>
                <w:rFonts w:cs="Times New Roman"/>
                <w:b/>
                <w:bCs/>
                <w:kern w:val="0"/>
                <w:sz w:val="22"/>
                <w:szCs w:val="22"/>
                <w:lang w:eastAsia="ru-RU" w:bidi="ar-SA"/>
              </w:rPr>
              <w:t>Отделочный цвет:</w:t>
            </w:r>
            <w:r>
              <w:rPr>
                <w:rFonts w:cs="Times New Roman"/>
                <w:kern w:val="0"/>
                <w:sz w:val="22"/>
                <w:szCs w:val="22"/>
                <w:lang w:eastAsia="ru-RU" w:bidi="ar-SA"/>
              </w:rPr>
              <w:t xml:space="preserve"> голубой и флуоресцентный красный</w:t>
            </w:r>
          </w:p>
          <w:p>
            <w:pPr>
              <w:pStyle w:val="ListParagraph"/>
              <w:widowControl w:val="false"/>
              <w:numPr>
                <w:ilvl w:val="0"/>
                <w:numId w:val="23"/>
              </w:numPr>
              <w:spacing w:before="60" w:after="60"/>
              <w:ind w:hanging="567" w:left="1418"/>
              <w:contextualSpacing w:val="false"/>
              <w:jc w:val="both"/>
              <w:rPr>
                <w:b/>
                <w:bCs/>
              </w:rPr>
            </w:pPr>
            <w:r>
              <w:rPr>
                <w:rFonts w:cs="Times New Roman"/>
                <w:b/>
                <w:bCs/>
                <w:kern w:val="0"/>
                <w:sz w:val="22"/>
                <w:szCs w:val="22"/>
                <w:lang w:eastAsia="ru-RU" w:bidi="ar-SA"/>
              </w:rPr>
              <w:t>Предусмотрены элементы повышенной видимости серого цвета.</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Наличие химических или механических повреждений на изделии не допускается.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На куртке обязательно должен быть предусмотрен трудноудаляемый ярлык с нанесенной маркировкой.</w:t>
            </w:r>
          </w:p>
        </w:tc>
      </w:tr>
      <w:tr>
        <w:trPr>
          <w:trHeight w:val="70"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b/>
                <w:bCs/>
                <w:i/>
                <w:sz w:val="22"/>
                <w:szCs w:val="22"/>
              </w:rPr>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Брюки прямого силуэта с передней застежкой-молнией.</w:t>
            </w:r>
          </w:p>
          <w:p>
            <w:pPr>
              <w:pStyle w:val="Normal"/>
              <w:widowControl w:val="false"/>
              <w:spacing w:before="60" w:after="60"/>
              <w:jc w:val="center"/>
              <w:rPr>
                <w:sz w:val="22"/>
                <w:szCs w:val="22"/>
              </w:rPr>
            </w:pPr>
            <w:r>
              <w:rPr>
                <w:sz w:val="22"/>
                <w:szCs w:val="22"/>
              </w:rPr>
              <w:drawing>
                <wp:anchor behindDoc="0" distT="0" distB="0" distL="0" distR="0" simplePos="0" locked="0" layoutInCell="1" allowOverlap="1" relativeHeight="26">
                  <wp:simplePos x="0" y="0"/>
                  <wp:positionH relativeFrom="column">
                    <wp:posOffset>119380</wp:posOffset>
                  </wp:positionH>
                  <wp:positionV relativeFrom="paragraph">
                    <wp:posOffset>217170</wp:posOffset>
                  </wp:positionV>
                  <wp:extent cx="1485265" cy="1706880"/>
                  <wp:effectExtent l="0" t="0" r="0" b="0"/>
                  <wp:wrapNone/>
                  <wp:docPr id="9" nam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 descr=""/>
                          <pic:cNvPicPr>
                            <a:picLocks noChangeAspect="1" noChangeArrowheads="1"/>
                          </pic:cNvPicPr>
                        </pic:nvPicPr>
                        <pic:blipFill>
                          <a:blip r:embed="rId17"/>
                          <a:srcRect l="10170" t="-292" r="9151" b="22489"/>
                          <a:stretch>
                            <a:fillRect/>
                          </a:stretch>
                        </pic:blipFill>
                        <pic:spPr bwMode="auto">
                          <a:xfrm>
                            <a:off x="0" y="0"/>
                            <a:ext cx="1485265" cy="1706880"/>
                          </a:xfrm>
                          <a:prstGeom prst="rect">
                            <a:avLst/>
                          </a:prstGeom>
                        </pic:spPr>
                      </pic:pic>
                    </a:graphicData>
                  </a:graphic>
                </wp:anchor>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24"/>
              </w:numPr>
              <w:spacing w:before="60" w:after="60"/>
              <w:ind w:hanging="567" w:left="1418"/>
              <w:contextualSpacing w:val="false"/>
              <w:jc w:val="both"/>
              <w:rPr>
                <w:sz w:val="22"/>
                <w:szCs w:val="22"/>
              </w:rPr>
            </w:pPr>
            <w:r>
              <w:rPr>
                <w:rFonts w:cs="Times New Roman"/>
                <w:kern w:val="0"/>
                <w:sz w:val="22"/>
                <w:szCs w:val="22"/>
                <w:lang w:eastAsia="ru-RU" w:bidi="ar-SA"/>
              </w:rPr>
              <w:t xml:space="preserve">Брюки мужские должны быть выполнены из ткани темно-синего цвета с отделкой голубого и флуоресцентного красного цвета, с элементами повышенной видимости серого цвета. Брюки должны быть с застежкой гульфика на тесьму–молнию, с притачным «раздвижным» поясом со шлевками, с застежкой спереди на прорезную петлю и джинсовую пуговицу. Брюки должны быть с ластовицей по шаговым швам;  </w:t>
            </w:r>
          </w:p>
          <w:p>
            <w:pPr>
              <w:pStyle w:val="ListParagraph"/>
              <w:widowControl w:val="false"/>
              <w:numPr>
                <w:ilvl w:val="0"/>
                <w:numId w:val="24"/>
              </w:numPr>
              <w:spacing w:before="60" w:after="60"/>
              <w:ind w:hanging="567" w:left="1418"/>
              <w:contextualSpacing w:val="false"/>
              <w:jc w:val="both"/>
              <w:rPr>
                <w:sz w:val="22"/>
                <w:szCs w:val="22"/>
              </w:rPr>
            </w:pPr>
            <w:r>
              <w:rPr>
                <w:rFonts w:cs="Times New Roman"/>
                <w:kern w:val="0"/>
                <w:sz w:val="22"/>
                <w:szCs w:val="22"/>
                <w:lang w:eastAsia="ru-RU" w:bidi="ar-SA"/>
              </w:rPr>
              <w:t>Передние половинки должны быть с поперечным членением выше линии колена. Верхние части с боковыми карманами с закругленным входом и отрезным бочком. На бочке правого кармана должен быть расположен малый накладной карман для часов. Нижний срез верхней части должен быть обработан обтачкой, имитирующей складку. Нижние части брюк должны быть  с усилительными наколенниками с 2-мя вытачками для объема со стороны боковых швов и с трикотажными надставками вверху, закрытыми складкой верхней части брюк. Задние половинки брюк должны быть с отрезной кокеткой, с поперечным членением под коленом, с накладными карманами со скошенными уголками. Низ карманов должен быть выполнен, как навесной.</w:t>
            </w:r>
          </w:p>
          <w:p>
            <w:pPr>
              <w:pStyle w:val="ListParagraph"/>
              <w:widowControl w:val="false"/>
              <w:numPr>
                <w:ilvl w:val="0"/>
                <w:numId w:val="24"/>
              </w:numPr>
              <w:spacing w:before="60" w:after="60"/>
              <w:ind w:hanging="567" w:left="1418"/>
              <w:contextualSpacing w:val="false"/>
              <w:jc w:val="both"/>
              <w:rPr>
                <w:sz w:val="22"/>
                <w:szCs w:val="22"/>
              </w:rPr>
            </w:pPr>
            <w:r>
              <w:rPr>
                <w:rFonts w:cs="Times New Roman"/>
                <w:kern w:val="0"/>
                <w:sz w:val="22"/>
                <w:szCs w:val="22"/>
                <w:lang w:eastAsia="ru-RU" w:bidi="ar-SA"/>
              </w:rPr>
              <w:t>Должен быть притачной «раздвижной» пояс с 5-ю шлевками: шлевка из отделочной тесьмы флуоресцентного красно-голубого цвета на правой передней половинке с полукольцом, средняя шлевка на задней половинке широкая и фигурная. «Раздвижной» пояс с кулиской с эластичной тесьмой, для регулирования объема. По боковым швам, над наколенниками должны быть расположены накладные карманы с вертикальными складками для объема и с клапанами со скошенными уголками, который фиксируются на потайную кнопку по краям клапана. Клапаны спереди должны быть с флажками-держателями из отделочной тесьмы флуоресцентного красно-голубого цвета. Низ кармана должен быть выполнен, как навесной. Боковые швы должны быть смещены в сторону передних половинок в области наколенников с переходом на задние половинки. По швам стачивания боковых швов должен проходить световозвращающий кант. Низ брюк должен быть обработан швам в подгибку с закрытым срезом.</w:t>
            </w:r>
          </w:p>
          <w:p>
            <w:pPr>
              <w:pStyle w:val="ListParagraph"/>
              <w:widowControl w:val="false"/>
              <w:numPr>
                <w:ilvl w:val="0"/>
                <w:numId w:val="24"/>
              </w:numPr>
              <w:spacing w:before="60" w:after="60"/>
              <w:ind w:hanging="567" w:left="1418"/>
              <w:contextualSpacing w:val="false"/>
              <w:jc w:val="both"/>
              <w:rPr>
                <w:sz w:val="22"/>
                <w:szCs w:val="22"/>
              </w:rPr>
            </w:pPr>
            <w:r>
              <w:rPr>
                <w:rFonts w:cs="Times New Roman"/>
                <w:kern w:val="0"/>
                <w:sz w:val="22"/>
                <w:szCs w:val="22"/>
                <w:lang w:eastAsia="ru-RU" w:bidi="ar-SA"/>
              </w:rPr>
              <w:t>Элементы повышенной видимости: световозвращающий кант должен проходить по швам стачивания смещенных боковых швов;  световозвращающий сегментированный принт должен быть нанесен на клапаны накладных карманов.</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25"/>
              </w:numPr>
              <w:spacing w:before="60" w:after="60"/>
              <w:ind w:hanging="567" w:left="1418"/>
              <w:contextualSpacing w:val="false"/>
              <w:jc w:val="both"/>
              <w:rPr>
                <w:b/>
                <w:sz w:val="22"/>
                <w:szCs w:val="22"/>
              </w:rPr>
            </w:pPr>
            <w:r>
              <w:rPr>
                <w:rFonts w:cs="Times New Roman"/>
                <w:b/>
                <w:kern w:val="0"/>
                <w:sz w:val="22"/>
                <w:szCs w:val="22"/>
                <w:lang w:eastAsia="ru-RU" w:bidi="ar-SA"/>
              </w:rPr>
              <w:t>Ткань верха:</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Состав сырья 30-50% хлопок, 50-70% полиэфир с малосминаемой отделкой, поверхностная плотность не менее 240 г/кв.м., цвет темно-синий.</w:t>
            </w:r>
          </w:p>
          <w:p>
            <w:pPr>
              <w:pStyle w:val="ListParagraph"/>
              <w:widowControl w:val="false"/>
              <w:numPr>
                <w:ilvl w:val="0"/>
                <w:numId w:val="25"/>
              </w:numPr>
              <w:spacing w:before="60" w:after="60"/>
              <w:ind w:hanging="567" w:left="1418"/>
              <w:contextualSpacing w:val="false"/>
              <w:jc w:val="both"/>
              <w:rPr>
                <w:b/>
                <w:sz w:val="22"/>
                <w:szCs w:val="22"/>
              </w:rPr>
            </w:pPr>
            <w:r>
              <w:rPr>
                <w:rFonts w:cs="Times New Roman"/>
                <w:b/>
                <w:kern w:val="0"/>
                <w:sz w:val="22"/>
                <w:szCs w:val="22"/>
                <w:lang w:eastAsia="ru-RU" w:bidi="ar-SA"/>
              </w:rPr>
              <w:t>Сигнальные элементы:</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Световозвращающие вставки, световозвращающие канты.</w:t>
            </w:r>
          </w:p>
          <w:p>
            <w:pPr>
              <w:pStyle w:val="ListParagraph"/>
              <w:widowControl w:val="false"/>
              <w:numPr>
                <w:ilvl w:val="0"/>
                <w:numId w:val="25"/>
              </w:numPr>
              <w:spacing w:before="60" w:after="60"/>
              <w:ind w:hanging="567" w:left="1418"/>
              <w:contextualSpacing w:val="false"/>
              <w:jc w:val="both"/>
              <w:rPr>
                <w:b/>
                <w:sz w:val="22"/>
                <w:szCs w:val="22"/>
              </w:rPr>
            </w:pPr>
            <w:r>
              <w:rPr>
                <w:rFonts w:cs="Times New Roman"/>
                <w:b/>
                <w:kern w:val="0"/>
                <w:sz w:val="22"/>
                <w:szCs w:val="22"/>
                <w:lang w:eastAsia="ru-RU" w:bidi="ar-SA"/>
              </w:rPr>
              <w:t>Все отделочные строчки выполнены белыми нитками.</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Наличие химических или механических повреждений на изделии не допускается.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На брюках обязательно должен быть предусмотрен трудноудаляемый ярлык с нанесенной маркировкой.</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Куртка утепленная для защиты от общих производственных загрязнений для ИТР</w:t>
            </w:r>
            <w:r>
              <w:rPr>
                <w:rFonts w:eastAsia="Times New Roman" w:cs="Times New Roman"/>
                <w:kern w:val="0"/>
                <w:sz w:val="22"/>
                <w:szCs w:val="22"/>
                <w:lang w:eastAsia="ru-RU" w:bidi="ar-SA"/>
              </w:rPr>
              <w:t xml:space="preserve"> </w:t>
            </w:r>
            <w:r>
              <w:rPr>
                <w:rFonts w:eastAsia="Times New Roman" w:cs="Times New Roman"/>
                <w:b/>
                <w:bCs/>
                <w:i/>
                <w:kern w:val="0"/>
                <w:sz w:val="22"/>
                <w:szCs w:val="22"/>
                <w:lang w:eastAsia="ru-RU" w:bidi="ar-SA"/>
              </w:rPr>
              <w:t>корпоративная (мужская/женская) с капюшоном</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bCs/>
                <w:kern w:val="0"/>
                <w:sz w:val="22"/>
                <w:szCs w:val="22"/>
                <w:lang w:eastAsia="ru-RU" w:bidi="ar-SA"/>
              </w:rPr>
              <w:t>Куртка утепленная</w:t>
            </w:r>
            <w:r>
              <w:rPr>
                <w:rFonts w:eastAsia="Times New Roman" w:cs="Times New Roman"/>
                <w:b/>
                <w:bCs/>
                <w:i/>
                <w:kern w:val="0"/>
                <w:sz w:val="22"/>
                <w:szCs w:val="22"/>
                <w:lang w:eastAsia="ru-RU" w:bidi="ar-SA"/>
              </w:rPr>
              <w:t xml:space="preserve"> </w:t>
            </w:r>
            <w:r>
              <w:rPr>
                <w:rFonts w:eastAsia="Times New Roman" w:cs="Times New Roman"/>
                <w:b/>
                <w:kern w:val="0"/>
                <w:sz w:val="22"/>
                <w:szCs w:val="22"/>
                <w:lang w:eastAsia="ru-RU" w:bidi="ar-SA"/>
              </w:rPr>
              <w:t>предназначена для защиты от пониженных температур и соответствует 4 классу защиты от пониженных температур воздуха и ветра, предназначена для эксплуатации в I, II, III, IV и особом климатических поясах. Защитные свойства (обозначение согласно ГОСТ 12.4.103-83) – Тнв. Должен соответствовать ТР ТС 019/2011.</w:t>
            </w:r>
          </w:p>
          <w:p>
            <w:pPr>
              <w:pStyle w:val="Normal"/>
              <w:widowControl w:val="false"/>
              <w:spacing w:before="60" w:after="60"/>
              <w:jc w:val="center"/>
              <w:rPr>
                <w:b/>
                <w:bCs/>
                <w:sz w:val="22"/>
                <w:szCs w:val="22"/>
              </w:rPr>
            </w:pPr>
            <w:r>
              <w:rPr/>
              <w:drawing>
                <wp:inline distT="0" distB="0" distL="0" distR="0">
                  <wp:extent cx="1650365" cy="1989455"/>
                  <wp:effectExtent l="0" t="0" r="0" b="0"/>
                  <wp:docPr id="10" name="Рисунок 35 Копия 1 Копия 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5 Копия 1 Копия 1 Копия 1" descr=""/>
                          <pic:cNvPicPr>
                            <a:picLocks noChangeAspect="1" noChangeArrowheads="1"/>
                          </pic:cNvPicPr>
                        </pic:nvPicPr>
                        <pic:blipFill>
                          <a:blip r:embed="rId18"/>
                          <a:stretch>
                            <a:fillRect/>
                          </a:stretch>
                        </pic:blipFill>
                        <pic:spPr bwMode="auto">
                          <a:xfrm>
                            <a:off x="0" y="0"/>
                            <a:ext cx="1650365" cy="1989455"/>
                          </a:xfrm>
                          <a:prstGeom prst="rect">
                            <a:avLst/>
                          </a:prstGeom>
                        </pic:spPr>
                      </pic:pic>
                    </a:graphicData>
                  </a:graphic>
                </wp:inline>
              </w:drawing>
            </w:r>
          </w:p>
          <w:p>
            <w:pPr>
              <w:pStyle w:val="Normal"/>
              <w:widowControl w:val="false"/>
              <w:spacing w:before="60" w:after="60"/>
              <w:jc w:val="center"/>
              <w:rPr>
                <w:b/>
                <w:bCs/>
                <w:sz w:val="22"/>
                <w:szCs w:val="22"/>
              </w:rPr>
            </w:pPr>
            <w:r>
              <w:rPr>
                <w:b/>
                <w:bCs/>
                <w:sz w:val="22"/>
                <w:szCs w:val="22"/>
              </w:rPr>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Куртка должна быть выполнена из ткани темно-синего цвета с отделкой голубого и флуоресцентного красного цвета, с элементами повышенной видимости серого цвета. Прямого силуэта, с притачной утепляющей подкладкой (ткань верха + 3 слоя утеплителя + спандбонд + подкладка), с втачными рукавами, с воротником – стойка, со съемным утепленным капюшоном, с центральной бортовой застежкой на двухзамковую тесьму-молнию, с планкой под молнию с мягким трикотажем в верхней части, с ветрозащитным клапаном, фиксирующимся на шесть потайных кнопок. На нижнюю часть ветрозащитного клапана, в области установки кнопок, настрочена отделочная тесьма флуоресцентного красного цвета.</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Полочки с кокетками, вверху которых должны быть нанесены световозвращающие термопринты в виде треугольников с кантами по швам притачивания кокеток: двумя кантам вверху кокеток - световозвращающим и голубым, внизу кокеток – с световозвращающим кантом. Полочки с рельефами от проймы до низа, с вертикальными прорезными карманами внизу рельефных швов с застежкой на тесьму- молнию с листочками, со световозвращающим кантом по шву притачивания и кантом красного цвета по верхнему шву. Правая полочка с нагрудным накладным карманом с объемом внизу и с клапаном, который фиксируется на контактную ленту посередине. Верхний срез клапана входит в шов притачивания кокетки, под клапаном расположена петля для крепления бейджа.  В нижний шов настрачивания правого кармана вставлена шлевка из отделочной тесьмы флуоресцентного красно-голубого цвета с полукольцом. Левая полочка с вертикальным нагрудным прорезным карманом, застегивающимся на молнию красно-голубого цвета с втачной деталью (тоннель) вверху кармана, закрывающей замок. В левом борте между швом притачивания молнии и швом настрачивания ветрозащитного клапана расположен прорезной карман для документов формата А 4 с застежкой молнией. Внизу правой полочки нанесены пиктограммы, обозначающие назначение куртки и характеристику ткани.</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Для удобства пользования молниями центральной застежки и прорезных карманов должны быть предусмотрены слайдеры флуоресцентного красного цвета. Спинка, удлиненная с двумя вертикальными рельефами от проймы до отрезной части спинки, с притачной кокеткой, переходящей в сторону полочек. По нижнему шву притачивания кокетки проходят два канта шириной 3 мм: световозвращающий и голубой. Вверху спинки нанесен световозвращающий термопринт в виде треугольника. Нижняя часть спинки с фигурной линией низа. Рукава втачные состоят из передней, средней и локтевой деталей с поперечным членением ниже уровня локтя. Нижняя отрезная передняя и локтевая часть рукавов должна быть выполнена из ткани темно-синего цвета, как место наиболее подверженное загрязнению. Передние и локтевые швы со световозвращающими кантами, низ средней части со световозвращающей термоактивной сегментированной лентой. Внизу передней части левого рукава расположен прорезной карман с листочкой с втачными концами с застежкой на молнию с внутренней обтачкой голубого цвета. Низ рукава должен регулироваться по ширине патами с потайной кнопкой и двумя ответными частями, установленными на отделочную тесьму голубого цвета.</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Съемный утепленный капюшон (ткань верха + 1 слой утеплителя + спанбонд + подкладка из флиса) двухшовный, с козырьком и световозвращающим кантом по краю.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Средняя часть капюшона с вертикальной кулисой с фиксатором для регулирования высоты капюшона, фиксатор и кольцо-ограничитель скрыт под горизонтальной складкой. Капюшон пристегивается к горловине куртки на тесьму-молнию и к стойке воротника - на контактную ленту, которая пришита на «ушки» капюшона. Капюшон надевается на каску.  Воротник-стойка утепленный, со вставкой из отделочной ткани голубого цвета по отлету, с планкой и молнией для крепления капюшона по горловине. Внутренний воротник выполнен из мягкого трикотажного полотна. По концам внешнего воротника предусмотрены карманы с контактной лентой для заправки и фиксации «ушек» капюшона.  Внутренняя стойка воротника и верхняя часть планки под молнию выполнены из флиса с постоянными антипиллинговыми свойствами. Притачная утепляющая подкладка с нагрудными прорезными карманами «в рамку» с двумя отделочными кантами голубого и красного цвета, с застежкой на молнию, обработанными на усилителях из основной ткани.</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От горловины спинки до верха боковых швов должна быть расположена резинка в качестве лямок. Кулиса по талии, стянута шляпной резинкой, проходящей через две пары люверсов около подбортов и фиксаторы с кольцами-ограничителями, с ветрозащитной юбкой по шву настрачивания кулисы. Низ юбки стягивается латексной резинкой и фиксируется на две кнопки, установленные на обтачках по краям юбки. В нижнем шве кулисы расположены паты из отделочной тесьмы флуоресцентного красно-голубого цвета с ответной частью кнопки для крепления ветрозащитной юбки, когда она расстегнута.</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Рукава подкладки с трикотажными напульсниками с отверстием для большого пальца. Верхняя часть подкладки полочек и спинки выполнена из подкладки серебристого цвета, средняя часть спинки – из объемной 3D сетки с панелькой по горловине из основной ткани по центру, в нижний шов которой вставлена размерная этикетка. Швы стачивания средней части спинки оформлены отделочным кантом флуоресцентного красного цвета. По шву горловины спинки расположена удлиненная вешалка из отделочной тесьмы флуоресцентного красно-голубого цвета.</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Низ куртки обработан широкой фигурной обтачкой. Внизу проходит кулиса, которая стягивается шляпной резинкой, проходящей через две пары люверсов и петельки из эластичной резинки в боковых швах по низу подкладки с двумя фиксаторами и кольцами-ограничителями. На кулисах капюшона предусмотрены кольца-ограничители флуоресцентного красного цвета. Отделочные канты с наполнителем голубого и флуоресцентного красного цвета шириной 3мм.</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Элементы повышенной видимости: световозвращающий кант шир. 3 мм. проходит по швам притачивания кокеток полочек и спинки, по передним и локтевым швам рукавов в верхней части; световозвращающий сегментированный принт нанесен: вверху кокеток полочек и вверху спинки; световозвращающая термоактивная сегментированная лента шириной 45 мм нанесена внизу средней части рукавов.</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С внутренней стороны куртки предусмотрено наличие ленты ФИО, для определения принадлежности изделия.</w:t>
            </w:r>
          </w:p>
          <w:p>
            <w:pPr>
              <w:pStyle w:val="ListParagraph"/>
              <w:widowControl w:val="false"/>
              <w:numPr>
                <w:ilvl w:val="0"/>
                <w:numId w:val="26"/>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numPr>
                <w:ilvl w:val="0"/>
                <w:numId w:val="27"/>
              </w:numPr>
              <w:spacing w:before="60" w:after="60"/>
              <w:ind w:hanging="567" w:left="1985"/>
              <w:contextualSpacing w:val="false"/>
              <w:jc w:val="both"/>
              <w:rPr>
                <w:sz w:val="22"/>
                <w:szCs w:val="22"/>
              </w:rPr>
            </w:pPr>
            <w:r>
              <w:rPr>
                <w:rFonts w:cs="Times New Roman"/>
                <w:b/>
                <w:kern w:val="0"/>
                <w:sz w:val="22"/>
                <w:szCs w:val="22"/>
                <w:lang w:eastAsia="ru-RU" w:bidi="ar-SA"/>
              </w:rPr>
              <w:t>Тн</w:t>
            </w:r>
            <w:r>
              <w:rPr>
                <w:rFonts w:cs="Times New Roman"/>
                <w:kern w:val="0"/>
                <w:sz w:val="22"/>
                <w:szCs w:val="22"/>
                <w:lang w:eastAsia="ru-RU" w:bidi="ar-SA"/>
              </w:rPr>
              <w:t xml:space="preserve"> - защита от пониженных температур.</w:t>
            </w:r>
          </w:p>
          <w:p>
            <w:pPr>
              <w:pStyle w:val="ListParagraph"/>
              <w:widowControl w:val="false"/>
              <w:numPr>
                <w:ilvl w:val="0"/>
                <w:numId w:val="27"/>
              </w:numPr>
              <w:spacing w:before="60" w:after="60"/>
              <w:ind w:hanging="567" w:left="1985"/>
              <w:contextualSpacing w:val="false"/>
              <w:jc w:val="both"/>
              <w:rPr>
                <w:b/>
                <w:sz w:val="22"/>
                <w:szCs w:val="22"/>
              </w:rPr>
            </w:pPr>
            <w:r>
              <w:rPr>
                <w:rFonts w:cs="Times New Roman"/>
                <w:b/>
                <w:kern w:val="0"/>
                <w:sz w:val="22"/>
                <w:szCs w:val="22"/>
                <w:lang w:eastAsia="ru-RU" w:bidi="ar-SA"/>
              </w:rPr>
              <w:t>Класс защиты</w:t>
            </w:r>
            <w:r>
              <w:rPr>
                <w:rFonts w:cs="Times New Roman"/>
                <w:kern w:val="0"/>
                <w:sz w:val="22"/>
                <w:szCs w:val="22"/>
                <w:lang w:eastAsia="ru-RU" w:bidi="ar-SA"/>
              </w:rPr>
              <w:t xml:space="preserve"> 3(4);</w:t>
            </w:r>
          </w:p>
          <w:p>
            <w:pPr>
              <w:pStyle w:val="ListParagraph"/>
              <w:widowControl w:val="false"/>
              <w:numPr>
                <w:ilvl w:val="0"/>
                <w:numId w:val="27"/>
              </w:numPr>
              <w:spacing w:before="60" w:after="60"/>
              <w:ind w:hanging="567" w:left="1985"/>
              <w:contextualSpacing w:val="false"/>
              <w:jc w:val="both"/>
              <w:rPr>
                <w:sz w:val="22"/>
                <w:szCs w:val="22"/>
              </w:rPr>
            </w:pPr>
            <w:r>
              <w:rPr>
                <w:rFonts w:cs="Times New Roman"/>
                <w:b/>
                <w:kern w:val="0"/>
                <w:sz w:val="22"/>
                <w:szCs w:val="22"/>
                <w:lang w:eastAsia="ru-RU" w:bidi="ar-SA"/>
              </w:rPr>
              <w:t>Ми</w:t>
            </w:r>
            <w:r>
              <w:rPr>
                <w:rFonts w:cs="Times New Roman"/>
                <w:kern w:val="0"/>
                <w:sz w:val="22"/>
                <w:szCs w:val="22"/>
                <w:lang w:eastAsia="ru-RU" w:bidi="ar-SA"/>
              </w:rPr>
              <w:t xml:space="preserve"> - защита от механических воздействий (истирания);</w:t>
            </w:r>
          </w:p>
          <w:p>
            <w:pPr>
              <w:pStyle w:val="ListParagraph"/>
              <w:widowControl w:val="false"/>
              <w:numPr>
                <w:ilvl w:val="0"/>
                <w:numId w:val="27"/>
              </w:numPr>
              <w:spacing w:before="60" w:after="60"/>
              <w:ind w:hanging="567" w:left="1985"/>
              <w:contextualSpacing w:val="false"/>
              <w:jc w:val="both"/>
              <w:rPr>
                <w:sz w:val="22"/>
                <w:szCs w:val="22"/>
              </w:rPr>
            </w:pPr>
            <w:r>
              <w:rPr>
                <w:rFonts w:cs="Times New Roman"/>
                <w:b/>
                <w:kern w:val="0"/>
                <w:sz w:val="22"/>
                <w:szCs w:val="22"/>
                <w:lang w:eastAsia="ru-RU" w:bidi="ar-SA"/>
              </w:rPr>
              <w:t>З</w:t>
            </w:r>
            <w:r>
              <w:rPr>
                <w:rFonts w:cs="Times New Roman"/>
                <w:kern w:val="0"/>
                <w:sz w:val="22"/>
                <w:szCs w:val="22"/>
                <w:lang w:eastAsia="ru-RU" w:bidi="ar-SA"/>
              </w:rPr>
              <w:t xml:space="preserve"> - защита от общих производственных загрязнений.</w:t>
            </w:r>
          </w:p>
          <w:p>
            <w:pPr>
              <w:pStyle w:val="ListParagraph"/>
              <w:widowControl w:val="false"/>
              <w:numPr>
                <w:ilvl w:val="0"/>
                <w:numId w:val="27"/>
              </w:numPr>
              <w:spacing w:before="60" w:after="60"/>
              <w:ind w:hanging="567" w:left="1985"/>
              <w:contextualSpacing w:val="false"/>
              <w:jc w:val="both"/>
              <w:rPr>
                <w:sz w:val="22"/>
                <w:szCs w:val="22"/>
              </w:rPr>
            </w:pPr>
            <w:r>
              <w:rPr>
                <w:rFonts w:cs="Times New Roman"/>
                <w:b/>
                <w:bCs/>
                <w:kern w:val="0"/>
                <w:sz w:val="22"/>
                <w:szCs w:val="22"/>
                <w:lang w:eastAsia="ru-RU" w:bidi="ar-SA"/>
              </w:rPr>
              <w:t>Мп</w:t>
            </w:r>
            <w:r>
              <w:rPr>
                <w:rFonts w:cs="Times New Roman"/>
                <w:kern w:val="0"/>
                <w:sz w:val="22"/>
                <w:szCs w:val="22"/>
                <w:lang w:eastAsia="ru-RU" w:bidi="ar-SA"/>
              </w:rPr>
              <w:t xml:space="preserve"> - защита от механических воздействий (проколов и порезов).</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28"/>
              </w:numPr>
              <w:spacing w:before="60" w:after="60"/>
              <w:ind w:hanging="567" w:left="1418"/>
              <w:contextualSpacing w:val="false"/>
              <w:jc w:val="both"/>
              <w:rPr>
                <w:sz w:val="22"/>
                <w:szCs w:val="22"/>
              </w:rPr>
            </w:pPr>
            <w:r>
              <w:rPr>
                <w:rFonts w:cs="Times New Roman"/>
                <w:b/>
                <w:bCs/>
                <w:kern w:val="0"/>
                <w:sz w:val="22"/>
                <w:szCs w:val="22"/>
                <w:lang w:eastAsia="ru-RU" w:bidi="ar-SA"/>
              </w:rPr>
              <w:t>Утепляющий пакет</w:t>
            </w:r>
            <w:r>
              <w:rPr>
                <w:rFonts w:cs="Times New Roman"/>
                <w:kern w:val="0"/>
                <w:sz w:val="22"/>
                <w:szCs w:val="22"/>
                <w:lang w:eastAsia="ru-RU" w:bidi="ar-SA"/>
              </w:rPr>
              <w:t xml:space="preserve"> куртки выглядит следующим образом:</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Ткань верха + 3 слоя утеплителя + спанбонд + подкладка.</w:t>
            </w:r>
          </w:p>
          <w:p>
            <w:pPr>
              <w:pStyle w:val="ListParagraph"/>
              <w:widowControl w:val="false"/>
              <w:numPr>
                <w:ilvl w:val="0"/>
                <w:numId w:val="28"/>
              </w:numPr>
              <w:spacing w:before="60" w:after="60"/>
              <w:ind w:hanging="567" w:left="1418"/>
              <w:contextualSpacing w:val="false"/>
              <w:jc w:val="both"/>
              <w:rPr>
                <w:b/>
                <w:bCs/>
              </w:rPr>
            </w:pPr>
            <w:r>
              <w:rPr>
                <w:rFonts w:cs="Times New Roman"/>
                <w:b/>
                <w:bCs/>
                <w:kern w:val="0"/>
                <w:sz w:val="22"/>
                <w:szCs w:val="22"/>
                <w:lang w:eastAsia="ru-RU" w:bidi="ar-SA"/>
              </w:rPr>
              <w:t>Ткань верха:</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100% полиэфир, мембранная ткань, ветрозащитная, дышащая, морозостойкая, с водоотталкивающей отделкой, плотность не менее 140 г/кв.м. ; (водоупорность 6000 мм вод.ст.)</w:t>
            </w:r>
          </w:p>
          <w:p>
            <w:pPr>
              <w:pStyle w:val="ListParagraph"/>
              <w:widowControl w:val="false"/>
              <w:numPr>
                <w:ilvl w:val="0"/>
                <w:numId w:val="28"/>
              </w:numPr>
              <w:spacing w:before="60" w:after="60"/>
              <w:ind w:hanging="567" w:left="1418"/>
              <w:contextualSpacing w:val="false"/>
              <w:jc w:val="both"/>
              <w:rPr>
                <w:sz w:val="22"/>
                <w:szCs w:val="22"/>
              </w:rPr>
            </w:pPr>
            <w:r>
              <w:rPr>
                <w:rFonts w:cs="Times New Roman"/>
                <w:b/>
                <w:bCs/>
                <w:kern w:val="0"/>
                <w:sz w:val="22"/>
                <w:szCs w:val="22"/>
                <w:lang w:eastAsia="ru-RU" w:bidi="ar-SA"/>
              </w:rPr>
              <w:t>Основной цвет</w:t>
            </w:r>
            <w:r>
              <w:rPr>
                <w:rFonts w:cs="Times New Roman"/>
                <w:kern w:val="0"/>
                <w:sz w:val="22"/>
                <w:szCs w:val="22"/>
                <w:lang w:eastAsia="ru-RU" w:bidi="ar-SA"/>
              </w:rPr>
              <w:t xml:space="preserve"> — темно-синий.</w:t>
            </w:r>
          </w:p>
          <w:p>
            <w:pPr>
              <w:pStyle w:val="ListParagraph"/>
              <w:widowControl w:val="false"/>
              <w:numPr>
                <w:ilvl w:val="0"/>
                <w:numId w:val="28"/>
              </w:numPr>
              <w:spacing w:before="60" w:after="60"/>
              <w:ind w:hanging="567" w:left="1418"/>
              <w:contextualSpacing w:val="false"/>
              <w:jc w:val="both"/>
              <w:rPr>
                <w:sz w:val="22"/>
                <w:szCs w:val="22"/>
              </w:rPr>
            </w:pPr>
            <w:r>
              <w:rPr>
                <w:rFonts w:cs="Times New Roman"/>
                <w:b/>
                <w:bCs/>
                <w:kern w:val="0"/>
                <w:sz w:val="22"/>
                <w:szCs w:val="22"/>
                <w:lang w:eastAsia="ru-RU" w:bidi="ar-SA"/>
              </w:rPr>
              <w:t>Отделочный цвет</w:t>
            </w:r>
            <w:r>
              <w:rPr>
                <w:rFonts w:cs="Times New Roman"/>
                <w:kern w:val="0"/>
                <w:sz w:val="22"/>
                <w:szCs w:val="22"/>
                <w:lang w:eastAsia="ru-RU" w:bidi="ar-SA"/>
              </w:rPr>
              <w:t xml:space="preserve"> - флуоресцентный красный и голубой.</w:t>
            </w:r>
          </w:p>
          <w:p>
            <w:pPr>
              <w:pStyle w:val="ListParagraph"/>
              <w:widowControl w:val="false"/>
              <w:numPr>
                <w:ilvl w:val="0"/>
                <w:numId w:val="28"/>
              </w:numPr>
              <w:spacing w:before="60" w:after="60"/>
              <w:ind w:hanging="567" w:left="1418"/>
              <w:contextualSpacing w:val="false"/>
              <w:jc w:val="both"/>
              <w:rPr>
                <w:b/>
                <w:bCs/>
              </w:rPr>
            </w:pPr>
            <w:r>
              <w:rPr>
                <w:rFonts w:cs="Times New Roman"/>
                <w:b/>
                <w:bCs/>
                <w:kern w:val="0"/>
                <w:sz w:val="22"/>
                <w:szCs w:val="22"/>
                <w:lang w:eastAsia="ru-RU" w:bidi="ar-SA"/>
              </w:rPr>
              <w:t>Утеплитель:</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«Шелтер Микро» или соответствующий по своим качествам эквивалент, состав сырья 100% полиэфир, плотностью не менее 140 г/кв.м.</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Спанбонд необходим для предотвращения миграции утеплителя.</w:t>
            </w:r>
          </w:p>
          <w:p>
            <w:pPr>
              <w:pStyle w:val="ListParagraph"/>
              <w:widowControl w:val="false"/>
              <w:numPr>
                <w:ilvl w:val="0"/>
                <w:numId w:val="28"/>
              </w:numPr>
              <w:spacing w:before="60" w:after="60"/>
              <w:ind w:hanging="567" w:left="1418"/>
              <w:contextualSpacing w:val="false"/>
              <w:jc w:val="both"/>
              <w:rPr>
                <w:b/>
                <w:bCs/>
              </w:rPr>
            </w:pPr>
            <w:r>
              <w:rPr>
                <w:rFonts w:cs="Times New Roman"/>
                <w:b/>
                <w:bCs/>
                <w:kern w:val="0"/>
                <w:sz w:val="22"/>
                <w:szCs w:val="22"/>
                <w:lang w:eastAsia="ru-RU" w:bidi="ar-SA"/>
              </w:rPr>
              <w:t>Ткань подкладки:</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100% полиэфир, плотность не менее 60 г/кв.м.</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177" w:hRule="atLeast"/>
        </w:trPr>
        <w:tc>
          <w:tcPr>
            <w:tcW w:w="800"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b/>
                <w:bCs/>
                <w:i/>
                <w:kern w:val="0"/>
                <w:sz w:val="22"/>
                <w:szCs w:val="22"/>
                <w:lang w:eastAsia="ru-RU" w:bidi="ar-SA"/>
              </w:rPr>
              <w:t>Белье нательное (мужское/женское) + футболка</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Белье трикотажное должно быть изготовлено в соответствии с ГОСТ 31408-2009 «Изделия трикотажные бельевые для мужчин и мальчиков. Общие технические условия» и ТР ТС 017/2011 «О безопасности продукции легкой промышленности».</w:t>
            </w:r>
          </w:p>
          <w:p>
            <w:pPr>
              <w:pStyle w:val="Normal"/>
              <w:widowControl w:val="false"/>
              <w:spacing w:before="60" w:after="60"/>
              <w:jc w:val="center"/>
              <w:rPr>
                <w:sz w:val="22"/>
                <w:szCs w:val="22"/>
              </w:rPr>
            </w:pPr>
            <w:r>
              <w:rPr/>
              <w:drawing>
                <wp:inline distT="0" distB="0" distL="0" distR="0">
                  <wp:extent cx="1440180" cy="2037715"/>
                  <wp:effectExtent l="0" t="0" r="0" b="0"/>
                  <wp:docPr id="11" name="Рисунок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2" descr=""/>
                          <pic:cNvPicPr>
                            <a:picLocks noChangeAspect="1" noChangeArrowheads="1"/>
                          </pic:cNvPicPr>
                        </pic:nvPicPr>
                        <pic:blipFill>
                          <a:blip r:embed="rId19"/>
                          <a:stretch>
                            <a:fillRect/>
                          </a:stretch>
                        </pic:blipFill>
                        <pic:spPr bwMode="auto">
                          <a:xfrm>
                            <a:off x="0" y="0"/>
                            <a:ext cx="1440180" cy="203771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29"/>
              </w:numPr>
              <w:spacing w:before="60" w:after="60"/>
              <w:ind w:hanging="567" w:left="1418"/>
              <w:contextualSpacing w:val="false"/>
              <w:jc w:val="both"/>
              <w:rPr>
                <w:sz w:val="22"/>
                <w:szCs w:val="22"/>
              </w:rPr>
            </w:pPr>
            <w:r>
              <w:rPr>
                <w:rFonts w:cs="Times New Roman"/>
                <w:kern w:val="0"/>
                <w:sz w:val="22"/>
                <w:szCs w:val="22"/>
                <w:lang w:eastAsia="ru-RU" w:bidi="ar-SA"/>
              </w:rPr>
              <w:t>Белье состоит из фуфайки и кальсон.</w:t>
            </w:r>
          </w:p>
          <w:p>
            <w:pPr>
              <w:pStyle w:val="ListParagraph"/>
              <w:widowControl w:val="false"/>
              <w:numPr>
                <w:ilvl w:val="0"/>
                <w:numId w:val="29"/>
              </w:numPr>
              <w:spacing w:before="60" w:after="60"/>
              <w:ind w:hanging="567" w:left="1418"/>
              <w:contextualSpacing w:val="false"/>
              <w:jc w:val="both"/>
              <w:rPr>
                <w:sz w:val="22"/>
                <w:szCs w:val="22"/>
              </w:rPr>
            </w:pPr>
            <w:r>
              <w:rPr>
                <w:rFonts w:cs="Times New Roman"/>
                <w:kern w:val="0"/>
                <w:sz w:val="22"/>
                <w:szCs w:val="22"/>
                <w:lang w:eastAsia="ru-RU" w:bidi="ar-SA"/>
              </w:rPr>
              <w:t>Фуфайка выполнена с боковыми и плечевыми швами, с длинными рукавами. Внизу рукавов расположена притачная манжета. Вырез горловины обработан притачной обтачкой из основного трикотажного полотна. Низ фуфайки подогнут и застрочен.</w:t>
            </w:r>
          </w:p>
          <w:p>
            <w:pPr>
              <w:pStyle w:val="ListParagraph"/>
              <w:widowControl w:val="false"/>
              <w:numPr>
                <w:ilvl w:val="0"/>
                <w:numId w:val="29"/>
              </w:numPr>
              <w:spacing w:before="60" w:after="60"/>
              <w:ind w:hanging="567" w:left="1418"/>
              <w:contextualSpacing w:val="false"/>
              <w:jc w:val="both"/>
              <w:rPr>
                <w:sz w:val="22"/>
                <w:szCs w:val="22"/>
              </w:rPr>
            </w:pPr>
            <w:r>
              <w:rPr>
                <w:rFonts w:cs="Times New Roman"/>
                <w:kern w:val="0"/>
                <w:sz w:val="22"/>
                <w:szCs w:val="22"/>
                <w:lang w:eastAsia="ru-RU" w:bidi="ar-SA"/>
              </w:rPr>
              <w:t>Кальсоны выполнены с двойной ластовицей и шаговыми швами. Передний разрез обработан полоской из основного трикотажного полотна. Верхний срез кальсон застрочен и стянут эластичной тесьмой. Низ кальсон имеет притачную манжету.</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30"/>
              </w:numPr>
              <w:spacing w:before="60" w:after="60"/>
              <w:ind w:hanging="567" w:left="1418"/>
              <w:contextualSpacing w:val="false"/>
              <w:jc w:val="both"/>
              <w:rPr>
                <w:b/>
                <w:sz w:val="22"/>
                <w:szCs w:val="22"/>
              </w:rPr>
            </w:pPr>
            <w:r>
              <w:rPr>
                <w:rFonts w:cs="Times New Roman"/>
                <w:b/>
                <w:kern w:val="0"/>
                <w:sz w:val="22"/>
                <w:szCs w:val="22"/>
                <w:lang w:eastAsia="ru-RU" w:bidi="ar-SA"/>
              </w:rPr>
              <w:t>Ткань:</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Трикотажное полотно из хлопчатобумажной пряжи 100% хлопок, плотность не менее 180 г/кв.м.</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Наличие химических или механических повреждений на изделии не допускается.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017/2011. Маркировка должна быть нанесена несмываемой краской на русском языке, четкая и разборчивая.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177" w:hRule="atLeast"/>
        </w:trPr>
        <w:tc>
          <w:tcPr>
            <w:tcW w:w="8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sz w:val="22"/>
                <w:szCs w:val="22"/>
              </w:rPr>
            </w:r>
          </w:p>
        </w:tc>
        <w:tc>
          <w:tcPr>
            <w:tcW w:w="249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b/>
                <w:bCs/>
                <w:i/>
                <w:sz w:val="22"/>
                <w:szCs w:val="22"/>
              </w:rPr>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bCs/>
                <w:kern w:val="0"/>
                <w:sz w:val="22"/>
                <w:szCs w:val="22"/>
                <w:lang w:eastAsia="ru-RU" w:bidi="ar-SA"/>
              </w:rPr>
            </w:pPr>
            <w:r>
              <w:rPr>
                <w:rFonts w:eastAsia="Times New Roman" w:cs="Times New Roman"/>
                <w:b/>
                <w:bCs/>
                <w:kern w:val="0"/>
                <w:sz w:val="22"/>
                <w:szCs w:val="22"/>
                <w:lang w:eastAsia="ru-RU" w:bidi="ar-SA"/>
              </w:rPr>
              <w:t>Футболка должна быть изготовлена в соответствии с ТР ТС 017/2011 «О безопасности продукции легкой промышленности» и ГОСТ 31408-2009 «Изделия трикотажные бельевые для мужчин и мальчиков. Общие технические условия».</w:t>
            </w:r>
          </w:p>
          <w:p>
            <w:pPr>
              <w:pStyle w:val="Normal"/>
              <w:widowControl w:val="false"/>
              <w:jc w:val="center"/>
              <w:rPr>
                <w:rFonts w:ascii="Times New Roman" w:hAnsi="Times New Roman" w:eastAsia="Times New Roman" w:cs="Times New Roman"/>
                <w:b/>
                <w:bCs/>
                <w:kern w:val="0"/>
                <w:sz w:val="22"/>
                <w:szCs w:val="22"/>
                <w:lang w:eastAsia="ru-RU" w:bidi="ar-SA"/>
              </w:rPr>
            </w:pPr>
            <w:r>
              <w:rPr/>
              <w:drawing>
                <wp:inline distT="0" distB="0" distL="0" distR="0">
                  <wp:extent cx="818515" cy="989330"/>
                  <wp:effectExtent l="0" t="0" r="0" b="0"/>
                  <wp:docPr id="12"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8" descr=""/>
                          <pic:cNvPicPr>
                            <a:picLocks noChangeAspect="1" noChangeArrowheads="1"/>
                          </pic:cNvPicPr>
                        </pic:nvPicPr>
                        <pic:blipFill>
                          <a:blip r:embed="rId20"/>
                          <a:srcRect l="0" t="0" r="0" b="51502"/>
                          <a:stretch>
                            <a:fillRect/>
                          </a:stretch>
                        </pic:blipFill>
                        <pic:spPr bwMode="auto">
                          <a:xfrm>
                            <a:off x="0" y="0"/>
                            <a:ext cx="818515" cy="989330"/>
                          </a:xfrm>
                          <a:prstGeom prst="rect">
                            <a:avLst/>
                          </a:prstGeom>
                        </pic:spPr>
                      </pic:pic>
                    </a:graphicData>
                  </a:graphic>
                </wp:inline>
              </w:drawing>
            </w:r>
            <w:r>
              <w:rPr/>
              <w:drawing>
                <wp:inline distT="0" distB="0" distL="0" distR="0">
                  <wp:extent cx="817880" cy="1009015"/>
                  <wp:effectExtent l="0" t="0" r="0" b="0"/>
                  <wp:docPr id="13" name="Рисунок 9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9 Копия 1" descr=""/>
                          <pic:cNvPicPr>
                            <a:picLocks noChangeAspect="1" noChangeArrowheads="1"/>
                          </pic:cNvPicPr>
                        </pic:nvPicPr>
                        <pic:blipFill>
                          <a:blip r:embed="rId21"/>
                          <a:srcRect l="0" t="50516" r="0" b="0"/>
                          <a:stretch>
                            <a:fillRect/>
                          </a:stretch>
                        </pic:blipFill>
                        <pic:spPr bwMode="auto">
                          <a:xfrm>
                            <a:off x="0" y="0"/>
                            <a:ext cx="817880" cy="1009015"/>
                          </a:xfrm>
                          <a:prstGeom prst="rect">
                            <a:avLst/>
                          </a:prstGeom>
                        </pic:spPr>
                      </pic:pic>
                    </a:graphicData>
                  </a:graphic>
                </wp:inline>
              </w:drawing>
            </w:r>
          </w:p>
          <w:p>
            <w:pPr>
              <w:pStyle w:val="Normal"/>
              <w:widowControl w:val="false"/>
              <w:jc w:val="center"/>
              <w:rPr>
                <w:rFonts w:ascii="Times New Roman" w:hAnsi="Times New Roman" w:eastAsia="Times New Roman" w:cs="Times New Roman"/>
                <w:b/>
                <w:bCs/>
                <w:kern w:val="0"/>
                <w:sz w:val="22"/>
                <w:szCs w:val="22"/>
                <w:lang w:eastAsia="ru-RU" w:bidi="ar-SA"/>
              </w:rPr>
            </w:pPr>
            <w:r>
              <w:rPr>
                <w:rFonts w:eastAsia="Times New Roman" w:cs="Times New Roman" w:ascii="Times New Roman" w:hAnsi="Times New Roman"/>
                <w:b/>
                <w:bCs/>
                <w:kern w:val="0"/>
                <w:sz w:val="22"/>
                <w:szCs w:val="22"/>
                <w:lang w:eastAsia="ru-RU" w:bidi="ar-SA"/>
              </w:rPr>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Модель должна соответствовать следующим требованиям:</w:t>
            </w:r>
          </w:p>
          <w:p>
            <w:pPr>
              <w:pStyle w:val="Normal"/>
              <w:widowControl w:val="false"/>
              <w:spacing w:before="60" w:after="60"/>
              <w:ind w:left="709"/>
              <w:jc w:val="both"/>
              <w:rPr>
                <w:rFonts w:ascii="Times New Roman" w:hAnsi="Times New Roman" w:cs="Times New Roman"/>
                <w:kern w:val="0"/>
                <w:lang w:eastAsia="ru-RU" w:bidi="ar-SA"/>
              </w:rPr>
            </w:pPr>
            <w:r>
              <w:rPr>
                <w:rFonts w:cs="Times New Roman"/>
                <w:kern w:val="0"/>
                <w:sz w:val="22"/>
                <w:szCs w:val="22"/>
                <w:lang w:eastAsia="ru-RU" w:bidi="ar-SA"/>
              </w:rPr>
              <w:t>Футболка классического кроя с коротким рукавом. Вырез горловины выполняется круглой формы. Горловина обрабатывается бейкой-рибаной, втачанной в горловину. Вырез усилен тесьмой от плеча до плеча для лучшего сохранения формы. Низ изделия и низки рукавов обрабатываются швом в подгибку. Рукав короткий. Пройма футболки углублена для свободы движения.</w:t>
            </w:r>
          </w:p>
          <w:p>
            <w:pPr>
              <w:pStyle w:val="ListParagraph"/>
              <w:widowControl w:val="false"/>
              <w:numPr>
                <w:ilvl w:val="3"/>
                <w:numId w:val="10"/>
              </w:numPr>
              <w:spacing w:before="60" w:after="60"/>
              <w:contextualSpacing w:val="false"/>
              <w:jc w:val="both"/>
              <w:rPr>
                <w:rFonts w:ascii="Times New Roman" w:hAnsi="Times New Roman" w:cs="Times New Roman"/>
                <w:kern w:val="0"/>
                <w:sz w:val="22"/>
                <w:szCs w:val="22"/>
                <w:lang w:eastAsia="ru-RU" w:bidi="ar-SA"/>
              </w:rPr>
            </w:pPr>
            <w:r>
              <w:rPr>
                <w:rFonts w:cs="Times New Roman"/>
                <w:kern w:val="0"/>
                <w:sz w:val="22"/>
                <w:szCs w:val="22"/>
                <w:lang w:eastAsia="ru-RU" w:bidi="ar-SA"/>
              </w:rPr>
              <w:t>Применяемые материалы:</w:t>
            </w:r>
          </w:p>
          <w:p>
            <w:pPr>
              <w:pStyle w:val="ListParagraph"/>
              <w:widowControl w:val="false"/>
              <w:numPr>
                <w:ilvl w:val="0"/>
                <w:numId w:val="66"/>
              </w:numPr>
              <w:spacing w:before="60" w:after="60"/>
              <w:ind w:hanging="567" w:left="1418"/>
              <w:contextualSpacing w:val="false"/>
              <w:jc w:val="both"/>
              <w:rPr>
                <w:rFonts w:cs="Times New Roman"/>
                <w:b/>
                <w:kern w:val="0"/>
                <w:sz w:val="22"/>
                <w:szCs w:val="22"/>
                <w:lang w:eastAsia="ru-RU" w:bidi="ar-SA"/>
              </w:rPr>
            </w:pPr>
            <w:r>
              <w:rPr>
                <w:rFonts w:cs="Times New Roman"/>
                <w:b/>
                <w:kern w:val="0"/>
                <w:sz w:val="22"/>
                <w:szCs w:val="22"/>
                <w:lang w:eastAsia="ru-RU" w:bidi="ar-SA"/>
              </w:rPr>
              <w:t>Ткань:</w:t>
            </w:r>
          </w:p>
          <w:p>
            <w:pPr>
              <w:pStyle w:val="ListParagraph"/>
              <w:widowControl w:val="false"/>
              <w:spacing w:before="60" w:after="60"/>
              <w:ind w:left="1418"/>
              <w:contextualSpacing w:val="false"/>
              <w:jc w:val="both"/>
              <w:rPr>
                <w:rFonts w:cs="Times New Roman"/>
                <w:kern w:val="0"/>
                <w:sz w:val="22"/>
                <w:szCs w:val="22"/>
                <w:lang w:eastAsia="ru-RU" w:bidi="ar-SA"/>
              </w:rPr>
            </w:pPr>
            <w:r>
              <w:rPr>
                <w:rFonts w:cs="Times New Roman"/>
                <w:kern w:val="0"/>
                <w:sz w:val="22"/>
                <w:szCs w:val="22"/>
                <w:lang w:eastAsia="ru-RU" w:bidi="ar-SA"/>
              </w:rPr>
              <w:t>Трикотажное полотно, содержащее не менее 50% хлопковой пряжи с длинными и средними волокнами, плотностью не менее 180 г/кв. м.</w:t>
            </w:r>
          </w:p>
          <w:p>
            <w:pPr>
              <w:pStyle w:val="ListParagraph"/>
              <w:widowControl w:val="false"/>
              <w:numPr>
                <w:ilvl w:val="0"/>
                <w:numId w:val="66"/>
              </w:numPr>
              <w:spacing w:before="60" w:after="60"/>
              <w:ind w:hanging="567" w:left="1418"/>
              <w:contextualSpacing w:val="false"/>
              <w:jc w:val="both"/>
              <w:rPr>
                <w:rFonts w:ascii="Times New Roman" w:hAnsi="Times New Roman" w:cs="Times New Roman"/>
                <w:kern w:val="0"/>
                <w:sz w:val="22"/>
                <w:szCs w:val="22"/>
                <w:lang w:eastAsia="ru-RU" w:bidi="ar-SA"/>
              </w:rPr>
            </w:pPr>
            <w:r>
              <w:rPr>
                <w:rFonts w:cs="Times New Roman"/>
                <w:b/>
                <w:kern w:val="0"/>
                <w:sz w:val="22"/>
                <w:szCs w:val="22"/>
                <w:lang w:eastAsia="ru-RU" w:bidi="ar-SA"/>
              </w:rPr>
              <w:t>Цвет:</w:t>
            </w:r>
            <w:r>
              <w:rPr>
                <w:rFonts w:cs="Times New Roman"/>
                <w:kern w:val="0"/>
                <w:sz w:val="22"/>
                <w:szCs w:val="22"/>
                <w:lang w:eastAsia="ru-RU" w:bidi="ar-SA"/>
              </w:rPr>
              <w:t xml:space="preserve"> темно-синий.</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Куртка демисезонная (унисекс)</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kern w:val="0"/>
                <w:sz w:val="22"/>
                <w:szCs w:val="22"/>
                <w:lang w:eastAsia="ru-RU" w:bidi="ar-SA"/>
              </w:rPr>
              <w:t>Куртка изготовлена в соответствии с ТР ТС 019/2011 «О безопасности средств индивидуальной защиты».</w:t>
            </w:r>
          </w:p>
          <w:p>
            <w:pPr>
              <w:pStyle w:val="Normal"/>
              <w:widowControl w:val="false"/>
              <w:spacing w:before="60" w:after="60"/>
              <w:jc w:val="center"/>
              <w:rPr>
                <w:b/>
                <w:bCs/>
                <w:sz w:val="22"/>
                <w:szCs w:val="22"/>
              </w:rPr>
            </w:pPr>
            <w:r>
              <w:rPr/>
              <w:drawing>
                <wp:inline distT="0" distB="0" distL="0" distR="0">
                  <wp:extent cx="1652905" cy="2040255"/>
                  <wp:effectExtent l="0" t="0" r="0" b="0"/>
                  <wp:docPr id="14" name="Рисунок 37 Копия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7 Копия 2" descr=""/>
                          <pic:cNvPicPr>
                            <a:picLocks noChangeAspect="1" noChangeArrowheads="1"/>
                          </pic:cNvPicPr>
                        </pic:nvPicPr>
                        <pic:blipFill>
                          <a:blip r:embed="rId22"/>
                          <a:stretch>
                            <a:fillRect/>
                          </a:stretch>
                        </pic:blipFill>
                        <pic:spPr bwMode="auto">
                          <a:xfrm>
                            <a:off x="0" y="0"/>
                            <a:ext cx="1652905" cy="204025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характеристики:</w:t>
            </w:r>
          </w:p>
          <w:p>
            <w:pPr>
              <w:pStyle w:val="ListParagraph"/>
              <w:widowControl w:val="false"/>
              <w:numPr>
                <w:ilvl w:val="0"/>
                <w:numId w:val="31"/>
              </w:numPr>
              <w:spacing w:before="60" w:after="60"/>
              <w:ind w:hanging="567" w:left="1418"/>
              <w:contextualSpacing w:val="false"/>
              <w:jc w:val="both"/>
              <w:rPr>
                <w:sz w:val="22"/>
                <w:szCs w:val="22"/>
              </w:rPr>
            </w:pPr>
            <w:r>
              <w:rPr>
                <w:rFonts w:cs="Times New Roman"/>
                <w:kern w:val="0"/>
                <w:sz w:val="22"/>
                <w:szCs w:val="22"/>
                <w:lang w:eastAsia="ru-RU" w:bidi="ar-SA"/>
              </w:rPr>
              <w:t>Куртка - ветровка выполнена из тканей двух цветов: флуоресцентного желтого и темно-синего, с световозвращающими термоактивными полосами и   кантом, с притачной подкладкой, с проклеенными герметичными швами на ткани верха.</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Модель должна соответствовать следующим требованиям:</w:t>
            </w:r>
          </w:p>
          <w:p>
            <w:pPr>
              <w:pStyle w:val="ListParagraph"/>
              <w:widowControl w:val="false"/>
              <w:numPr>
                <w:ilvl w:val="0"/>
                <w:numId w:val="72"/>
              </w:numPr>
              <w:spacing w:before="60" w:after="60"/>
              <w:ind w:hanging="567" w:left="1418"/>
              <w:contextualSpacing w:val="false"/>
              <w:jc w:val="both"/>
              <w:rPr>
                <w:rFonts w:cs="Times New Roman"/>
                <w:kern w:val="0"/>
                <w:sz w:val="22"/>
                <w:szCs w:val="22"/>
                <w:lang w:eastAsia="ru-RU" w:bidi="ar-SA"/>
              </w:rPr>
            </w:pPr>
            <w:bookmarkStart w:id="52" w:name="_GoBack"/>
            <w:r>
              <w:rPr>
                <w:rFonts w:cs="Times New Roman"/>
                <w:kern w:val="0"/>
                <w:sz w:val="22"/>
                <w:szCs w:val="22"/>
                <w:lang w:eastAsia="ru-RU" w:bidi="ar-SA"/>
              </w:rPr>
              <w:t>Куртка - ветровка удлиненная, прямого силуэта, с центральной бортовой застежкой на двухзамковую тесьму-молнию до верха воротника, с планкой под молнию справа, огибающей замок вверху, с ветрозащитным клапаном, который фиксируется на пять потайных пластмассовых кнопок, в т.ч. на воротнике-стойке, с втачными рукавами, со съемным капюшоном, с кулисой по низу.</w:t>
            </w:r>
            <w:bookmarkEnd w:id="52"/>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 xml:space="preserve">Полочки состоят из наклонных кокеток, средних и нижних частей. В верхней части кокеток полочек расположены шлевки для крепления рации. Средняя часть полочек с накладными карманами с клапанами со скошенными уголками, которые фиксируются на контактную ленту по краям входа в карман. Карманы объемные со стороны проймы и низа. На кармане слева предусмотрен съёмный навесной универсальный карман для пропуска из пленки ПВХ (пропуск можно вставлять как вертикально, так и горизонтально), который фиксируется на тесьму с кнопкой, выходящей из шва кокетки. Нижние части полочек с боковыми наклонными прорезными карманами с застежкой на молнию, закрытые клапаном (имитация листочки). </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Верхние срезы клапанов входят в шов стачивания частей полочки, нижние срезы клапанов настрочные. Вход в карманы выполнен снизу (со стороны борта).  Для удобства пользования молниями центральной застежки и карманов предусмотрены слайдеры. Спинка удлиненная, с кокеткой со смещенными плечевыми швами в сторону полочек, средней и нижней частями, с фигурной линией низа.  Рукава двухшовные с локтевым швом и отрезной нижней частью. Низ рукава обработан швом в подгибку с закрытым срезом и регулируется по ширине патами с фиксацией на контактную ленту.  Воротник-стойка с планкой и молнией, с ответными частями кнопок для крепления капюшона по горловине.</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Съемный капюшон на подкладке двухшовный, с козырьком. По лицевому вырезу капюшона проходит кулиса, которая стягивается шляпной резинкой, проходящей через две пары люверсов и фиксаторы с кольцами-ограничителями. Средняя часть капюшона стачная с патой, фиксирующейся на контактную ленту. Капюшон пристегивается к горловине куртки на тесьму-молнию и кнопки по краям. Капюшон надевается на каску.  Притачная подкладка с нагрудным накладным карманом с застежкой на молнию, на левой полочке, обработанным на усилителе из основной ткани в верхней части. По шву горловины спинки расположена вешалка с фирменной символикой.</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Низ куртки обработан широкой фигурной обтачкой. Внизу проходит кулиса, которая стягивается шляпной резинкой, проходящей через две пары люверсов и петельки в боковых швах по низу подкладки и двумя фиксаторами с кольцами-ограничителями. Все отделочные строчки и автоматические закрепки выполнены нитками в цвет ткани, по которой проходит строчка.</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Световозвращающие термоактивные сегментированные полосы шириной 60мм серого цвета расположены:</w:t>
            </w:r>
          </w:p>
          <w:p>
            <w:pPr>
              <w:pStyle w:val="ListParagraph"/>
              <w:widowControl w:val="false"/>
              <w:numPr>
                <w:ilvl w:val="0"/>
                <w:numId w:val="32"/>
              </w:numPr>
              <w:spacing w:before="60" w:after="60"/>
              <w:ind w:hanging="567" w:left="1985"/>
              <w:contextualSpacing w:val="false"/>
              <w:jc w:val="both"/>
              <w:rPr>
                <w:rFonts w:cs="Times New Roman"/>
                <w:kern w:val="0"/>
                <w:sz w:val="22"/>
                <w:szCs w:val="22"/>
                <w:lang w:eastAsia="ru-RU" w:bidi="ar-SA"/>
              </w:rPr>
            </w:pPr>
            <w:r>
              <w:rPr>
                <w:rFonts w:cs="Times New Roman"/>
                <w:kern w:val="0"/>
                <w:sz w:val="22"/>
                <w:szCs w:val="22"/>
                <w:lang w:eastAsia="ru-RU" w:bidi="ar-SA"/>
              </w:rPr>
              <w:t>две охватывающие полосы вокруг торса (на полочках и спинке);</w:t>
            </w:r>
          </w:p>
          <w:p>
            <w:pPr>
              <w:pStyle w:val="ListParagraph"/>
              <w:widowControl w:val="false"/>
              <w:numPr>
                <w:ilvl w:val="0"/>
                <w:numId w:val="32"/>
              </w:numPr>
              <w:spacing w:before="60" w:after="60"/>
              <w:ind w:hanging="567" w:left="1985"/>
              <w:contextualSpacing w:val="false"/>
              <w:jc w:val="both"/>
              <w:rPr>
                <w:rFonts w:cs="Times New Roman"/>
                <w:kern w:val="0"/>
                <w:sz w:val="22"/>
                <w:szCs w:val="22"/>
                <w:lang w:eastAsia="ru-RU" w:bidi="ar-SA"/>
              </w:rPr>
            </w:pPr>
            <w:r>
              <w:rPr>
                <w:rFonts w:cs="Times New Roman"/>
                <w:kern w:val="0"/>
                <w:sz w:val="22"/>
                <w:szCs w:val="22"/>
                <w:lang w:eastAsia="ru-RU" w:bidi="ar-SA"/>
              </w:rPr>
              <w:t>две охватывающие полосы на рукавах, на том же уровне, что и на торсе.</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Куртка относится к 2-му классу сигнальной одежды повышенной видимости в соответствии с ГОСТ:</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 площадь фонового материала составляет 0,54 кв.м при норме 0,50 кв.м;</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 площадь световозвращающего материала 0,21 кв.м при норме 0,13 кв.м.</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Элементы повышенной видимости:</w:t>
            </w:r>
          </w:p>
          <w:p>
            <w:pPr>
              <w:pStyle w:val="ListParagraph"/>
              <w:widowControl w:val="false"/>
              <w:numPr>
                <w:ilvl w:val="0"/>
                <w:numId w:val="70"/>
              </w:numPr>
              <w:spacing w:before="60" w:after="60"/>
              <w:ind w:hanging="567" w:left="1985"/>
              <w:contextualSpacing w:val="false"/>
              <w:jc w:val="both"/>
              <w:rPr>
                <w:rFonts w:cs="Times New Roman"/>
                <w:kern w:val="0"/>
                <w:sz w:val="22"/>
                <w:szCs w:val="22"/>
                <w:lang w:eastAsia="ru-RU" w:bidi="ar-SA"/>
              </w:rPr>
            </w:pPr>
            <w:r>
              <w:rPr>
                <w:rFonts w:cs="Times New Roman"/>
                <w:kern w:val="0"/>
                <w:sz w:val="22"/>
                <w:szCs w:val="22"/>
                <w:lang w:eastAsia="ru-RU" w:bidi="ar-SA"/>
              </w:rPr>
              <w:t>вертикальные термоактивные сегментированные полосы шириной 60 мм, проходящие через плечи по кокетке спинки (площадь не учитывается).</w:t>
            </w:r>
          </w:p>
          <w:p>
            <w:pPr>
              <w:pStyle w:val="ListParagraph"/>
              <w:widowControl w:val="false"/>
              <w:numPr>
                <w:ilvl w:val="0"/>
                <w:numId w:val="70"/>
              </w:numPr>
              <w:spacing w:before="60" w:after="60"/>
              <w:ind w:hanging="567" w:left="1985"/>
              <w:contextualSpacing w:val="false"/>
              <w:jc w:val="both"/>
              <w:rPr>
                <w:rFonts w:cs="Times New Roman"/>
                <w:kern w:val="0"/>
                <w:sz w:val="22"/>
                <w:szCs w:val="22"/>
                <w:lang w:eastAsia="ru-RU" w:bidi="ar-SA"/>
              </w:rPr>
            </w:pPr>
            <w:r>
              <w:rPr>
                <w:rFonts w:cs="Times New Roman"/>
                <w:kern w:val="0"/>
                <w:sz w:val="22"/>
                <w:szCs w:val="22"/>
                <w:lang w:eastAsia="ru-RU" w:bidi="ar-SA"/>
              </w:rPr>
              <w:t>плоский СВ кант шир. 3 мм проходит по швам притачивания кокеток полочек, по шву притачивания козырька капюшона куртки.</w:t>
            </w:r>
          </w:p>
          <w:p>
            <w:pPr>
              <w:pStyle w:val="ListParagraph"/>
              <w:widowControl w:val="false"/>
              <w:numPr>
                <w:ilvl w:val="0"/>
                <w:numId w:val="72"/>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numPr>
                <w:ilvl w:val="0"/>
                <w:numId w:val="71"/>
              </w:numPr>
              <w:spacing w:before="60" w:after="60"/>
              <w:ind w:hanging="567" w:left="1985"/>
              <w:contextualSpacing w:val="false"/>
              <w:jc w:val="both"/>
              <w:rPr>
                <w:rFonts w:cs="Times New Roman"/>
                <w:kern w:val="0"/>
                <w:sz w:val="22"/>
                <w:szCs w:val="22"/>
                <w:lang w:eastAsia="ru-RU" w:bidi="ar-SA"/>
              </w:rPr>
            </w:pPr>
            <w:r>
              <w:rPr>
                <w:rFonts w:cs="Times New Roman"/>
                <w:b/>
                <w:kern w:val="0"/>
                <w:sz w:val="22"/>
                <w:szCs w:val="22"/>
                <w:lang w:eastAsia="ru-RU" w:bidi="ar-SA"/>
              </w:rPr>
              <w:t xml:space="preserve">Ми </w:t>
            </w:r>
            <w:r>
              <w:rPr>
                <w:rFonts w:cs="Times New Roman"/>
                <w:kern w:val="0"/>
                <w:sz w:val="22"/>
                <w:szCs w:val="22"/>
                <w:lang w:eastAsia="ru-RU" w:bidi="ar-SA"/>
              </w:rPr>
              <w:t>- защита от механических воздействий (истирания);</w:t>
            </w:r>
          </w:p>
          <w:p>
            <w:pPr>
              <w:pStyle w:val="ListParagraph"/>
              <w:widowControl w:val="false"/>
              <w:numPr>
                <w:ilvl w:val="0"/>
                <w:numId w:val="71"/>
              </w:numPr>
              <w:spacing w:before="60" w:after="60"/>
              <w:ind w:hanging="567" w:left="1985"/>
              <w:contextualSpacing w:val="false"/>
              <w:jc w:val="both"/>
              <w:rPr>
                <w:b/>
                <w:sz w:val="22"/>
                <w:szCs w:val="22"/>
              </w:rPr>
            </w:pPr>
            <w:r>
              <w:rPr>
                <w:rFonts w:cs="Times New Roman"/>
                <w:b/>
                <w:kern w:val="0"/>
                <w:sz w:val="22"/>
                <w:szCs w:val="22"/>
                <w:lang w:eastAsia="ru-RU" w:bidi="ar-SA"/>
              </w:rPr>
              <w:t xml:space="preserve">З </w:t>
            </w:r>
            <w:r>
              <w:rPr>
                <w:rFonts w:cs="Times New Roman"/>
                <w:kern w:val="0"/>
                <w:sz w:val="22"/>
                <w:szCs w:val="22"/>
                <w:lang w:eastAsia="ru-RU" w:bidi="ar-SA"/>
              </w:rPr>
              <w:t>- защита от общих производственных загрязнений.</w:t>
            </w:r>
          </w:p>
          <w:p>
            <w:pPr>
              <w:pStyle w:val="ListParagraph"/>
              <w:widowControl w:val="false"/>
              <w:numPr>
                <w:ilvl w:val="0"/>
                <w:numId w:val="71"/>
              </w:numPr>
              <w:spacing w:before="60" w:after="60"/>
              <w:ind w:hanging="567" w:left="1985"/>
              <w:contextualSpacing w:val="false"/>
              <w:jc w:val="both"/>
              <w:rPr>
                <w:b/>
                <w:sz w:val="22"/>
                <w:szCs w:val="22"/>
              </w:rPr>
            </w:pPr>
            <w:r>
              <w:rPr>
                <w:rFonts w:cs="Times New Roman"/>
                <w:b/>
                <w:bCs/>
                <w:kern w:val="0"/>
                <w:sz w:val="22"/>
                <w:szCs w:val="22"/>
                <w:lang w:eastAsia="ru-RU" w:bidi="ar-SA"/>
              </w:rPr>
              <w:t>Мп</w:t>
            </w:r>
            <w:r>
              <w:rPr>
                <w:rFonts w:cs="Times New Roman"/>
                <w:kern w:val="0"/>
                <w:sz w:val="22"/>
                <w:szCs w:val="22"/>
                <w:lang w:eastAsia="ru-RU" w:bidi="ar-SA"/>
              </w:rPr>
              <w:t xml:space="preserve"> - защита от механических воздействий: проколов, порезов</w:t>
            </w:r>
          </w:p>
          <w:p>
            <w:pPr>
              <w:pStyle w:val="ListParagraph"/>
              <w:widowControl w:val="false"/>
              <w:numPr>
                <w:ilvl w:val="0"/>
                <w:numId w:val="71"/>
              </w:numPr>
              <w:spacing w:before="60" w:after="60"/>
              <w:ind w:hanging="567" w:left="1985"/>
              <w:contextualSpacing w:val="false"/>
              <w:jc w:val="both"/>
              <w:rPr>
                <w:b/>
                <w:sz w:val="22"/>
                <w:szCs w:val="22"/>
              </w:rPr>
            </w:pPr>
            <w:r>
              <w:rPr>
                <w:rFonts w:cs="Times New Roman"/>
                <w:b/>
                <w:bCs/>
                <w:kern w:val="0"/>
                <w:sz w:val="22"/>
                <w:szCs w:val="22"/>
                <w:lang w:eastAsia="ru-RU" w:bidi="ar-SA"/>
              </w:rPr>
              <w:t>Вн</w:t>
            </w:r>
            <w:r>
              <w:rPr>
                <w:rFonts w:cs="Times New Roman"/>
                <w:kern w:val="0"/>
                <w:sz w:val="22"/>
                <w:szCs w:val="22"/>
                <w:lang w:eastAsia="ru-RU" w:bidi="ar-SA"/>
              </w:rPr>
              <w:t xml:space="preserve"> - защита от механических воздействий: воды (водонепроницаемая)</w:t>
            </w:r>
          </w:p>
          <w:p>
            <w:pPr>
              <w:pStyle w:val="ListParagraph"/>
              <w:widowControl w:val="false"/>
              <w:numPr>
                <w:ilvl w:val="0"/>
                <w:numId w:val="71"/>
              </w:numPr>
              <w:spacing w:before="60" w:after="60"/>
              <w:ind w:hanging="567" w:left="1985"/>
              <w:contextualSpacing w:val="false"/>
              <w:jc w:val="both"/>
              <w:rPr>
                <w:b/>
                <w:sz w:val="22"/>
                <w:szCs w:val="22"/>
              </w:rPr>
            </w:pPr>
            <w:r>
              <w:rPr>
                <w:rFonts w:cs="Times New Roman"/>
                <w:b/>
                <w:bCs/>
                <w:kern w:val="0"/>
                <w:sz w:val="22"/>
                <w:szCs w:val="22"/>
                <w:lang w:eastAsia="ru-RU" w:bidi="ar-SA"/>
              </w:rPr>
              <w:t>Эс</w:t>
            </w:r>
            <w:r>
              <w:rPr>
                <w:rFonts w:cs="Times New Roman"/>
                <w:kern w:val="0"/>
                <w:sz w:val="22"/>
                <w:szCs w:val="22"/>
                <w:lang w:eastAsia="ru-RU" w:bidi="ar-SA"/>
              </w:rPr>
              <w:t xml:space="preserve"> - защита от воздействия статического электричества</w:t>
            </w:r>
          </w:p>
          <w:p>
            <w:pPr>
              <w:pStyle w:val="ListParagraph"/>
              <w:widowControl w:val="false"/>
              <w:numPr>
                <w:ilvl w:val="0"/>
                <w:numId w:val="71"/>
              </w:numPr>
              <w:spacing w:before="60" w:after="60"/>
              <w:ind w:hanging="567" w:left="1985"/>
              <w:contextualSpacing w:val="false"/>
              <w:jc w:val="both"/>
              <w:rPr>
                <w:b/>
                <w:sz w:val="22"/>
                <w:szCs w:val="22"/>
              </w:rPr>
            </w:pPr>
            <w:r>
              <w:rPr>
                <w:rFonts w:cs="Times New Roman"/>
                <w:b/>
                <w:bCs/>
                <w:kern w:val="0"/>
                <w:sz w:val="22"/>
                <w:szCs w:val="22"/>
                <w:lang w:eastAsia="ru-RU" w:bidi="ar-SA"/>
              </w:rPr>
              <w:t>Со</w:t>
            </w:r>
            <w:r>
              <w:rPr>
                <w:rFonts w:cs="Times New Roman"/>
                <w:kern w:val="0"/>
                <w:sz w:val="22"/>
                <w:szCs w:val="22"/>
                <w:lang w:eastAsia="ru-RU" w:bidi="ar-SA"/>
              </w:rPr>
              <w:t xml:space="preserve"> - одежда специальная сигнальная повышенной видимости</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33"/>
              </w:numPr>
              <w:spacing w:before="60" w:after="60"/>
              <w:ind w:hanging="567" w:left="1418"/>
              <w:contextualSpacing w:val="false"/>
              <w:jc w:val="both"/>
              <w:rPr>
                <w:b/>
                <w:sz w:val="22"/>
                <w:szCs w:val="22"/>
              </w:rPr>
            </w:pPr>
            <w:r>
              <w:rPr>
                <w:rFonts w:cs="Times New Roman"/>
                <w:b/>
                <w:kern w:val="0"/>
                <w:sz w:val="22"/>
                <w:szCs w:val="22"/>
                <w:lang w:eastAsia="ru-RU" w:bidi="ar-SA"/>
              </w:rPr>
              <w:t xml:space="preserve">Фоновая ткань: </w:t>
            </w:r>
            <w:r>
              <w:rPr>
                <w:rFonts w:cs="Times New Roman"/>
                <w:kern w:val="0"/>
                <w:sz w:val="22"/>
                <w:szCs w:val="22"/>
                <w:lang w:eastAsia="ru-RU" w:bidi="ar-SA"/>
              </w:rPr>
              <w:t>100% полиэфир, Вид отделки: НМВО</w:t>
            </w:r>
          </w:p>
          <w:p>
            <w:pPr>
              <w:pStyle w:val="ListParagraph"/>
              <w:widowControl w:val="false"/>
              <w:numPr>
                <w:ilvl w:val="0"/>
                <w:numId w:val="33"/>
              </w:numPr>
              <w:spacing w:before="60" w:after="60"/>
              <w:ind w:hanging="567" w:left="1418"/>
              <w:contextualSpacing w:val="false"/>
              <w:jc w:val="both"/>
              <w:rPr>
                <w:b/>
                <w:sz w:val="22"/>
                <w:szCs w:val="22"/>
              </w:rPr>
            </w:pPr>
            <w:r>
              <w:rPr>
                <w:rFonts w:cs="Times New Roman"/>
                <w:b/>
                <w:kern w:val="0"/>
                <w:sz w:val="22"/>
                <w:szCs w:val="22"/>
                <w:lang w:eastAsia="ru-RU" w:bidi="ar-SA"/>
              </w:rPr>
              <w:t xml:space="preserve">Ткань верха: </w:t>
            </w:r>
            <w:r>
              <w:rPr>
                <w:rFonts w:cs="Times New Roman"/>
                <w:kern w:val="0"/>
                <w:sz w:val="22"/>
                <w:szCs w:val="22"/>
                <w:lang w:eastAsia="ru-RU" w:bidi="ar-SA"/>
              </w:rPr>
              <w:t>100% полиэфир, Вид отделки: НМВО</w:t>
            </w:r>
          </w:p>
          <w:p>
            <w:pPr>
              <w:pStyle w:val="ListParagraph"/>
              <w:widowControl w:val="false"/>
              <w:numPr>
                <w:ilvl w:val="0"/>
                <w:numId w:val="33"/>
              </w:numPr>
              <w:spacing w:before="60" w:after="60"/>
              <w:ind w:hanging="567" w:left="1418"/>
              <w:contextualSpacing w:val="false"/>
              <w:jc w:val="both"/>
              <w:rPr>
                <w:b/>
                <w:sz w:val="22"/>
                <w:szCs w:val="22"/>
              </w:rPr>
            </w:pPr>
            <w:r>
              <w:rPr>
                <w:rFonts w:cs="Times New Roman"/>
                <w:b/>
                <w:kern w:val="0"/>
                <w:sz w:val="22"/>
                <w:szCs w:val="22"/>
                <w:lang w:eastAsia="ru-RU" w:bidi="ar-SA"/>
              </w:rPr>
              <w:t xml:space="preserve">Подкладка: </w:t>
            </w:r>
            <w:r>
              <w:rPr>
                <w:rFonts w:cs="Times New Roman"/>
                <w:kern w:val="0"/>
                <w:sz w:val="22"/>
                <w:szCs w:val="22"/>
                <w:lang w:eastAsia="ru-RU" w:bidi="ar-SA"/>
              </w:rPr>
              <w:t>100% полиэфир, Плотность: 51 г/кв.м</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ГОСТ ЕN 340 – 2012 и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b/>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sz w:val="22"/>
                <w:szCs w:val="22"/>
              </w:rPr>
            </w:pPr>
            <w:r>
              <w:rPr>
                <w:rFonts w:eastAsia="Times New Roman" w:cs="Times New Roman"/>
                <w:b/>
                <w:bCs/>
                <w:kern w:val="0"/>
                <w:sz w:val="22"/>
                <w:szCs w:val="22"/>
                <w:lang w:eastAsia="ru-RU" w:bidi="ar-SA"/>
              </w:rPr>
              <w:t>Требования к конструкции спецодежды для защиты от термических рисков электрической дуги</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Костюм летний для защиты от термических рисков электрической дуги корпоративный</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Костюм для защиты от термических рисков электрической дуги в соответствии с ТР ТС 019/2011 «О безопасности средств индивидуальной защиты».</w:t>
            </w:r>
          </w:p>
          <w:p>
            <w:pPr>
              <w:pStyle w:val="Normal"/>
              <w:widowControl w:val="false"/>
              <w:spacing w:before="60" w:after="60"/>
              <w:jc w:val="center"/>
              <w:rPr>
                <w:sz w:val="22"/>
                <w:szCs w:val="22"/>
              </w:rPr>
            </w:pPr>
            <w:r>
              <w:rPr/>
              <mc:AlternateContent>
                <mc:Choice Requires="wps">
                  <w:drawing>
                    <wp:anchor behindDoc="0" distT="0" distB="0" distL="114300" distR="0" simplePos="0" locked="0" layoutInCell="1" allowOverlap="1" relativeHeight="27">
                      <wp:simplePos x="0" y="0"/>
                      <wp:positionH relativeFrom="column">
                        <wp:posOffset>635</wp:posOffset>
                      </wp:positionH>
                      <wp:positionV relativeFrom="paragraph">
                        <wp:posOffset>635</wp:posOffset>
                      </wp:positionV>
                      <wp:extent cx="635000" cy="635000"/>
                      <wp:effectExtent l="635" t="0" r="0" b="0"/>
                      <wp:wrapNone/>
                      <wp:docPr id="15" name="_x0000_tole_rId26"/>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_x0000_tole_rId26" stroked="f" o:allowincell="t" style="position:absolute;margin-left:0.05pt;margin-top:0pt;width:49.95pt;height:49.95pt;mso-wrap-style:none;v-text-anchor:middle" type="_x0000_t75">
                      <v:fill o:detectmouseclick="t" on="false"/>
                      <v:stroke color="#3465a4" joinstyle="round" endcap="flat"/>
                      <w10:wrap type="none"/>
                    </v:shape>
                  </w:pict>
                </mc:Fallback>
              </mc:AlternateContent>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131pt;height:79.5pt;mso-wrap-distance-right:0pt;mso-wrap-distance-bottom:3pt" filled="f" o:ole="">
                  <v:imagedata r:id="rId24" o:title=""/>
                </v:shape>
                <o:OLEObject Type="Embed" ProgID="PBrush" ShapeID="ole_rId23" DrawAspect="Content" ObjectID="_1521434937" r:id="rId23"/>
              </w:object>
            </w:r>
          </w:p>
          <w:p>
            <w:pPr>
              <w:pStyle w:val="Normal"/>
              <w:widowControl w:val="false"/>
              <w:spacing w:before="60" w:after="60"/>
              <w:jc w:val="center"/>
              <w:rPr>
                <w:sz w:val="22"/>
                <w:szCs w:val="22"/>
              </w:rPr>
            </w:pPr>
            <w:r>
              <w:rPr/>
              <w:drawing>
                <wp:inline distT="0" distB="0" distL="0" distR="0">
                  <wp:extent cx="1652905" cy="1965960"/>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5"/>
                          <a:stretch>
                            <a:fillRect/>
                          </a:stretch>
                        </pic:blipFill>
                        <pic:spPr bwMode="auto">
                          <a:xfrm>
                            <a:off x="0" y="0"/>
                            <a:ext cx="1652905" cy="196596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Функциональные характеристики</w:t>
            </w:r>
            <w:r>
              <w:rPr>
                <w:rFonts w:cs="Times New Roman"/>
                <w:kern w:val="0"/>
                <w:sz w:val="22"/>
                <w:szCs w:val="22"/>
                <w:lang w:eastAsia="ru-RU" w:bidi="ar-SA"/>
              </w:rPr>
              <w:t>:</w:t>
            </w:r>
          </w:p>
          <w:p>
            <w:pPr>
              <w:pStyle w:val="ListParagraph"/>
              <w:widowControl w:val="false"/>
              <w:numPr>
                <w:ilvl w:val="0"/>
                <w:numId w:val="34"/>
              </w:numPr>
              <w:spacing w:before="60" w:after="60"/>
              <w:ind w:hanging="567" w:left="1418"/>
              <w:contextualSpacing w:val="false"/>
              <w:jc w:val="both"/>
              <w:rPr>
                <w:sz w:val="22"/>
                <w:szCs w:val="22"/>
              </w:rPr>
            </w:pPr>
            <w:r>
              <w:rPr>
                <w:rFonts w:cs="Times New Roman"/>
                <w:kern w:val="0"/>
                <w:sz w:val="22"/>
                <w:szCs w:val="22"/>
                <w:lang w:eastAsia="ru-RU" w:bidi="ar-SA"/>
              </w:rPr>
              <w:t>Костюм однослойный выполнен из тканей трех цветов: основной цвет васильковый, отделочный – темно-синий и красный. Элементы повышенной видимости из огнестойкого световозвращающего материала.</w:t>
            </w:r>
          </w:p>
          <w:p>
            <w:pPr>
              <w:pStyle w:val="ListParagraph"/>
              <w:widowControl w:val="false"/>
              <w:numPr>
                <w:ilvl w:val="0"/>
                <w:numId w:val="34"/>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 спецодежды:</w:t>
            </w:r>
          </w:p>
          <w:p>
            <w:pPr>
              <w:pStyle w:val="ListParagraph"/>
              <w:widowControl w:val="false"/>
              <w:numPr>
                <w:ilvl w:val="0"/>
                <w:numId w:val="35"/>
              </w:numPr>
              <w:spacing w:before="60" w:after="60"/>
              <w:ind w:hanging="567" w:left="1985"/>
              <w:contextualSpacing w:val="false"/>
              <w:jc w:val="both"/>
              <w:rPr>
                <w:sz w:val="22"/>
                <w:szCs w:val="22"/>
              </w:rPr>
            </w:pPr>
            <w:r>
              <w:rPr>
                <w:rFonts w:cs="Times New Roman"/>
                <w:b/>
                <w:kern w:val="0"/>
                <w:sz w:val="22"/>
                <w:szCs w:val="22"/>
                <w:lang w:eastAsia="ru-RU" w:bidi="ar-SA"/>
              </w:rPr>
              <w:t>от термических рисков электрической дуги</w:t>
            </w:r>
            <w:r>
              <w:rPr>
                <w:rFonts w:cs="Times New Roman"/>
                <w:kern w:val="0"/>
                <w:sz w:val="22"/>
                <w:szCs w:val="22"/>
                <w:lang w:eastAsia="ru-RU" w:bidi="ar-SA"/>
              </w:rPr>
              <w:t xml:space="preserve"> в зависимости от значения электродугового термического воздействия, ГОСТ Р 12.4.234-2012:</w:t>
            </w:r>
          </w:p>
          <w:p>
            <w:pPr>
              <w:pStyle w:val="ListParagraph"/>
              <w:widowControl w:val="false"/>
              <w:spacing w:before="60" w:after="60"/>
              <w:ind w:left="1985"/>
              <w:contextualSpacing w:val="false"/>
              <w:jc w:val="both"/>
              <w:rPr>
                <w:sz w:val="22"/>
                <w:szCs w:val="22"/>
              </w:rPr>
            </w:pPr>
            <w:r>
              <w:rPr>
                <w:rFonts w:cs="Times New Roman"/>
                <w:kern w:val="0"/>
                <w:sz w:val="22"/>
                <w:szCs w:val="22"/>
                <w:lang w:eastAsia="ru-RU" w:bidi="ar-SA"/>
              </w:rPr>
              <w:t>ЗЭТВ до 18 кал/см² (2 уровень);</w:t>
            </w:r>
          </w:p>
          <w:p>
            <w:pPr>
              <w:pStyle w:val="ListParagraph"/>
              <w:widowControl w:val="false"/>
              <w:numPr>
                <w:ilvl w:val="0"/>
                <w:numId w:val="35"/>
              </w:numPr>
              <w:spacing w:before="60" w:after="60"/>
              <w:ind w:hanging="567" w:left="1985"/>
              <w:contextualSpacing w:val="false"/>
              <w:jc w:val="both"/>
              <w:rPr>
                <w:sz w:val="22"/>
                <w:szCs w:val="22"/>
              </w:rPr>
            </w:pPr>
            <w:r>
              <w:rPr>
                <w:rFonts w:cs="Times New Roman"/>
                <w:b/>
                <w:kern w:val="0"/>
                <w:sz w:val="22"/>
                <w:szCs w:val="22"/>
                <w:lang w:eastAsia="ru-RU" w:bidi="ar-SA"/>
              </w:rPr>
              <w:t>от теплового излучения, кратковременного воздействия открытого пламени и конвективной теплоты</w:t>
            </w:r>
            <w:r>
              <w:rPr>
                <w:rFonts w:cs="Times New Roman"/>
                <w:kern w:val="0"/>
                <w:sz w:val="22"/>
                <w:szCs w:val="22"/>
                <w:lang w:eastAsia="ru-RU" w:bidi="ar-SA"/>
              </w:rPr>
              <w:t>, ГОСТ ISO 11612-2015:</w:t>
            </w:r>
          </w:p>
          <w:p>
            <w:pPr>
              <w:pStyle w:val="ListParagraph"/>
              <w:widowControl w:val="false"/>
              <w:spacing w:before="60" w:after="60"/>
              <w:ind w:left="1985"/>
              <w:contextualSpacing w:val="false"/>
              <w:jc w:val="both"/>
              <w:rPr>
                <w:sz w:val="22"/>
                <w:szCs w:val="22"/>
              </w:rPr>
            </w:pPr>
            <w:r>
              <w:rPr>
                <w:rFonts w:cs="Times New Roman"/>
                <w:kern w:val="0"/>
                <w:sz w:val="22"/>
                <w:szCs w:val="22"/>
                <w:lang w:eastAsia="ru-RU" w:bidi="ar-SA"/>
              </w:rPr>
              <w:t>ТиТоТт (А1+А2, В1, С1);</w:t>
            </w:r>
          </w:p>
          <w:p>
            <w:pPr>
              <w:pStyle w:val="ListParagraph"/>
              <w:widowControl w:val="false"/>
              <w:numPr>
                <w:ilvl w:val="0"/>
                <w:numId w:val="35"/>
              </w:numPr>
              <w:spacing w:before="60" w:after="60"/>
              <w:ind w:hanging="567" w:left="1985"/>
              <w:contextualSpacing w:val="false"/>
              <w:jc w:val="both"/>
              <w:rPr>
                <w:sz w:val="22"/>
                <w:szCs w:val="22"/>
              </w:rPr>
            </w:pPr>
            <w:r>
              <w:rPr>
                <w:rFonts w:cs="Times New Roman"/>
                <w:b/>
                <w:kern w:val="0"/>
                <w:sz w:val="22"/>
                <w:szCs w:val="22"/>
                <w:lang w:eastAsia="ru-RU" w:bidi="ar-SA"/>
              </w:rPr>
              <w:t>от механических воздействий (истирания) и общих производственных загрязнений</w:t>
            </w:r>
            <w:r>
              <w:rPr>
                <w:rFonts w:cs="Times New Roman"/>
                <w:kern w:val="0"/>
                <w:sz w:val="22"/>
                <w:szCs w:val="22"/>
                <w:lang w:eastAsia="ru-RU" w:bidi="ar-SA"/>
              </w:rPr>
              <w:t>:</w:t>
            </w:r>
          </w:p>
          <w:p>
            <w:pPr>
              <w:pStyle w:val="ListParagraph"/>
              <w:widowControl w:val="false"/>
              <w:spacing w:before="60" w:after="60"/>
              <w:ind w:left="1985"/>
              <w:contextualSpacing w:val="false"/>
              <w:jc w:val="both"/>
              <w:rPr>
                <w:sz w:val="22"/>
                <w:szCs w:val="22"/>
              </w:rPr>
            </w:pPr>
            <w:r>
              <w:rPr>
                <w:rFonts w:cs="Times New Roman"/>
                <w:kern w:val="0"/>
                <w:sz w:val="22"/>
                <w:szCs w:val="22"/>
                <w:lang w:eastAsia="ru-RU" w:bidi="ar-SA"/>
              </w:rPr>
              <w:t>Ми З.</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Куртка - модель должна соответствовать следующим требованиям:</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Выполнена в прямом силуэте на притачном поясе.</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Куртка имеет центральную потайную застежку.</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Средняя часть полочки с накладными нагрудными карманами с объемом со стороны проймы, с клапанами с отделочным кантом красного цвета, выполненным из нижнего клапана, на котором посередине расположена текстильная контактная лента для фиксации с карманом. Одна сторона клапанов входит в шов проймы, другая – в шов притачивания планки. Боковая часть полочки выполнена с накладными боковыми карманами с объемом со стороны борта, с клапанами. Со стороны борта клапаны боковых карманов фиксируются на текстильную контактную ленту.</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Рукава втачные, состоящие из передней, локтевой и верхней частей, с застегивающимися манжетами.</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 xml:space="preserve">Воротник, типа «стойка» застегивается на текстильную контактную ленту. </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Притачной пояс регулируется по ширине при помощи пат с прорезной петлей и двумя ответными пуговицами, расположенными в области боковых швов.</w:t>
            </w:r>
          </w:p>
          <w:p>
            <w:pPr>
              <w:pStyle w:val="ListParagraph"/>
              <w:widowControl w:val="false"/>
              <w:numPr>
                <w:ilvl w:val="0"/>
                <w:numId w:val="36"/>
              </w:numPr>
              <w:spacing w:before="60" w:after="60"/>
              <w:ind w:hanging="567" w:left="1418"/>
              <w:contextualSpacing w:val="false"/>
              <w:jc w:val="both"/>
              <w:rPr>
                <w:sz w:val="22"/>
                <w:szCs w:val="22"/>
              </w:rPr>
            </w:pPr>
            <w:r>
              <w:rPr>
                <w:rFonts w:cs="Times New Roman"/>
                <w:kern w:val="0"/>
                <w:sz w:val="22"/>
                <w:szCs w:val="22"/>
                <w:lang w:eastAsia="ru-RU" w:bidi="ar-SA"/>
              </w:rPr>
              <w:t>На куртке предусмотрены элементы повышенной видимости из световозвращающего материала шириной не менее 50 мм.</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Брюки - модель должна соответствовать следующим требованиям:</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Выполнены с застежкой-молнией.</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Брюки имеют притачной пояс, который застегивается на сквозную петлю и пуговицу.</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На уровне бедра, по боковым швам, расположены накладные карманы с объемом по боковым сторонам.</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Пояс притачной. В области боковых швов расположены паты для регулирования объема талии с петлей и двумя ответными пуговицами, пришитыми на пояс.</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Низ брюк обработан швом в подгибку с закрытым срезом.</w:t>
            </w:r>
          </w:p>
          <w:p>
            <w:pPr>
              <w:pStyle w:val="ListParagraph"/>
              <w:widowControl w:val="false"/>
              <w:numPr>
                <w:ilvl w:val="0"/>
                <w:numId w:val="37"/>
              </w:numPr>
              <w:spacing w:before="60" w:after="60"/>
              <w:ind w:hanging="567" w:left="1418"/>
              <w:contextualSpacing w:val="false"/>
              <w:jc w:val="both"/>
              <w:rPr>
                <w:sz w:val="22"/>
                <w:szCs w:val="22"/>
              </w:rPr>
            </w:pPr>
            <w:r>
              <w:rPr>
                <w:rFonts w:cs="Times New Roman"/>
                <w:kern w:val="0"/>
                <w:sz w:val="22"/>
                <w:szCs w:val="22"/>
                <w:lang w:eastAsia="ru-RU" w:bidi="ar-SA"/>
              </w:rPr>
              <w:t>На брюках предусмотрены элементы повышенной видимости из световозвращающего материала шириной 50 мм.</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Применяемые материалы:</w:t>
            </w:r>
          </w:p>
          <w:p>
            <w:pPr>
              <w:pStyle w:val="ListParagraph"/>
              <w:widowControl w:val="false"/>
              <w:numPr>
                <w:ilvl w:val="0"/>
                <w:numId w:val="38"/>
              </w:numPr>
              <w:spacing w:before="60" w:after="60"/>
              <w:ind w:hanging="567" w:left="1418"/>
              <w:contextualSpacing w:val="false"/>
              <w:jc w:val="both"/>
              <w:rPr>
                <w:b/>
                <w:sz w:val="22"/>
                <w:szCs w:val="22"/>
              </w:rPr>
            </w:pPr>
            <w:r>
              <w:rPr>
                <w:rFonts w:cs="Times New Roman"/>
                <w:b/>
                <w:kern w:val="0"/>
                <w:sz w:val="22"/>
                <w:szCs w:val="22"/>
                <w:lang w:eastAsia="ru-RU" w:bidi="ar-SA"/>
              </w:rPr>
              <w:t>Ткань верха:</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Ткань арамидная, не менее 93% мета-арамид; 5% пара-арамид; 2% антистатическое волокно, термоогнестойкая антиэлектростатическая с нефтемасловодоотталкивающей отделкой, поверхностная плотность 220 г/м.кв., цвет васильковый.</w:t>
            </w:r>
          </w:p>
          <w:p>
            <w:pPr>
              <w:pStyle w:val="ListParagraph"/>
              <w:widowControl w:val="false"/>
              <w:numPr>
                <w:ilvl w:val="0"/>
                <w:numId w:val="38"/>
              </w:numPr>
              <w:spacing w:before="60" w:after="60"/>
              <w:ind w:hanging="567" w:left="1418"/>
              <w:contextualSpacing w:val="false"/>
              <w:jc w:val="both"/>
              <w:rPr>
                <w:b/>
                <w:sz w:val="22"/>
                <w:szCs w:val="22"/>
              </w:rPr>
            </w:pPr>
            <w:r>
              <w:rPr>
                <w:rFonts w:cs="Times New Roman"/>
                <w:b/>
                <w:kern w:val="0"/>
                <w:sz w:val="22"/>
                <w:szCs w:val="22"/>
                <w:lang w:eastAsia="ru-RU" w:bidi="ar-SA"/>
              </w:rPr>
              <w:t>Ткань отделки:</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Ткань арамидная, не менее 93% мета-арамид; 5% пара-арамид; 2% антистатическое волокно, термоогнестойкая антиэлектростатическая с нефтемасловодоотталкивающей отделкой, поверхностная плотность 220 г/м.кв., цвет красный.</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Ткань арамидная, не менее 93% мета-арамид; 5% пара-арамид; 2% антистатическое волокно, термоогнестойкая антиэлектростатическая с нефтемасловодоотталкивающей отделкой, поверхностная плотность не менее 220 г/м.кв., цвет тёмно-синий.</w:t>
            </w:r>
          </w:p>
          <w:p>
            <w:pPr>
              <w:pStyle w:val="ListParagraph"/>
              <w:widowControl w:val="false"/>
              <w:numPr>
                <w:ilvl w:val="0"/>
                <w:numId w:val="38"/>
              </w:numPr>
              <w:spacing w:before="60" w:after="60"/>
              <w:ind w:hanging="567" w:left="1418"/>
              <w:contextualSpacing w:val="false"/>
              <w:jc w:val="both"/>
              <w:rPr>
                <w:b/>
                <w:sz w:val="22"/>
                <w:szCs w:val="22"/>
              </w:rPr>
            </w:pPr>
            <w:r>
              <w:rPr>
                <w:rFonts w:cs="Times New Roman"/>
                <w:b/>
                <w:kern w:val="0"/>
                <w:sz w:val="22"/>
                <w:szCs w:val="22"/>
                <w:lang w:eastAsia="ru-RU" w:bidi="ar-SA"/>
              </w:rPr>
              <w:t>Сигнальные элементы:</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Световозвращающие вставки.</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Световозвращающие огнестойкие полосы, ширина 50 мм.</w:t>
            </w:r>
          </w:p>
          <w:p>
            <w:pPr>
              <w:pStyle w:val="ListParagraph"/>
              <w:widowControl w:val="false"/>
              <w:numPr>
                <w:ilvl w:val="0"/>
                <w:numId w:val="38"/>
              </w:numPr>
              <w:spacing w:before="60" w:after="60"/>
              <w:ind w:hanging="567" w:left="1418"/>
              <w:contextualSpacing w:val="false"/>
              <w:jc w:val="both"/>
              <w:rPr>
                <w:b/>
                <w:sz w:val="22"/>
                <w:szCs w:val="22"/>
              </w:rPr>
            </w:pPr>
            <w:r>
              <w:rPr>
                <w:rFonts w:cs="Times New Roman"/>
                <w:b/>
                <w:kern w:val="0"/>
                <w:sz w:val="22"/>
                <w:szCs w:val="22"/>
                <w:lang w:eastAsia="ru-RU" w:bidi="ar-SA"/>
              </w:rPr>
              <w:t>Отделочные строчки выполнены огнестойкими нитками белого цвета.</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Белье нательное для защиты от термических рисков</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kern w:val="0"/>
                <w:sz w:val="22"/>
                <w:szCs w:val="22"/>
                <w:lang w:eastAsia="ru-RU" w:bidi="ar-SA"/>
              </w:rPr>
              <w:t>Белье нательное термостойкое мужское для защиты от термических рисков электрической дуги в соответствии с требованиями ТР ТС 019/2011 О безопасности средств индивидуальной защиты.</w:t>
            </w:r>
          </w:p>
          <w:p>
            <w:pPr>
              <w:pStyle w:val="Normal"/>
              <w:widowControl w:val="false"/>
              <w:spacing w:before="60" w:after="60"/>
              <w:jc w:val="center"/>
              <w:rPr>
                <w:b/>
                <w:bCs/>
                <w:sz w:val="22"/>
                <w:szCs w:val="22"/>
              </w:rPr>
            </w:pPr>
            <w:r>
              <w:rPr/>
              <w:drawing>
                <wp:inline distT="0" distB="0" distL="0" distR="0">
                  <wp:extent cx="1440180" cy="1932940"/>
                  <wp:effectExtent l="0" t="0" r="0" b="0"/>
                  <wp:docPr id="17"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2" descr=""/>
                          <pic:cNvPicPr>
                            <a:picLocks noChangeAspect="1" noChangeArrowheads="1"/>
                          </pic:cNvPicPr>
                        </pic:nvPicPr>
                        <pic:blipFill>
                          <a:blip r:embed="rId26"/>
                          <a:stretch>
                            <a:fillRect/>
                          </a:stretch>
                        </pic:blipFill>
                        <pic:spPr bwMode="auto">
                          <a:xfrm>
                            <a:off x="0" y="0"/>
                            <a:ext cx="1440180" cy="193294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характеристики:</w:t>
            </w:r>
          </w:p>
          <w:p>
            <w:pPr>
              <w:pStyle w:val="ListParagraph"/>
              <w:widowControl w:val="false"/>
              <w:numPr>
                <w:ilvl w:val="0"/>
                <w:numId w:val="39"/>
              </w:numPr>
              <w:spacing w:before="60" w:after="60"/>
              <w:ind w:hanging="567" w:left="1418"/>
              <w:contextualSpacing w:val="false"/>
              <w:jc w:val="both"/>
              <w:rPr>
                <w:sz w:val="22"/>
                <w:szCs w:val="22"/>
              </w:rPr>
            </w:pPr>
            <w:r>
              <w:rPr>
                <w:rFonts w:cs="Times New Roman"/>
                <w:kern w:val="0"/>
                <w:sz w:val="22"/>
                <w:szCs w:val="22"/>
                <w:lang w:eastAsia="ru-RU" w:bidi="ar-SA"/>
              </w:rPr>
              <w:t>Белье нательное термостойкое мужское для защиты от рисков электрической дуги (фуфайка/кальсоны) (далее комплект белья) состоит из фуфайки и кальсон и предназначено в качестве дополнительного защитного слоя к специальной одежде с огнезащитными свойствами и для защиты от термических рисков электрической дуги.</w:t>
            </w:r>
          </w:p>
          <w:p>
            <w:pPr>
              <w:pStyle w:val="ListParagraph"/>
              <w:widowControl w:val="false"/>
              <w:numPr>
                <w:ilvl w:val="0"/>
                <w:numId w:val="39"/>
              </w:numPr>
              <w:spacing w:before="60" w:after="60"/>
              <w:ind w:hanging="567" w:left="1418"/>
              <w:contextualSpacing w:val="false"/>
              <w:jc w:val="both"/>
              <w:rPr>
                <w:sz w:val="22"/>
                <w:szCs w:val="22"/>
              </w:rPr>
            </w:pPr>
            <w:r>
              <w:rPr>
                <w:rFonts w:cs="Times New Roman"/>
                <w:kern w:val="0"/>
                <w:sz w:val="22"/>
                <w:szCs w:val="22"/>
                <w:lang w:eastAsia="ru-RU" w:bidi="ar-SA"/>
              </w:rPr>
              <w:t>ТоТтТи - от кратковременного воздействия открытого пламени, конвективной теплоты, теплового излучения, А1+А2, В1С1 класса.</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40"/>
              </w:numPr>
              <w:spacing w:before="60" w:after="60"/>
              <w:ind w:hanging="567" w:left="1418"/>
              <w:contextualSpacing w:val="false"/>
              <w:jc w:val="both"/>
              <w:rPr>
                <w:sz w:val="22"/>
                <w:szCs w:val="22"/>
              </w:rPr>
            </w:pPr>
            <w:r>
              <w:rPr>
                <w:rFonts w:cs="Times New Roman"/>
                <w:kern w:val="0"/>
                <w:sz w:val="22"/>
                <w:szCs w:val="22"/>
                <w:lang w:eastAsia="ru-RU" w:bidi="ar-SA"/>
              </w:rPr>
              <w:t>Комплект белья выполнен из трикотажного полотна с огне-термостойкими, антистатическими свойствами.</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Модель должна соответствовать следующим требованиям:</w:t>
            </w:r>
          </w:p>
          <w:p>
            <w:pPr>
              <w:pStyle w:val="ListParagraph"/>
              <w:widowControl w:val="false"/>
              <w:numPr>
                <w:ilvl w:val="0"/>
                <w:numId w:val="41"/>
              </w:numPr>
              <w:spacing w:before="60" w:after="60"/>
              <w:ind w:hanging="567" w:left="1418"/>
              <w:contextualSpacing w:val="false"/>
              <w:jc w:val="both"/>
              <w:rPr>
                <w:sz w:val="22"/>
                <w:szCs w:val="22"/>
              </w:rPr>
            </w:pPr>
            <w:r>
              <w:rPr>
                <w:rFonts w:cs="Times New Roman"/>
                <w:kern w:val="0"/>
                <w:sz w:val="22"/>
                <w:szCs w:val="22"/>
                <w:lang w:eastAsia="ru-RU" w:bidi="ar-SA"/>
              </w:rPr>
              <w:t>Фуфайка выполнена прямого силуэта с удлиненной спинкой с боковыми швами, с длинными втачными одношовными рукавами. Горловина обработана бейкой. Низ рукавов обработан двойными манжетами. Низ изделия обработан швом в подгибку.</w:t>
            </w:r>
          </w:p>
          <w:p>
            <w:pPr>
              <w:pStyle w:val="ListParagraph"/>
              <w:widowControl w:val="false"/>
              <w:numPr>
                <w:ilvl w:val="0"/>
                <w:numId w:val="41"/>
              </w:numPr>
              <w:spacing w:before="60" w:after="60"/>
              <w:ind w:hanging="567" w:left="1418"/>
              <w:contextualSpacing w:val="false"/>
              <w:jc w:val="both"/>
              <w:rPr>
                <w:sz w:val="22"/>
                <w:szCs w:val="22"/>
              </w:rPr>
            </w:pPr>
            <w:r>
              <w:rPr>
                <w:rFonts w:cs="Times New Roman"/>
                <w:kern w:val="0"/>
                <w:sz w:val="22"/>
                <w:szCs w:val="22"/>
                <w:lang w:eastAsia="ru-RU" w:bidi="ar-SA"/>
              </w:rPr>
              <w:t>Кальсоны выполнены без боковых швов с двойной ластовицей и гульфиком. Открытые срезы гульфика подогнуты и обработаны плоским швом. Пояс цельнокроеный выполнен с широкой эластичной тесьмой. Низ кальсон обработаны двойными манжетами из основного полотна.</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Применяемые материалы:</w:t>
            </w:r>
          </w:p>
          <w:p>
            <w:pPr>
              <w:pStyle w:val="ListParagraph"/>
              <w:widowControl w:val="false"/>
              <w:spacing w:before="60" w:after="60"/>
              <w:ind w:left="851"/>
              <w:contextualSpacing w:val="false"/>
              <w:jc w:val="both"/>
              <w:rPr>
                <w:sz w:val="22"/>
                <w:szCs w:val="22"/>
              </w:rPr>
            </w:pPr>
            <w:r>
              <w:rPr>
                <w:rFonts w:cs="Times New Roman"/>
                <w:kern w:val="0"/>
                <w:sz w:val="22"/>
                <w:szCs w:val="22"/>
                <w:lang w:eastAsia="ru-RU" w:bidi="ar-SA"/>
              </w:rPr>
              <w:t>Ткань верха: не менее 55% модакрил, не менее 35% хлопка, не менее 2% антистатичной нити; трикотажное полотно ластичное переплетение (ластик 1:1), цвет серый, плотность не менее 220г/м</w:t>
            </w:r>
            <w:r>
              <w:rPr>
                <w:rFonts w:cs="Times New Roman"/>
                <w:kern w:val="0"/>
                <w:sz w:val="22"/>
                <w:szCs w:val="22"/>
                <w:vertAlign w:val="superscript"/>
                <w:lang w:eastAsia="ru-RU" w:bidi="ar-SA"/>
              </w:rPr>
              <w:t>2</w:t>
            </w:r>
            <w:r>
              <w:rPr>
                <w:rFonts w:cs="Times New Roman"/>
                <w:kern w:val="0"/>
                <w:sz w:val="22"/>
                <w:szCs w:val="22"/>
                <w:lang w:eastAsia="ru-RU" w:bidi="ar-SA"/>
              </w:rPr>
              <w:t>.</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b/>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Жилет сигнальный</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kern w:val="0"/>
                <w:sz w:val="22"/>
                <w:szCs w:val="22"/>
                <w:lang w:eastAsia="ru-RU" w:bidi="ar-SA"/>
              </w:rPr>
              <w:t>Жилет сигнальный, 2-го класса защиты, в соответствии с требованиями ТР ТС 019/2011 О безопасности средств индивидуальной защиты.</w:t>
            </w:r>
          </w:p>
          <w:p>
            <w:pPr>
              <w:pStyle w:val="Normal"/>
              <w:widowControl w:val="false"/>
              <w:spacing w:before="60" w:after="60"/>
              <w:jc w:val="center"/>
              <w:rPr>
                <w:b/>
                <w:bCs/>
                <w:sz w:val="22"/>
                <w:szCs w:val="22"/>
              </w:rPr>
            </w:pPr>
            <w:r>
              <w:rPr/>
              <w:drawing>
                <wp:inline distT="0" distB="0" distL="0" distR="0">
                  <wp:extent cx="1440180" cy="821055"/>
                  <wp:effectExtent l="0" t="0" r="0" b="0"/>
                  <wp:docPr id="18"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6" descr=""/>
                          <pic:cNvPicPr>
                            <a:picLocks noChangeAspect="1" noChangeArrowheads="1"/>
                          </pic:cNvPicPr>
                        </pic:nvPicPr>
                        <pic:blipFill>
                          <a:blip r:embed="rId27"/>
                          <a:stretch>
                            <a:fillRect/>
                          </a:stretch>
                        </pic:blipFill>
                        <pic:spPr bwMode="auto">
                          <a:xfrm>
                            <a:off x="0" y="0"/>
                            <a:ext cx="1440180" cy="82105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Соответствии с требованиями:</w:t>
            </w:r>
          </w:p>
          <w:p>
            <w:pPr>
              <w:pStyle w:val="ListParagraph"/>
              <w:widowControl w:val="false"/>
              <w:numPr>
                <w:ilvl w:val="0"/>
                <w:numId w:val="42"/>
              </w:numPr>
              <w:spacing w:before="60" w:after="60"/>
              <w:ind w:hanging="567" w:left="1418"/>
              <w:contextualSpacing w:val="false"/>
              <w:jc w:val="both"/>
              <w:rPr>
                <w:sz w:val="22"/>
                <w:szCs w:val="22"/>
              </w:rPr>
            </w:pPr>
            <w:r>
              <w:rPr>
                <w:rFonts w:cs="Times New Roman"/>
                <w:kern w:val="0"/>
                <w:sz w:val="22"/>
                <w:szCs w:val="22"/>
                <w:lang w:eastAsia="ru-RU" w:bidi="ar-SA"/>
              </w:rPr>
              <w:t>ГОСТ 12.4.281-2014 «Система стандартов безопасности труда (ССБТ). Одежда специальная повышенной видимости. Технические требования».</w:t>
            </w:r>
          </w:p>
          <w:p>
            <w:pPr>
              <w:pStyle w:val="ListParagraph"/>
              <w:widowControl w:val="false"/>
              <w:numPr>
                <w:ilvl w:val="0"/>
                <w:numId w:val="42"/>
              </w:numPr>
              <w:spacing w:before="60" w:after="60"/>
              <w:ind w:hanging="567" w:left="1418"/>
              <w:contextualSpacing w:val="false"/>
              <w:jc w:val="both"/>
              <w:rPr>
                <w:sz w:val="22"/>
                <w:szCs w:val="22"/>
              </w:rPr>
            </w:pPr>
            <w:r>
              <w:rPr>
                <w:rFonts w:cs="Times New Roman"/>
                <w:kern w:val="0"/>
                <w:sz w:val="22"/>
                <w:szCs w:val="22"/>
                <w:lang w:eastAsia="ru-RU" w:bidi="ar-SA"/>
              </w:rPr>
              <w:t>ТР ТС 019/2011 «О безопасности средств индивидуальной защиты».</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характеристики:</w:t>
            </w:r>
          </w:p>
          <w:p>
            <w:pPr>
              <w:pStyle w:val="ListParagraph"/>
              <w:widowControl w:val="false"/>
              <w:spacing w:before="60" w:after="60"/>
              <w:ind w:left="851"/>
              <w:contextualSpacing w:val="false"/>
              <w:jc w:val="both"/>
              <w:rPr>
                <w:sz w:val="22"/>
                <w:szCs w:val="22"/>
              </w:rPr>
            </w:pPr>
            <w:r>
              <w:rPr>
                <w:rFonts w:cs="Times New Roman"/>
                <w:kern w:val="0"/>
                <w:sz w:val="22"/>
                <w:szCs w:val="22"/>
                <w:lang w:eastAsia="ru-RU" w:bidi="ar-SA"/>
              </w:rPr>
              <w:t>Защитные свойства (обозначение согласно ГОСТ 12.4.103 2020) – Со.</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43"/>
              </w:numPr>
              <w:spacing w:before="60" w:after="60"/>
              <w:ind w:hanging="567" w:left="1418"/>
              <w:contextualSpacing w:val="false"/>
              <w:jc w:val="both"/>
              <w:rPr>
                <w:sz w:val="22"/>
                <w:szCs w:val="22"/>
              </w:rPr>
            </w:pPr>
            <w:r>
              <w:rPr>
                <w:rFonts w:cs="Times New Roman"/>
                <w:kern w:val="0"/>
                <w:sz w:val="22"/>
                <w:szCs w:val="22"/>
                <w:lang w:eastAsia="ru-RU" w:bidi="ar-SA"/>
              </w:rPr>
              <w:t>Соответствует 2му классу сигнальной одежды повышенной видимости. Жилет сигнальный прямого силуэта с центральной застежкой на ленту-липучку. Все срезы жилета (проймы, горловина, борт, низ) окантованы износостойкой трикотажной тесьмой. На уровне груди левой полочки настрочена шлевка для крепления бейджа.</w:t>
            </w:r>
          </w:p>
          <w:p>
            <w:pPr>
              <w:pStyle w:val="ListParagraph"/>
              <w:widowControl w:val="false"/>
              <w:numPr>
                <w:ilvl w:val="0"/>
                <w:numId w:val="43"/>
              </w:numPr>
              <w:spacing w:before="60" w:after="60"/>
              <w:ind w:hanging="567" w:left="1418"/>
              <w:contextualSpacing w:val="false"/>
              <w:jc w:val="both"/>
              <w:rPr>
                <w:sz w:val="22"/>
                <w:szCs w:val="22"/>
              </w:rPr>
            </w:pPr>
            <w:r>
              <w:rPr>
                <w:rFonts w:cs="Times New Roman"/>
                <w:kern w:val="0"/>
                <w:sz w:val="22"/>
                <w:szCs w:val="22"/>
                <w:lang w:eastAsia="ru-RU" w:bidi="ar-SA"/>
              </w:rPr>
              <w:t>Жилет содержит сигнальные элементы необходимой площади, изготовленные из фонового материала и световозвращающего материала, для соответствия сигнальной одежде повышенной видимости 2 класса: площадь фонового материала – 0,55 м</w:t>
            </w:r>
            <w:r>
              <w:rPr>
                <w:rFonts w:cs="Times New Roman"/>
                <w:kern w:val="0"/>
                <w:sz w:val="22"/>
                <w:szCs w:val="22"/>
                <w:vertAlign w:val="superscript"/>
                <w:lang w:eastAsia="ru-RU" w:bidi="ar-SA"/>
              </w:rPr>
              <w:t>2</w:t>
            </w:r>
            <w:r>
              <w:rPr>
                <w:rFonts w:cs="Times New Roman"/>
                <w:kern w:val="0"/>
                <w:sz w:val="22"/>
                <w:szCs w:val="22"/>
                <w:lang w:eastAsia="ru-RU" w:bidi="ar-SA"/>
              </w:rPr>
              <w:t>, площадь световозвращающего материала – 0,2 м</w:t>
            </w:r>
            <w:r>
              <w:rPr>
                <w:rFonts w:cs="Times New Roman"/>
                <w:kern w:val="0"/>
                <w:sz w:val="22"/>
                <w:szCs w:val="22"/>
                <w:vertAlign w:val="superscript"/>
                <w:lang w:eastAsia="ru-RU" w:bidi="ar-SA"/>
              </w:rPr>
              <w:t>2</w:t>
            </w:r>
            <w:r>
              <w:rPr>
                <w:rFonts w:cs="Times New Roman"/>
                <w:kern w:val="0"/>
                <w:sz w:val="22"/>
                <w:szCs w:val="22"/>
                <w:lang w:eastAsia="ru-RU" w:bidi="ar-SA"/>
              </w:rPr>
              <w:t>.</w:t>
            </w:r>
          </w:p>
          <w:p>
            <w:pPr>
              <w:pStyle w:val="ListParagraph"/>
              <w:widowControl w:val="false"/>
              <w:numPr>
                <w:ilvl w:val="0"/>
                <w:numId w:val="43"/>
              </w:numPr>
              <w:spacing w:before="60" w:after="60"/>
              <w:ind w:hanging="567" w:left="1418"/>
              <w:contextualSpacing w:val="false"/>
              <w:jc w:val="both"/>
              <w:rPr>
                <w:sz w:val="22"/>
                <w:szCs w:val="22"/>
              </w:rPr>
            </w:pPr>
            <w:r>
              <w:rPr>
                <w:rFonts w:cs="Times New Roman"/>
                <w:kern w:val="0"/>
                <w:sz w:val="22"/>
                <w:szCs w:val="22"/>
                <w:lang w:eastAsia="ru-RU" w:bidi="ar-SA"/>
              </w:rPr>
              <w:t>Две горизонтальные световозвращающие полосы шириной 50мм. расположены вокруг торса и две вертикальные, соединяющиеся с верхней горизонтальной спереди и сзади через плечи.</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Применяемые материалы:</w:t>
            </w:r>
          </w:p>
          <w:p>
            <w:pPr>
              <w:pStyle w:val="ListParagraph"/>
              <w:widowControl w:val="false"/>
              <w:numPr>
                <w:ilvl w:val="0"/>
                <w:numId w:val="44"/>
              </w:numPr>
              <w:spacing w:before="60" w:after="60"/>
              <w:ind w:hanging="567" w:left="1418"/>
              <w:contextualSpacing w:val="false"/>
              <w:jc w:val="both"/>
              <w:rPr>
                <w:sz w:val="22"/>
                <w:szCs w:val="22"/>
              </w:rPr>
            </w:pPr>
            <w:r>
              <w:rPr>
                <w:rFonts w:cs="Times New Roman"/>
                <w:b/>
                <w:kern w:val="0"/>
                <w:sz w:val="22"/>
                <w:szCs w:val="22"/>
                <w:lang w:eastAsia="ru-RU" w:bidi="ar-SA"/>
              </w:rPr>
              <w:t>Фоновый материал</w:t>
            </w:r>
            <w:r>
              <w:rPr>
                <w:rFonts w:cs="Times New Roman"/>
                <w:kern w:val="0"/>
                <w:sz w:val="22"/>
                <w:szCs w:val="22"/>
                <w:lang w:eastAsia="ru-RU" w:bidi="ar-SA"/>
              </w:rPr>
              <w:t>:</w:t>
            </w:r>
          </w:p>
          <w:p>
            <w:pPr>
              <w:pStyle w:val="ListParagraph"/>
              <w:widowControl w:val="false"/>
              <w:spacing w:before="60" w:after="60"/>
              <w:ind w:left="1418"/>
              <w:contextualSpacing w:val="false"/>
              <w:jc w:val="both"/>
              <w:rPr>
                <w:sz w:val="22"/>
                <w:szCs w:val="22"/>
              </w:rPr>
            </w:pPr>
            <w:r>
              <w:rPr>
                <w:rFonts w:cs="Times New Roman"/>
                <w:kern w:val="0"/>
                <w:sz w:val="22"/>
                <w:szCs w:val="22"/>
                <w:lang w:eastAsia="ru-RU" w:bidi="ar-SA"/>
              </w:rPr>
              <w:t>Трикотажное полотно 100% полиэфир, плотность 120 г/кв. м, соответствует европейскому стандарту EN 20471 для сигнальной одежды повышенной видимости.</w:t>
            </w:r>
          </w:p>
          <w:p>
            <w:pPr>
              <w:pStyle w:val="ListParagraph"/>
              <w:widowControl w:val="false"/>
              <w:numPr>
                <w:ilvl w:val="0"/>
                <w:numId w:val="44"/>
              </w:numPr>
              <w:spacing w:before="60" w:after="60"/>
              <w:ind w:hanging="567" w:left="1418"/>
              <w:contextualSpacing w:val="false"/>
              <w:jc w:val="both"/>
              <w:rPr>
                <w:b/>
                <w:sz w:val="22"/>
                <w:szCs w:val="22"/>
              </w:rPr>
            </w:pPr>
            <w:r>
              <w:rPr>
                <w:rFonts w:cs="Times New Roman"/>
                <w:b/>
                <w:kern w:val="0"/>
                <w:sz w:val="22"/>
                <w:szCs w:val="22"/>
                <w:lang w:eastAsia="ru-RU" w:bidi="ar-SA"/>
              </w:rPr>
              <w:t>Световозвращающий материал:</w:t>
            </w:r>
          </w:p>
          <w:p>
            <w:pPr>
              <w:pStyle w:val="ListParagraph"/>
              <w:widowControl w:val="false"/>
              <w:numPr>
                <w:ilvl w:val="0"/>
                <w:numId w:val="45"/>
              </w:numPr>
              <w:spacing w:before="60" w:after="60"/>
              <w:ind w:hanging="567" w:left="1985"/>
              <w:contextualSpacing w:val="false"/>
              <w:jc w:val="both"/>
              <w:rPr>
                <w:sz w:val="22"/>
                <w:szCs w:val="22"/>
              </w:rPr>
            </w:pPr>
            <w:r>
              <w:rPr>
                <w:rFonts w:cs="Times New Roman"/>
                <w:kern w:val="0"/>
                <w:sz w:val="22"/>
                <w:szCs w:val="22"/>
                <w:lang w:eastAsia="ru-RU" w:bidi="ar-SA"/>
              </w:rPr>
              <w:t>Полосы шириной 50мм.</w:t>
            </w:r>
          </w:p>
          <w:p>
            <w:pPr>
              <w:pStyle w:val="ListParagraph"/>
              <w:widowControl w:val="false"/>
              <w:numPr>
                <w:ilvl w:val="0"/>
                <w:numId w:val="45"/>
              </w:numPr>
              <w:spacing w:before="60" w:after="60"/>
              <w:ind w:hanging="567" w:left="1985"/>
              <w:contextualSpacing w:val="false"/>
              <w:jc w:val="both"/>
              <w:rPr>
                <w:sz w:val="22"/>
                <w:szCs w:val="22"/>
              </w:rPr>
            </w:pPr>
            <w:r>
              <w:rPr>
                <w:rFonts w:cs="Times New Roman"/>
                <w:kern w:val="0"/>
                <w:sz w:val="22"/>
                <w:szCs w:val="22"/>
                <w:lang w:eastAsia="ru-RU" w:bidi="ar-SA"/>
              </w:rPr>
              <w:t>Цвет: флуоресцентный оранжевый.</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Содержание маркировки должно соответствовать требованиям, изложенным в п. 1.2.1. данной таблицы.</w:t>
            </w:r>
          </w:p>
          <w:p>
            <w:pPr>
              <w:pStyle w:val="ListParagraph"/>
              <w:widowControl w:val="false"/>
              <w:numPr>
                <w:ilvl w:val="3"/>
                <w:numId w:val="10"/>
              </w:numPr>
              <w:spacing w:before="60" w:after="60"/>
              <w:ind w:hanging="851" w:left="851"/>
              <w:contextualSpacing w:val="false"/>
              <w:jc w:val="both"/>
              <w:rPr>
                <w:b/>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sz w:val="22"/>
                <w:szCs w:val="22"/>
              </w:rPr>
            </w:pPr>
            <w:r>
              <w:rPr>
                <w:rFonts w:eastAsia="Times New Roman" w:cs="Times New Roman"/>
                <w:b/>
                <w:bCs/>
                <w:kern w:val="0"/>
                <w:sz w:val="22"/>
                <w:szCs w:val="22"/>
                <w:lang w:eastAsia="ru-RU" w:bidi="ar-SA"/>
              </w:rPr>
              <w:t>Требования к специальной обуви</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Общие требования</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Функциональные характеристики</w:t>
            </w:r>
            <w:r>
              <w:rPr>
                <w:rFonts w:cs="Times New Roman"/>
                <w:kern w:val="0"/>
                <w:sz w:val="22"/>
                <w:szCs w:val="22"/>
                <w:lang w:eastAsia="ru-RU" w:bidi="ar-SA"/>
              </w:rPr>
              <w:t>:</w:t>
            </w:r>
          </w:p>
          <w:p>
            <w:pPr>
              <w:pStyle w:val="ListParagraph"/>
              <w:widowControl w:val="false"/>
              <w:numPr>
                <w:ilvl w:val="3"/>
                <w:numId w:val="46"/>
              </w:numPr>
              <w:spacing w:before="60" w:after="60"/>
              <w:ind w:hanging="567" w:left="1418"/>
              <w:contextualSpacing w:val="false"/>
              <w:jc w:val="both"/>
              <w:rPr>
                <w:sz w:val="22"/>
                <w:szCs w:val="22"/>
              </w:rPr>
            </w:pPr>
            <w:r>
              <w:rPr>
                <w:rFonts w:cs="Times New Roman"/>
                <w:kern w:val="0"/>
                <w:sz w:val="22"/>
                <w:szCs w:val="22"/>
                <w:lang w:eastAsia="ru-RU" w:bidi="ar-SA"/>
              </w:rPr>
              <w:t>Спецобувь должна удовлетворять требованиям безопасности и защиты работника от опасных и вредных производственных факторов на протяжении всего срока эксплуатации, установленного типовыми нормами, а также нести две основные функции: защитную и снижающую усталость. Комфортная обувь должна иметь широкую колодку, малый вес, гибкую подошву.</w:t>
            </w:r>
          </w:p>
          <w:p>
            <w:pPr>
              <w:pStyle w:val="ListParagraph"/>
              <w:widowControl w:val="false"/>
              <w:numPr>
                <w:ilvl w:val="3"/>
                <w:numId w:val="46"/>
              </w:numPr>
              <w:spacing w:before="60" w:after="60"/>
              <w:ind w:hanging="567" w:left="1418"/>
              <w:contextualSpacing w:val="false"/>
              <w:jc w:val="both"/>
              <w:rPr>
                <w:sz w:val="22"/>
                <w:szCs w:val="22"/>
              </w:rPr>
            </w:pPr>
            <w:r>
              <w:rPr>
                <w:rFonts w:cs="Times New Roman"/>
                <w:kern w:val="0"/>
                <w:sz w:val="22"/>
                <w:szCs w:val="22"/>
                <w:lang w:eastAsia="ru-RU" w:bidi="ar-SA"/>
              </w:rPr>
              <w:t>Все ботинки, полуботинки и сапоги должны иметь жесткий защитный подносок из поликарбоната/металла c резиновым / полиуретановым уплотнителем.</w:t>
            </w:r>
          </w:p>
          <w:p>
            <w:pPr>
              <w:pStyle w:val="ListParagraph"/>
              <w:widowControl w:val="false"/>
              <w:numPr>
                <w:ilvl w:val="3"/>
                <w:numId w:val="46"/>
              </w:numPr>
              <w:spacing w:before="60" w:after="60"/>
              <w:ind w:hanging="567" w:left="1418"/>
              <w:contextualSpacing w:val="false"/>
              <w:jc w:val="both"/>
              <w:rPr>
                <w:sz w:val="22"/>
                <w:szCs w:val="22"/>
              </w:rPr>
            </w:pPr>
            <w:r>
              <w:rPr>
                <w:rFonts w:cs="Times New Roman"/>
                <w:kern w:val="0"/>
                <w:sz w:val="22"/>
                <w:szCs w:val="22"/>
                <w:lang w:eastAsia="ru-RU" w:bidi="ar-SA"/>
              </w:rPr>
              <w:t>Обувь специальная кожаная должна защищать от механических повреждений, иметь высокую степень износоустойчивости, соответствовать установленным гигиеническим нормам, сохранять защитные свойства на протяжении всего срока эксплуатации. Обувь специальная должна соответствовать требованиям национальных стандартов и других нормативных документов в зависимости от ее назначения.</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val="en-US" w:eastAsia="ru-RU" w:bidi="ar-SA"/>
              </w:rPr>
              <w:t>Б</w:t>
            </w:r>
            <w:r>
              <w:rPr>
                <w:rFonts w:eastAsia="Times New Roman" w:cs="Times New Roman"/>
                <w:b/>
                <w:bCs/>
                <w:i/>
                <w:kern w:val="0"/>
                <w:sz w:val="22"/>
                <w:szCs w:val="22"/>
                <w:lang w:eastAsia="ru-RU" w:bidi="ar-SA"/>
              </w:rPr>
              <w:t>отинк</w:t>
            </w:r>
            <w:r>
              <w:rPr>
                <w:rFonts w:eastAsia="Times New Roman" w:cs="Times New Roman"/>
                <w:b/>
                <w:bCs/>
                <w:i/>
                <w:kern w:val="0"/>
                <w:sz w:val="22"/>
                <w:szCs w:val="22"/>
                <w:lang w:val="en-US" w:eastAsia="ru-RU" w:bidi="ar-SA"/>
              </w:rPr>
              <w:t>и</w:t>
            </w:r>
            <w:r>
              <w:rPr>
                <w:rFonts w:eastAsia="Times New Roman" w:cs="Times New Roman"/>
                <w:b/>
                <w:bCs/>
                <w:i/>
                <w:kern w:val="0"/>
                <w:sz w:val="22"/>
                <w:szCs w:val="22"/>
                <w:lang w:eastAsia="ru-RU" w:bidi="ar-SA"/>
              </w:rPr>
              <w:t xml:space="preserve"> / полуботинк</w:t>
            </w:r>
            <w:r>
              <w:rPr>
                <w:rFonts w:eastAsia="Times New Roman" w:cs="Times New Roman"/>
                <w:b/>
                <w:bCs/>
                <w:i/>
                <w:kern w:val="0"/>
                <w:sz w:val="22"/>
                <w:szCs w:val="22"/>
                <w:lang w:val="en-US" w:eastAsia="ru-RU" w:bidi="ar-SA"/>
              </w:rPr>
              <w:t>и</w:t>
            </w:r>
            <w:r>
              <w:rPr>
                <w:rFonts w:eastAsia="Times New Roman" w:cs="Times New Roman"/>
                <w:b/>
                <w:bCs/>
                <w:i/>
                <w:kern w:val="0"/>
                <w:sz w:val="22"/>
                <w:szCs w:val="22"/>
                <w:lang w:eastAsia="ru-RU" w:bidi="ar-SA"/>
              </w:rPr>
              <w:t xml:space="preserve"> кожаны</w:t>
            </w:r>
            <w:r>
              <w:rPr>
                <w:rFonts w:eastAsia="Times New Roman" w:cs="Times New Roman"/>
                <w:b/>
                <w:bCs/>
                <w:i/>
                <w:kern w:val="0"/>
                <w:sz w:val="22"/>
                <w:szCs w:val="22"/>
                <w:lang w:val="en-US" w:eastAsia="ru-RU" w:bidi="ar-SA"/>
              </w:rPr>
              <w:t>е</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Полуботинки кожаные с композитным носком должны быть изготовлены в соответствии с ТР ТС 019/2011 «О безопасности средств индивидуальной защиты». Защитные свойства (обозначение согласно ГОСТ 12.4.103-83) - Мун 200, Нм, Щ 20, Сж, З, У.</w:t>
            </w:r>
          </w:p>
          <w:p>
            <w:pPr>
              <w:pStyle w:val="Normal"/>
              <w:widowControl w:val="false"/>
              <w:spacing w:before="60" w:after="60"/>
              <w:jc w:val="center"/>
              <w:rPr>
                <w:sz w:val="22"/>
                <w:szCs w:val="22"/>
              </w:rPr>
            </w:pPr>
            <w:r>
              <w:rPr/>
              <w:drawing>
                <wp:inline distT="0" distB="0" distL="0" distR="0">
                  <wp:extent cx="1440180" cy="1188085"/>
                  <wp:effectExtent l="0" t="0" r="0" b="0"/>
                  <wp:docPr id="19"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7" descr=""/>
                          <pic:cNvPicPr>
                            <a:picLocks noChangeAspect="1" noChangeArrowheads="1"/>
                          </pic:cNvPicPr>
                        </pic:nvPicPr>
                        <pic:blipFill>
                          <a:blip r:embed="rId28"/>
                          <a:stretch>
                            <a:fillRect/>
                          </a:stretch>
                        </pic:blipFill>
                        <pic:spPr bwMode="auto">
                          <a:xfrm>
                            <a:off x="0" y="0"/>
                            <a:ext cx="1440180" cy="118808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Полуботинки должны быть изготовлены методом прямого литья полиуретана и термопластичного полиуретана к заготовке верха обуви.</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Верх из натуральной кожи, толщиной 1,8 – 2,0 мм, с текстильной отделкой. Полуботинки должны завязываться на шнурки и иметь полуглухой клапан-язык из текстильного полотна, стойкого к истиранию. Предусмотрено наличие мягкого канта для защиты от боковых ударов.</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Подкладка полуботинок из тканей, стойких к истиранию и способных абсорбировать и отводить влагу от стопы. Стелька вкладная из материала, который обладает свойствами впитывания влаги. В носочной части стопы расположен внутренний защитный носок из композитного материала ударной прочностью 200 Дж., а также прокладка из полиуретана, препятствующая надавливанию верхнего края на стопу.</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 xml:space="preserve">Подошва двухслойная, маслобензостойкая (устойчива к воздействию химических факторов: нефтепродукты). Верхний слой выполнен из полиуретана, нижний слой из термопластичного полиуретана, который имеет свойства износостойкости, термостойкости (выдерживает температуру +100°С), морозостойкости (выдерживает температуру -40°С). Ботинки обеспечивают амортизацию при длительном нахождении в положении стоя, что препятствует сдавливанию тканей ступни и накоплению усталости. Двухслойная подошва с толстым промежуточным слоем из вспененного полиуретана, обеспечивает энергопоглощение в пяточной зоне не менее 20 Дж, что соответствует требованиям стандарта ГОСТ Р ЕН ИСО 20347-2013 (пп 6.2.4). Глубина профиля (протектора) ходового слоя подошвы составляет не менее 3,0 мм. </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На полуботинках выполнены отделочные детали из световозвращающего материала.</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Полнота полуботинок 9.</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Высота полуботинок составляет 82±5 мм.</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Цвет: черный.</w:t>
            </w:r>
          </w:p>
          <w:p>
            <w:pPr>
              <w:pStyle w:val="ListParagraph"/>
              <w:widowControl w:val="false"/>
              <w:numPr>
                <w:ilvl w:val="0"/>
                <w:numId w:val="47"/>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Нм</w:t>
            </w:r>
            <w:r>
              <w:rPr>
                <w:rFonts w:cs="Times New Roman"/>
                <w:kern w:val="0"/>
                <w:sz w:val="22"/>
                <w:szCs w:val="22"/>
                <w:lang w:eastAsia="ru-RU" w:bidi="ar-SA"/>
              </w:rPr>
              <w:t> – Защита от нефтяных масел и продуктов тяжелых фракций;</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Мун 200</w:t>
            </w:r>
            <w:r>
              <w:rPr>
                <w:rFonts w:cs="Times New Roman"/>
                <w:kern w:val="0"/>
                <w:sz w:val="22"/>
                <w:szCs w:val="22"/>
                <w:lang w:eastAsia="ru-RU" w:bidi="ar-SA"/>
              </w:rPr>
              <w:t> – Защита от ударов в носочной части энергией 200 Дж;</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См</w:t>
            </w:r>
            <w:r>
              <w:rPr>
                <w:rFonts w:cs="Times New Roman"/>
                <w:kern w:val="0"/>
                <w:sz w:val="22"/>
                <w:szCs w:val="22"/>
                <w:lang w:eastAsia="ru-RU" w:bidi="ar-SA"/>
              </w:rPr>
              <w:t> – Защита от скольжения по мокрым, загрязненным и другим поверхностям;</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Сж</w:t>
            </w:r>
            <w:r>
              <w:rPr>
                <w:rFonts w:cs="Times New Roman"/>
                <w:kern w:val="0"/>
                <w:sz w:val="22"/>
                <w:szCs w:val="22"/>
                <w:lang w:eastAsia="ru-RU" w:bidi="ar-SA"/>
              </w:rPr>
              <w:t> – Защита от скольжения по зажиренным поверхностям;</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Ми</w:t>
            </w:r>
            <w:r>
              <w:rPr>
                <w:rFonts w:cs="Times New Roman"/>
                <w:kern w:val="0"/>
                <w:sz w:val="22"/>
                <w:szCs w:val="22"/>
                <w:lang w:eastAsia="ru-RU" w:bidi="ar-SA"/>
              </w:rPr>
              <w:t> – Защита от механических воздействий: от истирания;</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З</w:t>
            </w:r>
            <w:r>
              <w:rPr>
                <w:rFonts w:cs="Times New Roman"/>
                <w:kern w:val="0"/>
                <w:sz w:val="22"/>
                <w:szCs w:val="22"/>
                <w:lang w:eastAsia="ru-RU" w:bidi="ar-SA"/>
              </w:rPr>
              <w:t> – Защита от общих производственных загрязнений;</w:t>
            </w:r>
          </w:p>
          <w:p>
            <w:pPr>
              <w:pStyle w:val="ListParagraph"/>
              <w:widowControl w:val="false"/>
              <w:numPr>
                <w:ilvl w:val="0"/>
                <w:numId w:val="48"/>
              </w:numPr>
              <w:spacing w:before="60" w:after="60"/>
              <w:ind w:hanging="567" w:left="1985"/>
              <w:contextualSpacing w:val="false"/>
              <w:jc w:val="both"/>
              <w:rPr>
                <w:sz w:val="22"/>
                <w:szCs w:val="22"/>
              </w:rPr>
            </w:pPr>
            <w:r>
              <w:rPr>
                <w:rFonts w:cs="Times New Roman"/>
                <w:b/>
                <w:kern w:val="0"/>
                <w:sz w:val="22"/>
                <w:szCs w:val="22"/>
                <w:lang w:eastAsia="ru-RU" w:bidi="ar-SA"/>
              </w:rPr>
              <w:t>У</w:t>
            </w:r>
            <w:r>
              <w:rPr>
                <w:rFonts w:cs="Times New Roman"/>
                <w:kern w:val="0"/>
                <w:sz w:val="22"/>
                <w:szCs w:val="22"/>
                <w:lang w:eastAsia="ru-RU" w:bidi="ar-SA"/>
              </w:rPr>
              <w:t> – Защита от статических нагрузок (от утомляемости).</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ГОСТ 7296-81;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val="en-US" w:eastAsia="ru-RU" w:bidi="ar-SA"/>
              </w:rPr>
              <w:t>Б</w:t>
            </w:r>
            <w:r>
              <w:rPr>
                <w:rFonts w:eastAsia="Times New Roman" w:cs="Times New Roman"/>
                <w:b/>
                <w:bCs/>
                <w:i/>
                <w:kern w:val="0"/>
                <w:sz w:val="22"/>
                <w:szCs w:val="22"/>
                <w:lang w:eastAsia="ru-RU" w:bidi="ar-SA"/>
              </w:rPr>
              <w:t>отинк</w:t>
            </w:r>
            <w:r>
              <w:rPr>
                <w:rFonts w:eastAsia="Times New Roman" w:cs="Times New Roman"/>
                <w:b/>
                <w:bCs/>
                <w:i/>
                <w:kern w:val="0"/>
                <w:sz w:val="22"/>
                <w:szCs w:val="22"/>
                <w:lang w:val="en-US" w:eastAsia="ru-RU" w:bidi="ar-SA"/>
              </w:rPr>
              <w:t>и</w:t>
            </w:r>
            <w:r>
              <w:rPr>
                <w:rFonts w:eastAsia="Times New Roman" w:cs="Times New Roman"/>
                <w:b/>
                <w:bCs/>
                <w:i/>
                <w:kern w:val="0"/>
                <w:sz w:val="22"/>
                <w:szCs w:val="22"/>
                <w:lang w:eastAsia="ru-RU" w:bidi="ar-SA"/>
              </w:rPr>
              <w:t xml:space="preserve"> кожаны</w:t>
            </w:r>
            <w:r>
              <w:rPr>
                <w:rFonts w:eastAsia="Times New Roman" w:cs="Times New Roman"/>
                <w:b/>
                <w:bCs/>
                <w:i/>
                <w:kern w:val="0"/>
                <w:sz w:val="22"/>
                <w:szCs w:val="22"/>
                <w:lang w:val="en-US" w:eastAsia="ru-RU" w:bidi="ar-SA"/>
              </w:rPr>
              <w:t>е</w:t>
            </w:r>
            <w:r>
              <w:rPr>
                <w:rFonts w:eastAsia="Times New Roman" w:cs="Times New Roman"/>
                <w:b/>
                <w:bCs/>
                <w:i/>
                <w:kern w:val="0"/>
                <w:sz w:val="22"/>
                <w:szCs w:val="22"/>
                <w:lang w:eastAsia="ru-RU" w:bidi="ar-SA"/>
              </w:rPr>
              <w:t xml:space="preserve"> утепленны</w:t>
            </w:r>
            <w:r>
              <w:rPr>
                <w:rFonts w:eastAsia="Times New Roman" w:cs="Times New Roman"/>
                <w:b/>
                <w:bCs/>
                <w:i/>
                <w:kern w:val="0"/>
                <w:sz w:val="22"/>
                <w:szCs w:val="22"/>
                <w:lang w:val="en-US" w:eastAsia="ru-RU" w:bidi="ar-SA"/>
              </w:rPr>
              <w:t>е</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kern w:val="0"/>
                <w:sz w:val="22"/>
                <w:szCs w:val="22"/>
                <w:lang w:eastAsia="ru-RU" w:bidi="ar-SA"/>
              </w:rPr>
              <w:t>Ботинки мужские утепленные в соответствии с требованиями ТР ТС 019/2011 «О безопасности средств индивидуальной защиты».</w:t>
            </w:r>
          </w:p>
          <w:p>
            <w:pPr>
              <w:pStyle w:val="Normal"/>
              <w:widowControl w:val="false"/>
              <w:spacing w:before="60" w:after="60"/>
              <w:jc w:val="center"/>
              <w:rPr>
                <w:b/>
                <w:bCs/>
                <w:sz w:val="22"/>
                <w:szCs w:val="22"/>
              </w:rPr>
            </w:pPr>
            <w:r>
              <w:rPr/>
              <w:drawing>
                <wp:inline distT="0" distB="0" distL="0" distR="0">
                  <wp:extent cx="1440180" cy="1407795"/>
                  <wp:effectExtent l="0" t="0" r="0" b="0"/>
                  <wp:docPr id="20"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6" descr=""/>
                          <pic:cNvPicPr>
                            <a:picLocks noChangeAspect="1" noChangeArrowheads="1"/>
                          </pic:cNvPicPr>
                        </pic:nvPicPr>
                        <pic:blipFill>
                          <a:blip r:embed="rId29"/>
                          <a:stretch>
                            <a:fillRect/>
                          </a:stretch>
                        </pic:blipFill>
                        <pic:spPr bwMode="auto">
                          <a:xfrm>
                            <a:off x="0" y="0"/>
                            <a:ext cx="1440180" cy="140779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Модель должна соответствовать следующим требованиям</w:t>
            </w:r>
            <w:r>
              <w:rPr>
                <w:rFonts w:cs="Times New Roman"/>
                <w:kern w:val="0"/>
                <w:sz w:val="22"/>
                <w:szCs w:val="22"/>
                <w:lang w:eastAsia="ru-RU" w:bidi="ar-SA"/>
              </w:rPr>
              <w:t>:</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Ботинки должны быть изготовлены литьевым методом крепления подошвы из полиуретана и резины на основе нитрильного каучука.</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Материал верха обуви выполнен из натуральной кожи, толщиной не менее 1,8 – не более 2,0 мм. Полуглухой клапан-язык исключает попадание внутрь снега, мелких предметов, брызг, пыли, изготовлен из кожи натуральной и текстильного материала, стойкого к истиранию и обладающего водоотталкивающими свойствами.</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Обувь имеет манжету (мягкий кант) из материала с водоотталкивающими свойствами для создания комфорта и удобства в носке. Подкладка и вкладная стелька выполнена из натурального меха, высота ворса не менее 14 мм.  Отделка на обуви из световозвращающего материала.</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Для защиты в носочной части стопы применяются внутренние защитные носки из композитного материала ударной прочностью 200 Дж (Мун 200), оборудованные прокладкой, препятствующей надавливанию верхнего края на стопу.</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Подошва двухслойная (устойчивая к воздействию химических факторов – нефти, нефтепродуктов, растворов кислот концентрации до 20%, растворов щелочей концентрации до 20%). Верхний слой подошвы выполнен из полиуретана и обладает, амортизирующими свойствами, гасит ударные нагрузки, а также придает обуви легкость, комфортность и повышенные теплозащитные свойства.</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Нижний слой подошвы изготовлен из износостойкой, термостойкой (при кратковременном (60 сек.) контакте с нагретыми поверхностью до +300°С), морозостойкой (-45°С) нитрильной резины стойкой к деформациям, истиранию.</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Глубина профиля (протектора) ходового слоя подошвы не менее 5 мм и элементы подошвы обеспечивают защиту от скольжения по зажиренным, мокрым поверхностям, а расположенный под углом рисунок протектора обеспечивает самоочищение подошвы от загрязнений. Колодка обуви обеспечивают удобство в носке и позволяют не ощущать усталость в течение всего рабочего дня.</w:t>
            </w:r>
          </w:p>
          <w:p>
            <w:pPr>
              <w:pStyle w:val="ListParagraph"/>
              <w:widowControl w:val="false"/>
              <w:numPr>
                <w:ilvl w:val="0"/>
                <w:numId w:val="49"/>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numPr>
                <w:ilvl w:val="0"/>
                <w:numId w:val="50"/>
              </w:numPr>
              <w:spacing w:before="60" w:after="60"/>
              <w:ind w:hanging="567" w:left="1985"/>
              <w:contextualSpacing w:val="false"/>
              <w:jc w:val="both"/>
              <w:rPr>
                <w:b/>
                <w:sz w:val="22"/>
                <w:szCs w:val="22"/>
              </w:rPr>
            </w:pPr>
            <w:r>
              <w:rPr>
                <w:rFonts w:cs="Times New Roman"/>
                <w:b/>
                <w:kern w:val="0"/>
                <w:sz w:val="22"/>
                <w:szCs w:val="22"/>
                <w:lang w:eastAsia="ru-RU" w:bidi="ar-SA"/>
              </w:rPr>
              <w:t>Нм </w:t>
            </w:r>
            <w:r>
              <w:rPr>
                <w:rFonts w:cs="Times New Roman"/>
                <w:kern w:val="0"/>
                <w:sz w:val="22"/>
                <w:szCs w:val="22"/>
                <w:lang w:eastAsia="ru-RU" w:bidi="ar-SA"/>
              </w:rPr>
              <w:t>– Защита от нефтяных масел и продуктов тяжелых фракций;</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Мун 200</w:t>
            </w:r>
            <w:r>
              <w:rPr>
                <w:rFonts w:cs="Times New Roman"/>
                <w:kern w:val="0"/>
                <w:sz w:val="22"/>
                <w:szCs w:val="22"/>
                <w:lang w:eastAsia="ru-RU" w:bidi="ar-SA"/>
              </w:rPr>
              <w:t> – Защита от ударов в носочной части энергией 200 Дж;</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См</w:t>
            </w:r>
            <w:r>
              <w:rPr>
                <w:rFonts w:cs="Times New Roman"/>
                <w:kern w:val="0"/>
                <w:sz w:val="22"/>
                <w:szCs w:val="22"/>
                <w:lang w:eastAsia="ru-RU" w:bidi="ar-SA"/>
              </w:rPr>
              <w:t> – Защита от скольжения по мокрым, загрязненным и другим поверхностям;</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bCs/>
                <w:kern w:val="0"/>
                <w:sz w:val="22"/>
                <w:szCs w:val="22"/>
                <w:lang w:eastAsia="ru-RU" w:bidi="ar-SA"/>
              </w:rPr>
              <w:t>Тн40</w:t>
            </w:r>
            <w:r>
              <w:rPr>
                <w:rFonts w:cs="Times New Roman"/>
                <w:kern w:val="0"/>
                <w:sz w:val="22"/>
                <w:szCs w:val="22"/>
                <w:lang w:eastAsia="ru-RU" w:bidi="ar-SA"/>
              </w:rPr>
              <w:t xml:space="preserve"> – Защита от пониженных температур до минус 40 градусов;</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bCs/>
                <w:kern w:val="0"/>
                <w:sz w:val="22"/>
                <w:szCs w:val="22"/>
                <w:lang w:eastAsia="ru-RU" w:bidi="ar-SA"/>
              </w:rPr>
              <w:t>Тп</w:t>
            </w:r>
            <w:r>
              <w:rPr>
                <w:rFonts w:cs="Times New Roman"/>
                <w:bCs/>
                <w:kern w:val="0"/>
                <w:sz w:val="22"/>
                <w:szCs w:val="22"/>
                <w:lang w:eastAsia="ru-RU" w:bidi="ar-SA"/>
              </w:rPr>
              <w:t xml:space="preserve"> </w:t>
            </w:r>
            <w:r>
              <w:rPr>
                <w:rFonts w:cs="Times New Roman"/>
                <w:kern w:val="0"/>
                <w:sz w:val="22"/>
                <w:szCs w:val="22"/>
                <w:lang w:eastAsia="ru-RU" w:bidi="ar-SA"/>
              </w:rPr>
              <w:t>- Защита от контакта с нагретыми поверхностями;</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Сж</w:t>
            </w:r>
            <w:r>
              <w:rPr>
                <w:rFonts w:cs="Times New Roman"/>
                <w:kern w:val="0"/>
                <w:sz w:val="22"/>
                <w:szCs w:val="22"/>
                <w:lang w:eastAsia="ru-RU" w:bidi="ar-SA"/>
              </w:rPr>
              <w:t> – Защита от скольжения по зажиренным поверхностям;</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Ми</w:t>
            </w:r>
            <w:r>
              <w:rPr>
                <w:rFonts w:cs="Times New Roman"/>
                <w:kern w:val="0"/>
                <w:sz w:val="22"/>
                <w:szCs w:val="22"/>
                <w:lang w:eastAsia="ru-RU" w:bidi="ar-SA"/>
              </w:rPr>
              <w:t> – Защита от механических воздействий: от истирания;</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З</w:t>
            </w:r>
            <w:r>
              <w:rPr>
                <w:rFonts w:cs="Times New Roman"/>
                <w:kern w:val="0"/>
                <w:sz w:val="22"/>
                <w:szCs w:val="22"/>
                <w:lang w:eastAsia="ru-RU" w:bidi="ar-SA"/>
              </w:rPr>
              <w:t> – Защита от общих производственных загрязнений;</w:t>
            </w:r>
          </w:p>
          <w:p>
            <w:pPr>
              <w:pStyle w:val="ListParagraph"/>
              <w:widowControl w:val="false"/>
              <w:numPr>
                <w:ilvl w:val="0"/>
                <w:numId w:val="50"/>
              </w:numPr>
              <w:spacing w:before="60" w:after="60"/>
              <w:ind w:hanging="567" w:left="1985"/>
              <w:contextualSpacing w:val="false"/>
              <w:jc w:val="both"/>
              <w:rPr>
                <w:sz w:val="22"/>
                <w:szCs w:val="22"/>
              </w:rPr>
            </w:pPr>
            <w:r>
              <w:rPr>
                <w:rFonts w:cs="Times New Roman"/>
                <w:b/>
                <w:kern w:val="0"/>
                <w:sz w:val="22"/>
                <w:szCs w:val="22"/>
                <w:lang w:eastAsia="ru-RU" w:bidi="ar-SA"/>
              </w:rPr>
              <w:t>У</w:t>
            </w:r>
            <w:r>
              <w:rPr>
                <w:rFonts w:cs="Times New Roman"/>
                <w:kern w:val="0"/>
                <w:sz w:val="22"/>
                <w:szCs w:val="22"/>
                <w:lang w:eastAsia="ru-RU" w:bidi="ar-SA"/>
              </w:rPr>
              <w:t> – Защита от статических нагрузок (от утомляемости).</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 Маркировка должна соответствовать ГОСТ 7296-81;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sz w:val="22"/>
                <w:szCs w:val="22"/>
              </w:rPr>
            </w:pPr>
            <w:r>
              <w:rPr>
                <w:rFonts w:eastAsia="Times New Roman" w:cs="Times New Roman"/>
                <w:b/>
                <w:bCs/>
                <w:kern w:val="0"/>
                <w:sz w:val="22"/>
                <w:szCs w:val="22"/>
                <w:lang w:eastAsia="ru-RU" w:bidi="ar-SA"/>
              </w:rPr>
              <w:t>Требования к специальной корпоративным средствам индивидуальной защиты</w:t>
            </w:r>
          </w:p>
        </w:tc>
      </w:tr>
      <w:tr>
        <w:trPr>
          <w:trHeight w:val="177" w:hRule="atLeast"/>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val="en-US" w:eastAsia="ru-RU" w:bidi="ar-SA"/>
              </w:rPr>
              <w:t>К</w:t>
            </w:r>
            <w:r>
              <w:rPr>
                <w:rFonts w:eastAsia="Times New Roman" w:cs="Times New Roman"/>
                <w:b/>
                <w:bCs/>
                <w:i/>
                <w:kern w:val="0"/>
                <w:sz w:val="22"/>
                <w:szCs w:val="22"/>
                <w:lang w:eastAsia="ru-RU" w:bidi="ar-SA"/>
              </w:rPr>
              <w:t>аск</w:t>
            </w:r>
            <w:r>
              <w:rPr>
                <w:rFonts w:eastAsia="Times New Roman" w:cs="Times New Roman"/>
                <w:b/>
                <w:bCs/>
                <w:i/>
                <w:kern w:val="0"/>
                <w:sz w:val="22"/>
                <w:szCs w:val="22"/>
                <w:lang w:val="en-US" w:eastAsia="ru-RU" w:bidi="ar-SA"/>
              </w:rPr>
              <w:t>а</w:t>
            </w:r>
            <w:r>
              <w:rPr>
                <w:rFonts w:eastAsia="Times New Roman" w:cs="Times New Roman"/>
                <w:b/>
                <w:bCs/>
                <w:i/>
                <w:kern w:val="0"/>
                <w:sz w:val="22"/>
                <w:szCs w:val="22"/>
                <w:lang w:eastAsia="ru-RU" w:bidi="ar-SA"/>
              </w:rPr>
              <w:t xml:space="preserve"> защитн</w:t>
            </w:r>
            <w:r>
              <w:rPr>
                <w:rFonts w:eastAsia="Times New Roman" w:cs="Times New Roman"/>
                <w:b/>
                <w:bCs/>
                <w:i/>
                <w:kern w:val="0"/>
                <w:sz w:val="22"/>
                <w:szCs w:val="22"/>
                <w:lang w:val="en-US" w:eastAsia="ru-RU" w:bidi="ar-SA"/>
              </w:rPr>
              <w:t>ая</w:t>
            </w:r>
            <w:r>
              <w:rPr>
                <w:rFonts w:eastAsia="Times New Roman" w:cs="Times New Roman"/>
                <w:b/>
                <w:bCs/>
                <w:i/>
                <w:kern w:val="0"/>
                <w:sz w:val="22"/>
                <w:szCs w:val="22"/>
                <w:lang w:eastAsia="ru-RU" w:bidi="ar-SA"/>
              </w:rPr>
              <w:t xml:space="preserve"> с храповиком</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bCs/>
                <w:kern w:val="0"/>
                <w:sz w:val="22"/>
                <w:szCs w:val="22"/>
                <w:lang w:eastAsia="ru-RU" w:bidi="ar-SA"/>
              </w:rPr>
              <w:t>Каска защитная с храповиком должна быть изготовлена в соответствии с требованиями ТР ТС 019/2011 «О безопасности средств индивидуальной защиты» и EN 397 «Система стандартов безопасности труда. Каски защитные. Общие технические требования. Методы испытаний»</w:t>
            </w:r>
          </w:p>
          <w:p>
            <w:pPr>
              <w:pStyle w:val="Normal"/>
              <w:widowControl w:val="false"/>
              <w:spacing w:before="60" w:after="60"/>
              <w:jc w:val="center"/>
              <w:rPr>
                <w:b/>
                <w:bCs/>
                <w:sz w:val="22"/>
                <w:szCs w:val="22"/>
              </w:rPr>
            </w:pPr>
            <w:r>
              <w:rPr/>
              <w:drawing>
                <wp:inline distT="0" distB="0" distL="0" distR="0">
                  <wp:extent cx="1440180" cy="1464945"/>
                  <wp:effectExtent l="0" t="0" r="0" b="0"/>
                  <wp:docPr id="2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
                          <pic:cNvPicPr>
                            <a:picLocks noChangeAspect="1" noChangeArrowheads="1"/>
                          </pic:cNvPicPr>
                        </pic:nvPicPr>
                        <pic:blipFill>
                          <a:blip r:embed="rId30"/>
                          <a:stretch>
                            <a:fillRect/>
                          </a:stretch>
                        </pic:blipFill>
                        <pic:spPr bwMode="auto">
                          <a:xfrm>
                            <a:off x="0" y="0"/>
                            <a:ext cx="1440180" cy="146494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Функциональные характеристики</w:t>
            </w:r>
            <w:r>
              <w:rPr>
                <w:rFonts w:cs="Times New Roman"/>
                <w:kern w:val="0"/>
                <w:sz w:val="22"/>
                <w:szCs w:val="22"/>
                <w:lang w:eastAsia="ru-RU" w:bidi="ar-SA"/>
              </w:rPr>
              <w:t>:</w:t>
            </w:r>
          </w:p>
          <w:p>
            <w:pPr>
              <w:pStyle w:val="ListParagraph"/>
              <w:widowControl w:val="false"/>
              <w:spacing w:before="60" w:after="60"/>
              <w:ind w:left="851"/>
              <w:contextualSpacing w:val="false"/>
              <w:jc w:val="both"/>
              <w:rPr>
                <w:sz w:val="22"/>
                <w:szCs w:val="22"/>
              </w:rPr>
            </w:pPr>
            <w:r>
              <w:rPr>
                <w:rFonts w:cs="Times New Roman"/>
                <w:kern w:val="0"/>
                <w:sz w:val="22"/>
                <w:szCs w:val="22"/>
                <w:lang w:eastAsia="ru-RU" w:bidi="ar-SA"/>
              </w:rPr>
              <w:t>Каска защитная предназначена для защиты головы от механических повреждений, влаги, брызг агрессивных жидкостей, искр и брызг металла.</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Корпус каски выполнен из ударопрочного материала Termotrek или эквивалента.</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Каска оснащена козырьком и водосточным желобком с двумя пазами для крепления противошумных наушников.</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Каска имеет амортизаторы из тканевых лент с креплением к корпусу в 6 точках, подбородочным ремнем и обтюратором из натуральной кожи.</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Каска имеет конструкцию внутренней оснастки, которая позволяет плавно подгонять и точно регулировать размер оголовья от 51 до 65 см, что позволяет надежно фиксировать каску на голове пользователя.</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Цвет: Белый.</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Масса: не более 390 г.</w:t>
            </w:r>
          </w:p>
          <w:p>
            <w:pPr>
              <w:pStyle w:val="ListParagraph"/>
              <w:widowControl w:val="false"/>
              <w:numPr>
                <w:ilvl w:val="0"/>
                <w:numId w:val="51"/>
              </w:numPr>
              <w:spacing w:before="60" w:after="60"/>
              <w:ind w:hanging="567" w:left="1418"/>
              <w:contextualSpacing w:val="false"/>
              <w:jc w:val="both"/>
              <w:rPr>
                <w:sz w:val="22"/>
                <w:szCs w:val="22"/>
              </w:rPr>
            </w:pPr>
            <w:r>
              <w:rPr>
                <w:rFonts w:cs="Times New Roman"/>
                <w:kern w:val="0"/>
                <w:sz w:val="22"/>
                <w:szCs w:val="22"/>
                <w:lang w:eastAsia="ru-RU" w:bidi="ar-SA"/>
              </w:rPr>
              <w:t>Обязательно наличие трудноудаляемого ярлыка с нанесенной маркировкой.</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Маркировка должна соответствовать ТР ТС 019/2011.</w:t>
            </w:r>
          </w:p>
          <w:p>
            <w:pPr>
              <w:pStyle w:val="ListParagraph"/>
              <w:widowControl w:val="false"/>
              <w:numPr>
                <w:ilvl w:val="3"/>
                <w:numId w:val="10"/>
              </w:numPr>
              <w:spacing w:before="60" w:after="60"/>
              <w:ind w:hanging="851" w:left="851"/>
              <w:contextualSpacing w:val="false"/>
              <w:jc w:val="both"/>
              <w:rPr>
                <w:b/>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Подшлемник под каску (шапка)</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b/>
                <w:bCs/>
                <w:sz w:val="22"/>
                <w:szCs w:val="22"/>
              </w:rPr>
            </w:pPr>
            <w:r>
              <w:rPr>
                <w:rFonts w:eastAsia="Times New Roman" w:cs="Times New Roman"/>
                <w:b/>
                <w:kern w:val="0"/>
                <w:sz w:val="22"/>
                <w:szCs w:val="22"/>
                <w:lang w:val="en-US" w:eastAsia="ru-RU" w:bidi="ar-SA"/>
              </w:rPr>
              <w:t>Подшлемник под каску (шапка)</w:t>
            </w:r>
          </w:p>
          <w:p>
            <w:pPr>
              <w:pStyle w:val="Normal"/>
              <w:widowControl w:val="false"/>
              <w:spacing w:before="60" w:after="60"/>
              <w:jc w:val="center"/>
              <w:rPr>
                <w:b/>
                <w:bCs/>
                <w:sz w:val="22"/>
                <w:szCs w:val="22"/>
              </w:rPr>
            </w:pPr>
            <w:r>
              <w:rPr/>
              <w:drawing>
                <wp:inline distT="0" distB="0" distL="0" distR="0">
                  <wp:extent cx="1440180" cy="1263650"/>
                  <wp:effectExtent l="0" t="0" r="0" b="0"/>
                  <wp:docPr id="22"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9" descr=""/>
                          <pic:cNvPicPr>
                            <a:picLocks noChangeAspect="1" noChangeArrowheads="1"/>
                          </pic:cNvPicPr>
                        </pic:nvPicPr>
                        <pic:blipFill>
                          <a:blip r:embed="rId31"/>
                          <a:stretch>
                            <a:fillRect/>
                          </a:stretch>
                        </pic:blipFill>
                        <pic:spPr bwMode="auto">
                          <a:xfrm>
                            <a:off x="0" y="0"/>
                            <a:ext cx="1440180" cy="126365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52"/>
              </w:numPr>
              <w:spacing w:before="60" w:after="60"/>
              <w:ind w:hanging="567" w:left="1418"/>
              <w:contextualSpacing w:val="false"/>
              <w:jc w:val="both"/>
              <w:rPr>
                <w:sz w:val="22"/>
                <w:szCs w:val="22"/>
              </w:rPr>
            </w:pPr>
            <w:r>
              <w:rPr>
                <w:rFonts w:cs="Times New Roman"/>
                <w:kern w:val="0"/>
                <w:sz w:val="22"/>
                <w:szCs w:val="22"/>
                <w:lang w:eastAsia="ru-RU" w:bidi="ar-SA"/>
              </w:rPr>
              <w:t>Шапка выполнена с подворотом.</w:t>
            </w:r>
          </w:p>
          <w:p>
            <w:pPr>
              <w:pStyle w:val="ListParagraph"/>
              <w:widowControl w:val="false"/>
              <w:numPr>
                <w:ilvl w:val="0"/>
                <w:numId w:val="52"/>
              </w:numPr>
              <w:spacing w:before="60" w:after="60"/>
              <w:ind w:hanging="567" w:left="1418"/>
              <w:contextualSpacing w:val="false"/>
              <w:jc w:val="both"/>
              <w:rPr>
                <w:sz w:val="22"/>
                <w:szCs w:val="22"/>
              </w:rPr>
            </w:pPr>
            <w:r>
              <w:rPr>
                <w:rFonts w:cs="Times New Roman"/>
                <w:kern w:val="0"/>
                <w:sz w:val="22"/>
                <w:szCs w:val="22"/>
                <w:lang w:eastAsia="ru-RU" w:bidi="ar-SA"/>
              </w:rPr>
              <w:t>Шапка должна быть выполнена из трикотажного полотна (100% ПАН).</w:t>
            </w:r>
          </w:p>
          <w:p>
            <w:pPr>
              <w:pStyle w:val="ListParagraph"/>
              <w:widowControl w:val="false"/>
              <w:numPr>
                <w:ilvl w:val="0"/>
                <w:numId w:val="52"/>
              </w:numPr>
              <w:spacing w:before="60" w:after="60"/>
              <w:ind w:hanging="567" w:left="1418"/>
              <w:contextualSpacing w:val="false"/>
              <w:jc w:val="both"/>
              <w:rPr>
                <w:sz w:val="22"/>
                <w:szCs w:val="22"/>
              </w:rPr>
            </w:pPr>
            <w:r>
              <w:rPr>
                <w:rFonts w:cs="Times New Roman"/>
                <w:kern w:val="0"/>
                <w:sz w:val="22"/>
                <w:szCs w:val="22"/>
                <w:lang w:eastAsia="ru-RU" w:bidi="ar-SA"/>
              </w:rPr>
              <w:t>Утеплитель: Тинсулейт или эквивалент.</w:t>
            </w:r>
          </w:p>
          <w:p>
            <w:pPr>
              <w:pStyle w:val="ListParagraph"/>
              <w:widowControl w:val="false"/>
              <w:numPr>
                <w:ilvl w:val="0"/>
                <w:numId w:val="52"/>
              </w:numPr>
              <w:spacing w:before="60" w:after="60"/>
              <w:ind w:hanging="567" w:left="1418"/>
              <w:contextualSpacing w:val="false"/>
              <w:jc w:val="both"/>
              <w:rPr>
                <w:sz w:val="22"/>
                <w:szCs w:val="22"/>
              </w:rPr>
            </w:pPr>
            <w:r>
              <w:rPr>
                <w:rFonts w:cs="Times New Roman"/>
                <w:kern w:val="0"/>
                <w:sz w:val="22"/>
                <w:szCs w:val="22"/>
                <w:lang w:eastAsia="ru-RU" w:bidi="ar-SA"/>
              </w:rPr>
              <w:t>Подкладка: Флис (100% полиэфир).</w:t>
            </w:r>
          </w:p>
          <w:p>
            <w:pPr>
              <w:pStyle w:val="ListParagraph"/>
              <w:widowControl w:val="false"/>
              <w:numPr>
                <w:ilvl w:val="0"/>
                <w:numId w:val="52"/>
              </w:numPr>
              <w:spacing w:before="60" w:after="60"/>
              <w:ind w:hanging="567" w:left="1418"/>
              <w:contextualSpacing w:val="false"/>
              <w:jc w:val="both"/>
              <w:rPr>
                <w:sz w:val="22"/>
                <w:szCs w:val="22"/>
              </w:rPr>
            </w:pPr>
            <w:r>
              <w:rPr>
                <w:rFonts w:cs="Times New Roman"/>
                <w:kern w:val="0"/>
                <w:sz w:val="22"/>
                <w:szCs w:val="22"/>
                <w:lang w:eastAsia="ru-RU" w:bidi="ar-SA"/>
              </w:rPr>
              <w:t>Цвет: темно-синий.</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017/2011.</w:t>
            </w:r>
          </w:p>
          <w:p>
            <w:pPr>
              <w:pStyle w:val="ListParagraph"/>
              <w:widowControl w:val="false"/>
              <w:numPr>
                <w:ilvl w:val="3"/>
                <w:numId w:val="10"/>
              </w:numPr>
              <w:spacing w:before="60" w:after="60"/>
              <w:ind w:hanging="851" w:left="851"/>
              <w:contextualSpacing w:val="false"/>
              <w:jc w:val="both"/>
              <w:rPr>
                <w:b/>
                <w:bCs/>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017/2011.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Перчатки</w:t>
            </w:r>
            <w:r>
              <w:rPr>
                <w:rFonts w:eastAsia="Times New Roman" w:cs="Times New Roman"/>
                <w:b/>
                <w:bCs/>
                <w:i/>
                <w:kern w:val="0"/>
                <w:sz w:val="22"/>
                <w:szCs w:val="22"/>
                <w:lang w:val="en-US" w:eastAsia="ru-RU" w:bidi="ar-SA"/>
              </w:rPr>
              <w:t xml:space="preserve">и </w:t>
            </w:r>
            <w:r>
              <w:rPr>
                <w:rFonts w:eastAsia="Times New Roman" w:cs="Times New Roman"/>
                <w:b/>
                <w:bCs/>
                <w:i/>
                <w:kern w:val="0"/>
                <w:sz w:val="22"/>
                <w:szCs w:val="22"/>
                <w:lang w:eastAsia="ru-RU" w:bidi="ar-SA"/>
              </w:rPr>
              <w:t>с полимерным покрытием</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eastAsia="Calibri"/>
                <w:sz w:val="22"/>
                <w:szCs w:val="22"/>
              </w:rPr>
            </w:pPr>
            <w:r>
              <w:rPr>
                <w:rFonts w:eastAsia="Times New Roman" w:cs="Times New Roman"/>
                <w:b/>
                <w:kern w:val="0"/>
                <w:sz w:val="22"/>
                <w:szCs w:val="22"/>
                <w:lang w:eastAsia="ru-RU" w:bidi="ar-SA"/>
              </w:rPr>
              <w:t>Перчатки изготовлены в соответствии с ТР ТС 019/2011 «О безопасности средств индивидуальной защиты»</w:t>
            </w:r>
          </w:p>
          <w:p>
            <w:pPr>
              <w:pStyle w:val="Normal"/>
              <w:widowControl w:val="false"/>
              <w:spacing w:before="60" w:after="60"/>
              <w:jc w:val="center"/>
              <w:rPr>
                <w:rFonts w:eastAsia="Calibri"/>
                <w:sz w:val="22"/>
                <w:szCs w:val="22"/>
              </w:rPr>
            </w:pPr>
            <w:r>
              <w:rPr/>
              <w:drawing>
                <wp:inline distT="0" distB="0" distL="0" distR="0">
                  <wp:extent cx="1440180" cy="1663065"/>
                  <wp:effectExtent l="0" t="0" r="0" b="0"/>
                  <wp:docPr id="23"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5" descr=""/>
                          <pic:cNvPicPr>
                            <a:picLocks noChangeAspect="1" noChangeArrowheads="1"/>
                          </pic:cNvPicPr>
                        </pic:nvPicPr>
                        <pic:blipFill>
                          <a:blip r:embed="rId32"/>
                          <a:stretch>
                            <a:fillRect/>
                          </a:stretch>
                        </pic:blipFill>
                        <pic:spPr bwMode="auto">
                          <a:xfrm>
                            <a:off x="0" y="0"/>
                            <a:ext cx="1440180" cy="1663065"/>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характеристики:</w:t>
            </w:r>
          </w:p>
          <w:p>
            <w:pPr>
              <w:pStyle w:val="ListParagraph"/>
              <w:widowControl w:val="false"/>
              <w:numPr>
                <w:ilvl w:val="0"/>
                <w:numId w:val="53"/>
              </w:numPr>
              <w:spacing w:before="60" w:after="60"/>
              <w:ind w:hanging="567" w:left="1418"/>
              <w:contextualSpacing w:val="false"/>
              <w:jc w:val="both"/>
              <w:rPr>
                <w:sz w:val="22"/>
                <w:szCs w:val="22"/>
              </w:rPr>
            </w:pPr>
            <w:r>
              <w:rPr>
                <w:rFonts w:cs="Times New Roman"/>
                <w:kern w:val="0"/>
                <w:sz w:val="22"/>
                <w:szCs w:val="22"/>
                <w:lang w:eastAsia="ru-RU" w:bidi="ar-SA"/>
              </w:rPr>
              <w:t>Перчатки защищают руки от порезов, ушибов, царапин.</w:t>
            </w:r>
          </w:p>
          <w:p>
            <w:pPr>
              <w:pStyle w:val="ListParagraph"/>
              <w:widowControl w:val="false"/>
              <w:numPr>
                <w:ilvl w:val="0"/>
                <w:numId w:val="53"/>
              </w:numPr>
              <w:spacing w:before="60" w:after="60"/>
              <w:ind w:hanging="567" w:left="1418"/>
              <w:contextualSpacing w:val="false"/>
              <w:jc w:val="both"/>
              <w:rPr>
                <w:sz w:val="22"/>
                <w:szCs w:val="22"/>
              </w:rPr>
            </w:pPr>
            <w:r>
              <w:rPr>
                <w:rFonts w:cs="Times New Roman"/>
                <w:kern w:val="0"/>
                <w:sz w:val="22"/>
                <w:szCs w:val="22"/>
                <w:lang w:eastAsia="ru-RU" w:bidi="ar-SA"/>
              </w:rPr>
              <w:t>Дышащая способность обеспечивает комфорт во время работы.</w:t>
            </w:r>
          </w:p>
          <w:p>
            <w:pPr>
              <w:pStyle w:val="ListParagraph"/>
              <w:widowControl w:val="false"/>
              <w:numPr>
                <w:ilvl w:val="0"/>
                <w:numId w:val="53"/>
              </w:numPr>
              <w:spacing w:before="60" w:after="60"/>
              <w:ind w:hanging="567" w:left="1418"/>
              <w:contextualSpacing w:val="false"/>
              <w:jc w:val="both"/>
              <w:rPr>
                <w:sz w:val="22"/>
                <w:szCs w:val="22"/>
              </w:rPr>
            </w:pPr>
            <w:r>
              <w:rPr>
                <w:rFonts w:cs="Times New Roman"/>
                <w:kern w:val="0"/>
                <w:sz w:val="22"/>
                <w:szCs w:val="22"/>
                <w:lang w:eastAsia="ru-RU" w:bidi="ar-SA"/>
              </w:rPr>
              <w:t>Модель имеет анатомическую форму, которая снижает усталость рук.</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54"/>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w:t>
            </w:r>
          </w:p>
          <w:p>
            <w:pPr>
              <w:pStyle w:val="ListParagraph"/>
              <w:widowControl w:val="false"/>
              <w:spacing w:before="60" w:after="60"/>
              <w:ind w:left="1418"/>
              <w:contextualSpacing w:val="false"/>
              <w:jc w:val="both"/>
              <w:rPr>
                <w:sz w:val="22"/>
                <w:szCs w:val="22"/>
              </w:rPr>
            </w:pPr>
            <w:r>
              <w:rPr>
                <w:rFonts w:cs="Times New Roman"/>
                <w:b/>
                <w:kern w:val="0"/>
                <w:sz w:val="22"/>
                <w:szCs w:val="22"/>
                <w:lang w:eastAsia="ru-RU" w:bidi="ar-SA"/>
              </w:rPr>
              <w:t>Ми</w:t>
            </w:r>
            <w:r>
              <w:rPr>
                <w:rFonts w:cs="Times New Roman"/>
                <w:kern w:val="0"/>
                <w:sz w:val="22"/>
                <w:szCs w:val="22"/>
                <w:lang w:eastAsia="ru-RU" w:bidi="ar-SA"/>
              </w:rPr>
              <w:t> – Защита от механических воздействий: от истирания;</w:t>
            </w:r>
          </w:p>
          <w:p>
            <w:pPr>
              <w:pStyle w:val="ListParagraph"/>
              <w:widowControl w:val="false"/>
              <w:numPr>
                <w:ilvl w:val="0"/>
                <w:numId w:val="54"/>
              </w:numPr>
              <w:spacing w:before="60" w:after="60"/>
              <w:ind w:hanging="567" w:left="1418"/>
              <w:contextualSpacing w:val="false"/>
              <w:jc w:val="both"/>
              <w:rPr>
                <w:sz w:val="22"/>
                <w:szCs w:val="22"/>
              </w:rPr>
            </w:pPr>
            <w:r>
              <w:rPr>
                <w:rFonts w:cs="Times New Roman"/>
                <w:kern w:val="0"/>
                <w:sz w:val="22"/>
                <w:szCs w:val="22"/>
                <w:lang w:eastAsia="ru-RU" w:bidi="ar-SA"/>
              </w:rPr>
              <w:t>Защитные свойства по ГОСТ EN 388:</w:t>
            </w:r>
          </w:p>
          <w:p>
            <w:pPr>
              <w:pStyle w:val="ListParagraph"/>
              <w:widowControl w:val="false"/>
              <w:numPr>
                <w:ilvl w:val="0"/>
                <w:numId w:val="55"/>
              </w:numPr>
              <w:spacing w:before="60" w:after="60"/>
              <w:ind w:hanging="567" w:left="1985"/>
              <w:contextualSpacing w:val="false"/>
              <w:jc w:val="both"/>
              <w:rPr>
                <w:b/>
                <w:sz w:val="22"/>
                <w:szCs w:val="22"/>
              </w:rPr>
            </w:pPr>
            <w:r>
              <w:rPr>
                <w:rFonts w:cs="Times New Roman"/>
                <w:b/>
                <w:kern w:val="0"/>
                <w:sz w:val="22"/>
                <w:szCs w:val="22"/>
                <w:lang w:eastAsia="ru-RU" w:bidi="ar-SA"/>
              </w:rPr>
              <w:t>Стойкость к истиранию</w:t>
            </w:r>
            <w:r>
              <w:rPr>
                <w:rFonts w:cs="Times New Roman"/>
                <w:kern w:val="0"/>
                <w:sz w:val="22"/>
                <w:szCs w:val="22"/>
                <w:lang w:eastAsia="ru-RU" w:bidi="ar-SA"/>
              </w:rPr>
              <w:t>: уровень 3 (не менее 2000 циклов);</w:t>
            </w:r>
          </w:p>
          <w:p>
            <w:pPr>
              <w:pStyle w:val="ListParagraph"/>
              <w:widowControl w:val="false"/>
              <w:numPr>
                <w:ilvl w:val="0"/>
                <w:numId w:val="55"/>
              </w:numPr>
              <w:spacing w:before="60" w:after="60"/>
              <w:ind w:hanging="567" w:left="1985"/>
              <w:contextualSpacing w:val="false"/>
              <w:jc w:val="both"/>
              <w:rPr>
                <w:b/>
                <w:sz w:val="22"/>
                <w:szCs w:val="22"/>
              </w:rPr>
            </w:pPr>
            <w:r>
              <w:rPr>
                <w:rFonts w:cs="Times New Roman"/>
                <w:b/>
                <w:kern w:val="0"/>
                <w:sz w:val="22"/>
                <w:szCs w:val="22"/>
                <w:lang w:eastAsia="ru-RU" w:bidi="ar-SA"/>
              </w:rPr>
              <w:t>Сопротивление порезу</w:t>
            </w:r>
            <w:r>
              <w:rPr>
                <w:rFonts w:cs="Times New Roman"/>
                <w:kern w:val="0"/>
                <w:sz w:val="22"/>
                <w:szCs w:val="22"/>
                <w:lang w:eastAsia="ru-RU" w:bidi="ar-SA"/>
              </w:rPr>
              <w:t>: уровень 1 (индекс не менее 1,2);</w:t>
            </w:r>
          </w:p>
          <w:p>
            <w:pPr>
              <w:pStyle w:val="ListParagraph"/>
              <w:widowControl w:val="false"/>
              <w:numPr>
                <w:ilvl w:val="0"/>
                <w:numId w:val="55"/>
              </w:numPr>
              <w:spacing w:before="60" w:after="60"/>
              <w:ind w:hanging="567" w:left="1985"/>
              <w:contextualSpacing w:val="false"/>
              <w:jc w:val="both"/>
              <w:rPr>
                <w:b/>
                <w:sz w:val="22"/>
                <w:szCs w:val="22"/>
              </w:rPr>
            </w:pPr>
            <w:r>
              <w:rPr>
                <w:rFonts w:cs="Times New Roman"/>
                <w:b/>
                <w:kern w:val="0"/>
                <w:sz w:val="22"/>
                <w:szCs w:val="22"/>
                <w:lang w:eastAsia="ru-RU" w:bidi="ar-SA"/>
              </w:rPr>
              <w:t>Сопротивление раздиру</w:t>
            </w:r>
            <w:r>
              <w:rPr>
                <w:rFonts w:cs="Times New Roman"/>
                <w:kern w:val="0"/>
                <w:sz w:val="22"/>
                <w:szCs w:val="22"/>
                <w:lang w:eastAsia="ru-RU" w:bidi="ar-SA"/>
              </w:rPr>
              <w:t>: уровень 3 (не менее 50 Н);</w:t>
            </w:r>
          </w:p>
          <w:p>
            <w:pPr>
              <w:pStyle w:val="ListParagraph"/>
              <w:widowControl w:val="false"/>
              <w:numPr>
                <w:ilvl w:val="0"/>
                <w:numId w:val="55"/>
              </w:numPr>
              <w:spacing w:before="60" w:after="60"/>
              <w:ind w:hanging="567" w:left="1985"/>
              <w:contextualSpacing w:val="false"/>
              <w:jc w:val="both"/>
              <w:rPr>
                <w:b/>
                <w:sz w:val="22"/>
                <w:szCs w:val="22"/>
              </w:rPr>
            </w:pPr>
            <w:r>
              <w:rPr>
                <w:rFonts w:cs="Times New Roman"/>
                <w:b/>
                <w:kern w:val="0"/>
                <w:sz w:val="22"/>
                <w:szCs w:val="22"/>
                <w:lang w:eastAsia="ru-RU" w:bidi="ar-SA"/>
              </w:rPr>
              <w:t>Стойкость к проколу</w:t>
            </w:r>
            <w:r>
              <w:rPr>
                <w:rFonts w:cs="Times New Roman"/>
                <w:kern w:val="0"/>
                <w:sz w:val="22"/>
                <w:szCs w:val="22"/>
                <w:lang w:eastAsia="ru-RU" w:bidi="ar-SA"/>
              </w:rPr>
              <w:t>: уровень 1 (не менее 20 Н).</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iCs/>
                <w:kern w:val="0"/>
                <w:sz w:val="22"/>
                <w:szCs w:val="22"/>
                <w:lang w:val="en-US" w:eastAsia="ru-RU" w:bidi="ar-SA"/>
              </w:rPr>
              <w:t>О</w:t>
            </w:r>
            <w:r>
              <w:rPr>
                <w:rFonts w:eastAsia="Times New Roman" w:cs="Times New Roman"/>
                <w:b/>
                <w:bCs/>
                <w:i/>
                <w:iCs/>
                <w:kern w:val="0"/>
                <w:sz w:val="22"/>
                <w:szCs w:val="22"/>
                <w:lang w:eastAsia="ru-RU" w:bidi="ar-SA"/>
              </w:rPr>
              <w:t>чк</w:t>
            </w:r>
            <w:r>
              <w:rPr>
                <w:rFonts w:eastAsia="Times New Roman" w:cs="Times New Roman"/>
                <w:b/>
                <w:bCs/>
                <w:i/>
                <w:iCs/>
                <w:kern w:val="0"/>
                <w:sz w:val="22"/>
                <w:szCs w:val="22"/>
                <w:lang w:val="en-US" w:eastAsia="ru-RU" w:bidi="ar-SA"/>
              </w:rPr>
              <w:t>и</w:t>
            </w:r>
            <w:r>
              <w:rPr>
                <w:rFonts w:eastAsia="Times New Roman" w:cs="Times New Roman"/>
                <w:b/>
                <w:bCs/>
                <w:i/>
                <w:iCs/>
                <w:kern w:val="0"/>
                <w:sz w:val="22"/>
                <w:szCs w:val="22"/>
                <w:lang w:eastAsia="ru-RU" w:bidi="ar-SA"/>
              </w:rPr>
              <w:t xml:space="preserve"> защитны</w:t>
            </w:r>
            <w:r>
              <w:rPr>
                <w:rFonts w:eastAsia="Times New Roman" w:cs="Times New Roman"/>
                <w:b/>
                <w:bCs/>
                <w:i/>
                <w:iCs/>
                <w:kern w:val="0"/>
                <w:sz w:val="22"/>
                <w:szCs w:val="22"/>
                <w:lang w:val="en-US" w:eastAsia="ru-RU" w:bidi="ar-SA"/>
              </w:rPr>
              <w:t>е</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Очки изготовлены в соответствии с ТР ТС 019/2011 «О безопасности средств индивидуальной защиты»</w:t>
            </w:r>
          </w:p>
          <w:p>
            <w:pPr>
              <w:pStyle w:val="Normal"/>
              <w:widowControl w:val="false"/>
              <w:spacing w:before="60" w:after="60"/>
              <w:jc w:val="center"/>
              <w:rPr>
                <w:sz w:val="22"/>
                <w:szCs w:val="22"/>
              </w:rPr>
            </w:pPr>
            <w:r>
              <w:rPr/>
              <w:drawing>
                <wp:inline distT="0" distB="0" distL="0" distR="0">
                  <wp:extent cx="1440180" cy="716280"/>
                  <wp:effectExtent l="0" t="0" r="0" b="0"/>
                  <wp:docPr id="24" name="Рисунок 33" descr="C:\Users\KanukaEA\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33" descr="C:\Users\KanukaEA\Downloads\1.jpg"/>
                          <pic:cNvPicPr>
                            <a:picLocks noChangeAspect="1" noChangeArrowheads="1"/>
                          </pic:cNvPicPr>
                        </pic:nvPicPr>
                        <pic:blipFill>
                          <a:blip r:embed="rId33"/>
                          <a:stretch>
                            <a:fillRect/>
                          </a:stretch>
                        </pic:blipFill>
                        <pic:spPr bwMode="auto">
                          <a:xfrm>
                            <a:off x="0" y="0"/>
                            <a:ext cx="1440180" cy="71628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Технические характеристики</w:t>
            </w:r>
            <w:r>
              <w:rPr>
                <w:rFonts w:cs="Times New Roman"/>
                <w:kern w:val="0"/>
                <w:sz w:val="22"/>
                <w:szCs w:val="22"/>
                <w:lang w:eastAsia="ru-RU" w:bidi="ar-SA"/>
              </w:rPr>
              <w:t>:</w:t>
            </w:r>
          </w:p>
          <w:p>
            <w:pPr>
              <w:pStyle w:val="ListParagraph"/>
              <w:widowControl w:val="false"/>
              <w:numPr>
                <w:ilvl w:val="0"/>
                <w:numId w:val="56"/>
              </w:numPr>
              <w:spacing w:before="60" w:after="60"/>
              <w:ind w:hanging="567" w:left="1418"/>
              <w:contextualSpacing w:val="false"/>
              <w:jc w:val="both"/>
              <w:rPr>
                <w:sz w:val="22"/>
                <w:szCs w:val="22"/>
              </w:rPr>
            </w:pPr>
            <w:r>
              <w:rPr>
                <w:rFonts w:cs="Times New Roman"/>
                <w:kern w:val="0"/>
                <w:sz w:val="22"/>
                <w:szCs w:val="22"/>
                <w:lang w:eastAsia="ru-RU" w:bidi="ar-SA"/>
              </w:rPr>
              <w:t>Очки, открытые обтекаемой охватывающей конструкции, обеспечивают плотное прилегание и увеличенный панорамный обзор.</w:t>
            </w:r>
          </w:p>
          <w:p>
            <w:pPr>
              <w:pStyle w:val="ListParagraph"/>
              <w:widowControl w:val="false"/>
              <w:numPr>
                <w:ilvl w:val="0"/>
                <w:numId w:val="56"/>
              </w:numPr>
              <w:spacing w:before="60" w:after="60"/>
              <w:ind w:hanging="567" w:left="1418"/>
              <w:contextualSpacing w:val="false"/>
              <w:jc w:val="both"/>
              <w:rPr>
                <w:sz w:val="22"/>
                <w:szCs w:val="22"/>
              </w:rPr>
            </w:pPr>
            <w:r>
              <w:rPr>
                <w:rFonts w:cs="Times New Roman"/>
                <w:kern w:val="0"/>
                <w:sz w:val="22"/>
                <w:szCs w:val="22"/>
                <w:lang w:eastAsia="ru-RU" w:bidi="ar-SA"/>
              </w:rPr>
              <w:t>Очки выполнены из поликарбоната и защищают глаза спереди и с боков от высокоскоростных летящих частиц с низкоэнергетическим ударом (скоростью 45 м/с), устойчивы к воздействию химических веществ при экстремальных температурах.</w:t>
            </w:r>
          </w:p>
          <w:p>
            <w:pPr>
              <w:pStyle w:val="ListParagraph"/>
              <w:widowControl w:val="false"/>
              <w:numPr>
                <w:ilvl w:val="0"/>
                <w:numId w:val="56"/>
              </w:numPr>
              <w:spacing w:before="60" w:after="60"/>
              <w:ind w:hanging="567" w:left="1418"/>
              <w:contextualSpacing w:val="false"/>
              <w:jc w:val="both"/>
              <w:rPr>
                <w:sz w:val="22"/>
                <w:szCs w:val="22"/>
              </w:rPr>
            </w:pPr>
            <w:r>
              <w:rPr>
                <w:rFonts w:cs="Times New Roman"/>
                <w:kern w:val="0"/>
                <w:sz w:val="22"/>
                <w:szCs w:val="22"/>
                <w:lang w:eastAsia="ru-RU" w:bidi="ar-SA"/>
              </w:rPr>
              <w:t>Очки обеспечивают защиту от УФ-излучения и соответствуют 1 оптическому классу.</w:t>
            </w:r>
          </w:p>
          <w:p>
            <w:pPr>
              <w:pStyle w:val="ListParagraph"/>
              <w:widowControl w:val="false"/>
              <w:numPr>
                <w:ilvl w:val="0"/>
                <w:numId w:val="56"/>
              </w:numPr>
              <w:spacing w:before="60" w:after="60"/>
              <w:ind w:hanging="567" w:left="1418"/>
              <w:contextualSpacing w:val="false"/>
              <w:jc w:val="both"/>
              <w:rPr>
                <w:sz w:val="22"/>
                <w:szCs w:val="22"/>
              </w:rPr>
            </w:pPr>
            <w:r>
              <w:rPr>
                <w:rFonts w:cs="Times New Roman"/>
                <w:kern w:val="0"/>
                <w:sz w:val="22"/>
                <w:szCs w:val="22"/>
                <w:lang w:eastAsia="ru-RU" w:bidi="ar-SA"/>
              </w:rPr>
              <w:t>Линза имеет прозрачный цвет. Линза выполнена с двусторонним незапотевающим покрытием, устойчивым к царапанию.</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i/>
                <w:i/>
                <w:iCs/>
                <w:sz w:val="22"/>
                <w:szCs w:val="22"/>
              </w:rPr>
            </w:pPr>
            <w:r>
              <w:rPr>
                <w:rFonts w:eastAsia="Times New Roman" w:cs="Times New Roman"/>
                <w:b/>
                <w:bCs/>
                <w:i/>
                <w:kern w:val="0"/>
                <w:sz w:val="22"/>
                <w:szCs w:val="22"/>
                <w:lang w:val="en-US" w:eastAsia="ru-RU" w:bidi="ar-SA"/>
              </w:rPr>
              <w:t>Н</w:t>
            </w:r>
            <w:r>
              <w:rPr>
                <w:rFonts w:eastAsia="Times New Roman" w:cs="Times New Roman"/>
                <w:b/>
                <w:bCs/>
                <w:i/>
                <w:kern w:val="0"/>
                <w:sz w:val="22"/>
                <w:szCs w:val="22"/>
                <w:lang w:eastAsia="ru-RU" w:bidi="ar-SA"/>
              </w:rPr>
              <w:t>аушники противошумны</w:t>
            </w:r>
            <w:r>
              <w:rPr>
                <w:rFonts w:eastAsia="Times New Roman" w:cs="Times New Roman"/>
                <w:b/>
                <w:bCs/>
                <w:i/>
                <w:kern w:val="0"/>
                <w:sz w:val="22"/>
                <w:szCs w:val="22"/>
                <w:lang w:val="en-US" w:eastAsia="ru-RU" w:bidi="ar-SA"/>
              </w:rPr>
              <w:t>е</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Наушники с креплением на каску изготовлены в соответствии с ТР ТС 019/2011 «О безопасности средств индивидуальной защиты»</w:t>
            </w:r>
          </w:p>
          <w:p>
            <w:pPr>
              <w:pStyle w:val="Normal"/>
              <w:widowControl w:val="false"/>
              <w:spacing w:before="60" w:after="60"/>
              <w:jc w:val="center"/>
              <w:rPr>
                <w:sz w:val="22"/>
                <w:szCs w:val="22"/>
              </w:rPr>
            </w:pPr>
            <w:r>
              <w:rPr/>
              <w:drawing>
                <wp:inline distT="0" distB="0" distL="0" distR="0">
                  <wp:extent cx="737235" cy="1535430"/>
                  <wp:effectExtent l="0" t="0" r="0" b="0"/>
                  <wp:docPr id="25"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1" descr=""/>
                          <pic:cNvPicPr>
                            <a:picLocks noChangeAspect="1" noChangeArrowheads="1"/>
                          </pic:cNvPicPr>
                        </pic:nvPicPr>
                        <pic:blipFill>
                          <a:blip r:embed="rId34"/>
                          <a:stretch>
                            <a:fillRect/>
                          </a:stretch>
                        </pic:blipFill>
                        <pic:spPr bwMode="auto">
                          <a:xfrm>
                            <a:off x="0" y="0"/>
                            <a:ext cx="737235" cy="153543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характеристики:</w:t>
            </w:r>
          </w:p>
          <w:p>
            <w:pPr>
              <w:pStyle w:val="ListParagraph"/>
              <w:widowControl w:val="false"/>
              <w:spacing w:before="60" w:after="60"/>
              <w:ind w:left="851"/>
              <w:contextualSpacing w:val="false"/>
              <w:jc w:val="both"/>
              <w:rPr>
                <w:sz w:val="22"/>
                <w:szCs w:val="22"/>
              </w:rPr>
            </w:pPr>
            <w:r>
              <w:rPr>
                <w:rFonts w:cs="Times New Roman"/>
                <w:kern w:val="0"/>
                <w:sz w:val="22"/>
                <w:szCs w:val="22"/>
                <w:lang w:eastAsia="ru-RU" w:bidi="ar-SA"/>
              </w:rPr>
              <w:t>Наушники выполнены с функцией пассивной защиты. Подходят для защиты от шума с умеренным уровнем во всех отраслях промышленности.</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Технические характеристики:</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Наушники способствуют снижению уровня шума, среднее значение соответствует 27 дБ. Наушники осуществляют избирательное поглощение шума: защищают от воздействия шума до 107 дБ, давая возможность различать речь и сигналы опасности.</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Наушники изготовлены из прочных пластмассовых чашек с повышенным шумопоглощением, вкладышей. Звукопоглощающие вкладыши выполнены из вспененного полиуретана и обеспечивают хорошее поглощение шума, легко достаются из чашек для чистки.</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Наушники имеют мягкие широкие амортизаторы, которые обеспечивают оптимальное прижатие чашек к голове.</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Наушники имеют регулируемые по высоте держатели с адаптерами для крепления к каске. Адаптеры позволяют одновременное ношение щитков защитных лицевых (типа КБТ). В основании держателей напряженная сталь, за счет этого обеспечивается стабильный уровень прижатия к голове. Держатели имеют 2 точки крепления к чашке.</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У наушников должно быть предусмотрено 8-ступенчатое устройство регулировки высоты ношения.</w:t>
            </w:r>
          </w:p>
          <w:p>
            <w:pPr>
              <w:pStyle w:val="ListParagraph"/>
              <w:widowControl w:val="false"/>
              <w:numPr>
                <w:ilvl w:val="0"/>
                <w:numId w:val="57"/>
              </w:numPr>
              <w:spacing w:before="60" w:after="60"/>
              <w:ind w:hanging="567" w:left="1418"/>
              <w:contextualSpacing w:val="false"/>
              <w:jc w:val="both"/>
              <w:rPr>
                <w:sz w:val="22"/>
                <w:szCs w:val="22"/>
              </w:rPr>
            </w:pPr>
            <w:r>
              <w:rPr>
                <w:rFonts w:cs="Times New Roman"/>
                <w:kern w:val="0"/>
                <w:sz w:val="22"/>
                <w:szCs w:val="22"/>
                <w:lang w:eastAsia="ru-RU" w:bidi="ar-SA"/>
              </w:rPr>
              <w:t>Масса: не более 189 г.</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val="en-US" w:eastAsia="ru-RU" w:bidi="ar-SA"/>
              </w:rPr>
              <w:t>Самоспасатель</w:t>
            </w:r>
          </w:p>
        </w:tc>
        <w:tc>
          <w:tcPr>
            <w:tcW w:w="281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22"/>
                <w:szCs w:val="22"/>
              </w:rPr>
            </w:pPr>
            <w:r>
              <w:rPr>
                <w:rFonts w:eastAsia="Times New Roman" w:cs="Times New Roman"/>
                <w:b/>
                <w:kern w:val="0"/>
                <w:sz w:val="22"/>
                <w:szCs w:val="22"/>
                <w:lang w:eastAsia="ru-RU" w:bidi="ar-SA"/>
              </w:rPr>
              <w:t>Самоспасатель изготовлен в соответствии с Техническим регламентом о требованиях пожарной безопасности и ТР ТС 019/2011 «О безопасности средств индивидуальной защиты»</w:t>
            </w:r>
          </w:p>
          <w:p>
            <w:pPr>
              <w:pStyle w:val="Normal"/>
              <w:widowControl w:val="false"/>
              <w:spacing w:before="60" w:after="60"/>
              <w:jc w:val="center"/>
              <w:rPr>
                <w:sz w:val="22"/>
                <w:szCs w:val="22"/>
              </w:rPr>
            </w:pPr>
            <w:r>
              <w:rPr/>
              <w:drawing>
                <wp:inline distT="0" distB="0" distL="0" distR="0">
                  <wp:extent cx="1440180" cy="1677670"/>
                  <wp:effectExtent l="0" t="0" r="0" b="0"/>
                  <wp:docPr id="26"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8" descr=""/>
                          <pic:cNvPicPr>
                            <a:picLocks noChangeAspect="1" noChangeArrowheads="1"/>
                          </pic:cNvPicPr>
                        </pic:nvPicPr>
                        <pic:blipFill>
                          <a:blip r:embed="rId35"/>
                          <a:stretch>
                            <a:fillRect/>
                          </a:stretch>
                        </pic:blipFill>
                        <pic:spPr bwMode="auto">
                          <a:xfrm>
                            <a:off x="0" y="0"/>
                            <a:ext cx="1440180" cy="1677670"/>
                          </a:xfrm>
                          <a:prstGeom prst="rect">
                            <a:avLst/>
                          </a:prstGeom>
                        </pic:spPr>
                      </pic:pic>
                    </a:graphicData>
                  </a:graphic>
                </wp:inline>
              </w:drawing>
            </w:r>
          </w:p>
        </w:tc>
        <w:tc>
          <w:tcPr>
            <w:tcW w:w="9160" w:type="dxa"/>
            <w:gridSpan w:val="6"/>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и технические характеристики:</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Фильтрующий самоспасатель предназначен для защиты органов дыхания, глаз, кожи лица и головы взрослых и детей (от 7 лет) от паров, газов и аэрозолей опасных химических веществ при эвакуации из зданий, сооружений и объектов различного, а также из зон химического заражения.</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Самоспасатель применяется при объемной доле кислорода в воздухе не менее 17%, относительной влажности воздуха до 98% и температуре воздуха, не превышающей 600°С.</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Самоспасатель имеет защитные свойства по парам и газам следующих опасных химических веществ:</w:t>
            </w:r>
          </w:p>
          <w:p>
            <w:pPr>
              <w:pStyle w:val="ListParagraph"/>
              <w:widowControl w:val="false"/>
              <w:numPr>
                <w:ilvl w:val="0"/>
                <w:numId w:val="59"/>
              </w:numPr>
              <w:spacing w:before="60" w:after="60"/>
              <w:ind w:hanging="567" w:left="1985"/>
              <w:contextualSpacing w:val="false"/>
              <w:jc w:val="both"/>
              <w:rPr>
                <w:sz w:val="22"/>
                <w:szCs w:val="22"/>
              </w:rPr>
            </w:pPr>
            <w:r>
              <w:rPr>
                <w:rFonts w:cs="Times New Roman"/>
                <w:b/>
                <w:kern w:val="0"/>
                <w:sz w:val="22"/>
                <w:szCs w:val="22"/>
                <w:lang w:eastAsia="ru-RU" w:bidi="ar-SA"/>
              </w:rPr>
              <w:t>А</w:t>
            </w:r>
            <w:r>
              <w:rPr>
                <w:rFonts w:cs="Times New Roman"/>
                <w:kern w:val="0"/>
                <w:sz w:val="22"/>
                <w:szCs w:val="22"/>
                <w:lang w:eastAsia="ru-RU" w:bidi="ar-SA"/>
              </w:rPr>
              <w:t xml:space="preserve"> - ацетонитрил, акрилонитрил, бензол и его производные, метилакрилат, метилбромид, метилмеркаптан, этилмеркаптан, этиленсульфид хлорпикрин, циклогексан, фосфорорганические вещества;</w:t>
            </w:r>
          </w:p>
          <w:p>
            <w:pPr>
              <w:pStyle w:val="ListParagraph"/>
              <w:widowControl w:val="false"/>
              <w:numPr>
                <w:ilvl w:val="0"/>
                <w:numId w:val="59"/>
              </w:numPr>
              <w:spacing w:before="60" w:after="60"/>
              <w:ind w:hanging="567" w:left="1985"/>
              <w:contextualSpacing w:val="false"/>
              <w:jc w:val="both"/>
              <w:rPr>
                <w:b/>
                <w:sz w:val="22"/>
                <w:szCs w:val="22"/>
              </w:rPr>
            </w:pPr>
            <w:r>
              <w:rPr>
                <w:rFonts w:cs="Times New Roman"/>
                <w:b/>
                <w:kern w:val="0"/>
                <w:sz w:val="22"/>
                <w:szCs w:val="22"/>
                <w:lang w:eastAsia="ru-RU" w:bidi="ar-SA"/>
              </w:rPr>
              <w:t>АХ</w:t>
            </w:r>
            <w:r>
              <w:rPr>
                <w:rFonts w:cs="Times New Roman"/>
                <w:kern w:val="0"/>
                <w:sz w:val="22"/>
                <w:szCs w:val="22"/>
                <w:lang w:eastAsia="ru-RU" w:bidi="ar-SA"/>
              </w:rPr>
              <w:t xml:space="preserve"> - акролеин;</w:t>
            </w:r>
          </w:p>
          <w:p>
            <w:pPr>
              <w:pStyle w:val="ListParagraph"/>
              <w:widowControl w:val="false"/>
              <w:numPr>
                <w:ilvl w:val="0"/>
                <w:numId w:val="59"/>
              </w:numPr>
              <w:spacing w:before="60" w:after="60"/>
              <w:ind w:hanging="567" w:left="1985"/>
              <w:contextualSpacing w:val="false"/>
              <w:jc w:val="both"/>
              <w:rPr>
                <w:sz w:val="22"/>
                <w:szCs w:val="22"/>
              </w:rPr>
            </w:pPr>
            <w:r>
              <w:rPr>
                <w:rFonts w:cs="Times New Roman"/>
                <w:b/>
                <w:kern w:val="0"/>
                <w:sz w:val="22"/>
                <w:szCs w:val="22"/>
                <w:lang w:eastAsia="ru-RU" w:bidi="ar-SA"/>
              </w:rPr>
              <w:t>В</w:t>
            </w:r>
            <w:r>
              <w:rPr>
                <w:rFonts w:cs="Times New Roman"/>
                <w:kern w:val="0"/>
                <w:sz w:val="22"/>
                <w:szCs w:val="22"/>
                <w:lang w:eastAsia="ru-RU" w:bidi="ar-SA"/>
              </w:rPr>
              <w:t xml:space="preserve"> - хлор, сероводород, сероуглерод, синильная кислота, фосген;</w:t>
            </w:r>
          </w:p>
          <w:p>
            <w:pPr>
              <w:pStyle w:val="ListParagraph"/>
              <w:widowControl w:val="false"/>
              <w:numPr>
                <w:ilvl w:val="0"/>
                <w:numId w:val="59"/>
              </w:numPr>
              <w:spacing w:before="60" w:after="60"/>
              <w:ind w:hanging="567" w:left="1985"/>
              <w:contextualSpacing w:val="false"/>
              <w:jc w:val="both"/>
              <w:rPr>
                <w:sz w:val="22"/>
                <w:szCs w:val="22"/>
              </w:rPr>
            </w:pPr>
            <w:r>
              <w:rPr>
                <w:rFonts w:cs="Times New Roman"/>
                <w:b/>
                <w:kern w:val="0"/>
                <w:sz w:val="22"/>
                <w:szCs w:val="22"/>
                <w:lang w:eastAsia="ru-RU" w:bidi="ar-SA"/>
              </w:rPr>
              <w:t>Е</w:t>
            </w:r>
            <w:r>
              <w:rPr>
                <w:rFonts w:cs="Times New Roman"/>
                <w:kern w:val="0"/>
                <w:sz w:val="22"/>
                <w:szCs w:val="22"/>
                <w:lang w:eastAsia="ru-RU" w:bidi="ar-SA"/>
              </w:rPr>
              <w:t xml:space="preserve"> - диоксид серы, хлористый водород, водород бромистый;</w:t>
            </w:r>
          </w:p>
          <w:p>
            <w:pPr>
              <w:pStyle w:val="ListParagraph"/>
              <w:widowControl w:val="false"/>
              <w:numPr>
                <w:ilvl w:val="0"/>
                <w:numId w:val="59"/>
              </w:numPr>
              <w:spacing w:before="60" w:after="60"/>
              <w:ind w:hanging="567" w:left="1985"/>
              <w:contextualSpacing w:val="false"/>
              <w:jc w:val="both"/>
              <w:rPr>
                <w:b/>
                <w:sz w:val="22"/>
                <w:szCs w:val="22"/>
              </w:rPr>
            </w:pPr>
            <w:r>
              <w:rPr>
                <w:rFonts w:cs="Times New Roman"/>
                <w:b/>
                <w:kern w:val="0"/>
                <w:sz w:val="22"/>
                <w:szCs w:val="22"/>
                <w:lang w:eastAsia="ru-RU" w:bidi="ar-SA"/>
              </w:rPr>
              <w:t>К</w:t>
            </w:r>
            <w:r>
              <w:rPr>
                <w:rFonts w:cs="Times New Roman"/>
                <w:kern w:val="0"/>
                <w:sz w:val="22"/>
                <w:szCs w:val="22"/>
                <w:lang w:eastAsia="ru-RU" w:bidi="ar-SA"/>
              </w:rPr>
              <w:t xml:space="preserve"> - аммиак, диметиламин, триметиламин;</w:t>
            </w:r>
          </w:p>
          <w:p>
            <w:pPr>
              <w:pStyle w:val="ListParagraph"/>
              <w:widowControl w:val="false"/>
              <w:numPr>
                <w:ilvl w:val="0"/>
                <w:numId w:val="59"/>
              </w:numPr>
              <w:spacing w:before="60" w:after="60"/>
              <w:ind w:hanging="567" w:left="1985"/>
              <w:contextualSpacing w:val="false"/>
              <w:jc w:val="both"/>
              <w:rPr>
                <w:sz w:val="22"/>
                <w:szCs w:val="22"/>
              </w:rPr>
            </w:pPr>
            <w:r>
              <w:rPr>
                <w:rFonts w:cs="Times New Roman"/>
                <w:b/>
                <w:kern w:val="0"/>
                <w:sz w:val="22"/>
                <w:szCs w:val="22"/>
                <w:lang w:eastAsia="ru-RU" w:bidi="ar-SA"/>
              </w:rPr>
              <w:t xml:space="preserve">СО </w:t>
            </w:r>
            <w:r>
              <w:rPr>
                <w:rFonts w:cs="Times New Roman"/>
                <w:kern w:val="0"/>
                <w:sz w:val="22"/>
                <w:szCs w:val="22"/>
                <w:lang w:eastAsia="ru-RU" w:bidi="ar-SA"/>
              </w:rPr>
              <w:t>- монооксид углеродавзрослых.</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Самоспасатель поставляется следующей комплектации:</w:t>
            </w:r>
          </w:p>
          <w:p>
            <w:pPr>
              <w:pStyle w:val="ListParagraph"/>
              <w:widowControl w:val="false"/>
              <w:numPr>
                <w:ilvl w:val="0"/>
                <w:numId w:val="60"/>
              </w:numPr>
              <w:spacing w:before="60" w:after="60"/>
              <w:ind w:hanging="567" w:left="1985"/>
              <w:contextualSpacing w:val="false"/>
              <w:jc w:val="both"/>
              <w:rPr>
                <w:sz w:val="22"/>
                <w:szCs w:val="22"/>
              </w:rPr>
            </w:pPr>
            <w:r>
              <w:rPr>
                <w:rFonts w:cs="Times New Roman"/>
                <w:kern w:val="0"/>
                <w:sz w:val="22"/>
                <w:szCs w:val="22"/>
                <w:lang w:eastAsia="ru-RU" w:bidi="ar-SA"/>
              </w:rPr>
              <w:t>Самоспасатель в пакете вакуумном из ламинированной алюминиевой фольги; упаковочный футляр; паспорт изделия с руководством по применению.</w:t>
            </w:r>
          </w:p>
          <w:p>
            <w:pPr>
              <w:pStyle w:val="ListParagraph"/>
              <w:widowControl w:val="false"/>
              <w:numPr>
                <w:ilvl w:val="0"/>
                <w:numId w:val="60"/>
              </w:numPr>
              <w:spacing w:before="60" w:after="60"/>
              <w:ind w:hanging="567" w:left="1985"/>
              <w:contextualSpacing w:val="false"/>
              <w:jc w:val="both"/>
              <w:rPr>
                <w:sz w:val="22"/>
                <w:szCs w:val="22"/>
              </w:rPr>
            </w:pPr>
            <w:r>
              <w:rPr>
                <w:rFonts w:cs="Times New Roman"/>
                <w:kern w:val="0"/>
                <w:sz w:val="22"/>
                <w:szCs w:val="22"/>
                <w:lang w:eastAsia="ru-RU" w:bidi="ar-SA"/>
              </w:rPr>
              <w:t>Габаритные размеры, мм - 380х475.</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Сопротивление воздушному потоку фильтрующе-поглощающего элемента (ФПЭ) - не более 284 Па.</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Коэффициент проницаемости ФПЭ - не более 1 %.</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Коэффициент подсоса по полосе обтюрации в зону дыхания и глаз: масляного тумана; гексафторида серы - не более 1%.</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Материалы фильтрующего самоспасателя не воспламеняются и не горят после воздействия температуры 800±50°С.</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Сохранение работоспособности:</w:t>
            </w:r>
          </w:p>
          <w:p>
            <w:pPr>
              <w:pStyle w:val="ListParagraph"/>
              <w:widowControl w:val="false"/>
              <w:numPr>
                <w:ilvl w:val="0"/>
                <w:numId w:val="61"/>
              </w:numPr>
              <w:spacing w:before="60" w:after="60"/>
              <w:ind w:hanging="567" w:left="1985"/>
              <w:contextualSpacing w:val="false"/>
              <w:jc w:val="both"/>
              <w:rPr>
                <w:sz w:val="22"/>
                <w:szCs w:val="22"/>
              </w:rPr>
            </w:pPr>
            <w:r>
              <w:rPr>
                <w:rFonts w:cs="Times New Roman"/>
                <w:kern w:val="0"/>
                <w:sz w:val="22"/>
                <w:szCs w:val="22"/>
                <w:lang w:eastAsia="ru-RU" w:bidi="ar-SA"/>
              </w:rPr>
              <w:t>после воздействия вибронагрузки и падения с высоты 1,5 м;</w:t>
            </w:r>
          </w:p>
          <w:p>
            <w:pPr>
              <w:pStyle w:val="ListParagraph"/>
              <w:widowControl w:val="false"/>
              <w:numPr>
                <w:ilvl w:val="0"/>
                <w:numId w:val="61"/>
              </w:numPr>
              <w:spacing w:before="60" w:after="60"/>
              <w:ind w:hanging="567" w:left="1985"/>
              <w:contextualSpacing w:val="false"/>
              <w:jc w:val="both"/>
              <w:rPr>
                <w:sz w:val="22"/>
                <w:szCs w:val="22"/>
              </w:rPr>
            </w:pPr>
            <w:r>
              <w:rPr>
                <w:rFonts w:cs="Times New Roman"/>
                <w:kern w:val="0"/>
                <w:sz w:val="22"/>
                <w:szCs w:val="22"/>
                <w:lang w:eastAsia="ru-RU" w:bidi="ar-SA"/>
              </w:rPr>
              <w:t>после воздействия температуры плюс 60 ± 3°С - в течение 24 часов;</w:t>
            </w:r>
          </w:p>
          <w:p>
            <w:pPr>
              <w:pStyle w:val="ListParagraph"/>
              <w:widowControl w:val="false"/>
              <w:numPr>
                <w:ilvl w:val="0"/>
                <w:numId w:val="61"/>
              </w:numPr>
              <w:spacing w:before="60" w:after="60"/>
              <w:ind w:hanging="567" w:left="1985"/>
              <w:contextualSpacing w:val="false"/>
              <w:jc w:val="both"/>
              <w:rPr>
                <w:sz w:val="22"/>
                <w:szCs w:val="22"/>
              </w:rPr>
            </w:pPr>
            <w:r>
              <w:rPr>
                <w:rFonts w:cs="Times New Roman"/>
                <w:kern w:val="0"/>
                <w:sz w:val="22"/>
                <w:szCs w:val="22"/>
                <w:lang w:eastAsia="ru-RU" w:bidi="ar-SA"/>
              </w:rPr>
              <w:t>после воздействия температуры минус 20 ± 3°С - в течение 24 часов;</w:t>
            </w:r>
          </w:p>
          <w:p>
            <w:pPr>
              <w:pStyle w:val="ListParagraph"/>
              <w:widowControl w:val="false"/>
              <w:numPr>
                <w:ilvl w:val="0"/>
                <w:numId w:val="61"/>
              </w:numPr>
              <w:spacing w:before="60" w:after="60"/>
              <w:ind w:hanging="567" w:left="1985"/>
              <w:contextualSpacing w:val="false"/>
              <w:jc w:val="both"/>
              <w:rPr>
                <w:sz w:val="22"/>
                <w:szCs w:val="22"/>
              </w:rPr>
            </w:pPr>
            <w:r>
              <w:rPr>
                <w:rFonts w:cs="Times New Roman"/>
                <w:kern w:val="0"/>
                <w:sz w:val="22"/>
                <w:szCs w:val="22"/>
                <w:lang w:eastAsia="ru-RU" w:bidi="ar-SA"/>
              </w:rPr>
              <w:t>после воздействия температуры плюс 200°С в течении - 60±5 сек.;</w:t>
            </w:r>
          </w:p>
          <w:p>
            <w:pPr>
              <w:pStyle w:val="ListParagraph"/>
              <w:widowControl w:val="false"/>
              <w:numPr>
                <w:ilvl w:val="0"/>
                <w:numId w:val="61"/>
              </w:numPr>
              <w:spacing w:before="60" w:after="60"/>
              <w:ind w:hanging="567" w:left="1985"/>
              <w:contextualSpacing w:val="false"/>
              <w:jc w:val="both"/>
              <w:rPr>
                <w:sz w:val="22"/>
                <w:szCs w:val="22"/>
              </w:rPr>
            </w:pPr>
            <w:r>
              <w:rPr>
                <w:rFonts w:cs="Times New Roman"/>
                <w:kern w:val="0"/>
                <w:sz w:val="22"/>
                <w:szCs w:val="22"/>
                <w:lang w:eastAsia="ru-RU" w:bidi="ar-SA"/>
              </w:rPr>
              <w:t>после воздействия теплового потока плотностью 8,5±0,5 кВт/м</w:t>
            </w:r>
            <w:r>
              <w:rPr>
                <w:rFonts w:cs="Times New Roman"/>
                <w:kern w:val="0"/>
                <w:sz w:val="22"/>
                <w:szCs w:val="22"/>
                <w:vertAlign w:val="superscript"/>
                <w:lang w:eastAsia="ru-RU" w:bidi="ar-SA"/>
              </w:rPr>
              <w:t>2</w:t>
            </w:r>
            <w:r>
              <w:rPr>
                <w:rFonts w:cs="Times New Roman"/>
                <w:kern w:val="0"/>
                <w:sz w:val="22"/>
                <w:szCs w:val="22"/>
                <w:lang w:eastAsia="ru-RU" w:bidi="ar-SA"/>
              </w:rPr>
              <w:t xml:space="preserve"> - в течение 3-х мин.</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Соединение лицевой части самоспасателя с фильтрующе-поглощающим элементом выдерживает растяжение 50Н в течение 10с.</w:t>
            </w:r>
          </w:p>
          <w:p>
            <w:pPr>
              <w:pStyle w:val="ListParagraph"/>
              <w:widowControl w:val="false"/>
              <w:numPr>
                <w:ilvl w:val="0"/>
                <w:numId w:val="58"/>
              </w:numPr>
              <w:spacing w:before="60" w:after="60"/>
              <w:ind w:hanging="567" w:left="1418"/>
              <w:contextualSpacing w:val="false"/>
              <w:jc w:val="both"/>
              <w:rPr>
                <w:sz w:val="22"/>
                <w:szCs w:val="22"/>
              </w:rPr>
            </w:pPr>
            <w:r>
              <w:rPr>
                <w:rFonts w:cs="Times New Roman"/>
                <w:kern w:val="0"/>
                <w:sz w:val="22"/>
                <w:szCs w:val="22"/>
                <w:lang w:eastAsia="ru-RU" w:bidi="ar-SA"/>
              </w:rPr>
              <w:t>Срок хранения - 5 лет.</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наличие маркировки, соответствующей ТР ТС 019/2011.</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sz w:val="22"/>
                <w:szCs w:val="22"/>
              </w:rPr>
            </w:pPr>
            <w:r>
              <w:rPr>
                <w:rFonts w:eastAsia="Times New Roman" w:cs="Times New Roman"/>
                <w:b/>
                <w:bCs/>
                <w:kern w:val="0"/>
                <w:sz w:val="22"/>
                <w:szCs w:val="22"/>
                <w:lang w:eastAsia="ru-RU" w:bidi="ar-SA"/>
              </w:rPr>
              <w:t>Требования к дерматологическим средствам индивидуальной защиты</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Очищающее средство (мыло жидкое), 250 мл.</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Крем-мыло с помпой-дозатором изготовлено в соответствии с ТР ТС 019/2011 «О безопасности средств индивидуальной защиты».</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ГОСТ 31696-2012 «Продукция косметическая гигиеническая моющая. Общие технические условия».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b/>
                <w:kern w:val="0"/>
                <w:sz w:val="22"/>
                <w:szCs w:val="22"/>
                <w:lang w:eastAsia="ru-RU" w:bidi="ar-SA"/>
              </w:rPr>
              <w:t>Функциональные и технические характеристики</w:t>
            </w:r>
            <w:r>
              <w:rPr>
                <w:rFonts w:cs="Times New Roman"/>
                <w:kern w:val="0"/>
                <w:sz w:val="22"/>
                <w:szCs w:val="22"/>
                <w:lang w:eastAsia="ru-RU" w:bidi="ar-SA"/>
              </w:rPr>
              <w:t>:</w:t>
            </w:r>
          </w:p>
          <w:p>
            <w:pPr>
              <w:pStyle w:val="ListParagraph"/>
              <w:widowControl w:val="false"/>
              <w:numPr>
                <w:ilvl w:val="0"/>
                <w:numId w:val="62"/>
              </w:numPr>
              <w:spacing w:before="60" w:after="60"/>
              <w:ind w:hanging="567" w:left="1418"/>
              <w:contextualSpacing w:val="false"/>
              <w:jc w:val="both"/>
              <w:rPr>
                <w:sz w:val="22"/>
                <w:szCs w:val="22"/>
              </w:rPr>
            </w:pPr>
            <w:r>
              <w:rPr>
                <w:rFonts w:cs="Times New Roman"/>
                <w:kern w:val="0"/>
                <w:sz w:val="22"/>
                <w:szCs w:val="22"/>
                <w:lang w:eastAsia="ru-RU" w:bidi="ar-SA"/>
              </w:rPr>
              <w:t>Очищающее крем-мыло мягкого действия. Применяется для удаления легких производственных загрязнений и защитных кремов с кожи рук и лица. Эффективно очищает, но не сушит кожу. Не содержит абразива и растворителей. Подходит для ежедневного применения.</w:t>
            </w:r>
          </w:p>
          <w:p>
            <w:pPr>
              <w:pStyle w:val="ListParagraph"/>
              <w:widowControl w:val="false"/>
              <w:numPr>
                <w:ilvl w:val="0"/>
                <w:numId w:val="62"/>
              </w:numPr>
              <w:spacing w:before="60" w:after="60"/>
              <w:ind w:hanging="567" w:left="1418"/>
              <w:contextualSpacing w:val="false"/>
              <w:jc w:val="both"/>
              <w:rPr>
                <w:sz w:val="22"/>
                <w:szCs w:val="22"/>
              </w:rPr>
            </w:pPr>
            <w:r>
              <w:rPr>
                <w:rFonts w:cs="Times New Roman"/>
                <w:kern w:val="0"/>
                <w:sz w:val="22"/>
                <w:szCs w:val="22"/>
                <w:lang w:eastAsia="ru-RU" w:bidi="ar-SA"/>
              </w:rPr>
              <w:t>Температура хранения от 0 до +25 °С.</w:t>
            </w:r>
          </w:p>
          <w:p>
            <w:pPr>
              <w:pStyle w:val="ListParagraph"/>
              <w:widowControl w:val="false"/>
              <w:numPr>
                <w:ilvl w:val="0"/>
                <w:numId w:val="62"/>
              </w:numPr>
              <w:spacing w:before="60" w:after="60"/>
              <w:ind w:hanging="567" w:left="1418"/>
              <w:contextualSpacing w:val="false"/>
              <w:jc w:val="both"/>
              <w:rPr>
                <w:sz w:val="22"/>
                <w:szCs w:val="22"/>
              </w:rPr>
            </w:pPr>
            <w:r>
              <w:rPr>
                <w:rFonts w:cs="Times New Roman"/>
                <w:kern w:val="0"/>
                <w:sz w:val="22"/>
                <w:szCs w:val="22"/>
                <w:lang w:eastAsia="ru-RU" w:bidi="ar-SA"/>
              </w:rPr>
              <w:t>Упаковка: пластиковый флакон с прикручивающейся помпой.</w:t>
            </w:r>
          </w:p>
          <w:p>
            <w:pPr>
              <w:pStyle w:val="ListParagraph"/>
              <w:widowControl w:val="false"/>
              <w:numPr>
                <w:ilvl w:val="0"/>
                <w:numId w:val="62"/>
              </w:numPr>
              <w:spacing w:before="60" w:after="60"/>
              <w:ind w:hanging="567" w:left="1418"/>
              <w:contextualSpacing w:val="false"/>
              <w:jc w:val="both"/>
              <w:rPr>
                <w:sz w:val="22"/>
                <w:szCs w:val="22"/>
              </w:rPr>
            </w:pPr>
            <w:r>
              <w:rPr>
                <w:rFonts w:cs="Times New Roman"/>
                <w:kern w:val="0"/>
                <w:sz w:val="22"/>
                <w:szCs w:val="22"/>
                <w:lang w:eastAsia="ru-RU" w:bidi="ar-SA"/>
              </w:rPr>
              <w:t>Необходимый объем 250мл.</w:t>
            </w:r>
          </w:p>
          <w:p>
            <w:pPr>
              <w:pStyle w:val="ListParagraph"/>
              <w:widowControl w:val="false"/>
              <w:numPr>
                <w:ilvl w:val="0"/>
                <w:numId w:val="62"/>
              </w:numPr>
              <w:spacing w:before="60" w:after="60"/>
              <w:ind w:hanging="567" w:left="1418"/>
              <w:contextualSpacing w:val="false"/>
              <w:jc w:val="both"/>
              <w:rPr>
                <w:sz w:val="22"/>
                <w:szCs w:val="22"/>
              </w:rPr>
            </w:pPr>
            <w:r>
              <w:rPr>
                <w:rFonts w:cs="Times New Roman"/>
                <w:kern w:val="0"/>
                <w:sz w:val="22"/>
                <w:szCs w:val="22"/>
                <w:lang w:eastAsia="ru-RU" w:bidi="ar-SA"/>
              </w:rPr>
              <w:t>Срок хранения 30 месяцев.</w:t>
            </w:r>
          </w:p>
          <w:p>
            <w:pPr>
              <w:pStyle w:val="ListParagraph"/>
              <w:widowControl w:val="false"/>
              <w:numPr>
                <w:ilvl w:val="3"/>
                <w:numId w:val="10"/>
              </w:numPr>
              <w:spacing w:before="60" w:after="60"/>
              <w:ind w:hanging="851" w:left="851"/>
              <w:contextualSpacing w:val="false"/>
              <w:jc w:val="both"/>
              <w:rPr>
                <w:b/>
                <w:bCs/>
                <w:iCs/>
                <w:sz w:val="22"/>
                <w:szCs w:val="22"/>
              </w:rPr>
            </w:pPr>
            <w:r>
              <w:rPr>
                <w:rFonts w:cs="Times New Roman"/>
                <w:kern w:val="0"/>
                <w:sz w:val="22"/>
                <w:szCs w:val="22"/>
                <w:lang w:eastAsia="ru-RU" w:bidi="ar-SA"/>
              </w:rPr>
              <w:t>Крем-мыло должно иметь маркировку, соответствующую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iCs/>
                <w:kern w:val="0"/>
                <w:sz w:val="22"/>
                <w:szCs w:val="22"/>
                <w:lang w:eastAsia="ru-RU" w:bidi="ar-SA"/>
              </w:rPr>
              <w:t>Средство защиты кожи (спрей для защиты ног от потоотделения и грибковых заболеваний), 100 мл</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Спрей для защиты ног от потоотделения с дезодорирования и антибактериальным эффектом в соответствии с требованиями:</w:t>
            </w:r>
          </w:p>
          <w:p>
            <w:pPr>
              <w:pStyle w:val="ListParagraph"/>
              <w:widowControl w:val="false"/>
              <w:numPr>
                <w:ilvl w:val="0"/>
                <w:numId w:val="63"/>
              </w:numPr>
              <w:spacing w:before="60" w:after="60"/>
              <w:ind w:hanging="567" w:left="1418"/>
              <w:contextualSpacing w:val="false"/>
              <w:jc w:val="both"/>
              <w:rPr>
                <w:sz w:val="22"/>
                <w:szCs w:val="22"/>
              </w:rPr>
            </w:pPr>
            <w:r>
              <w:rPr>
                <w:rFonts w:cs="Times New Roman"/>
                <w:kern w:val="0"/>
                <w:sz w:val="22"/>
                <w:szCs w:val="22"/>
                <w:lang w:eastAsia="ru-RU" w:bidi="ar-SA"/>
              </w:rPr>
              <w:t>ТР ТС 019/2011 «О безопасности средств индивидуальной защиты».</w:t>
            </w:r>
          </w:p>
          <w:p>
            <w:pPr>
              <w:pStyle w:val="ListParagraph"/>
              <w:widowControl w:val="false"/>
              <w:numPr>
                <w:ilvl w:val="0"/>
                <w:numId w:val="63"/>
              </w:numPr>
              <w:spacing w:before="60" w:after="60"/>
              <w:ind w:hanging="567" w:left="1418"/>
              <w:contextualSpacing w:val="false"/>
              <w:jc w:val="both"/>
              <w:rPr>
                <w:sz w:val="22"/>
                <w:szCs w:val="22"/>
              </w:rPr>
            </w:pPr>
            <w:r>
              <w:rPr>
                <w:rFonts w:cs="Times New Roman"/>
                <w:kern w:val="0"/>
                <w:sz w:val="22"/>
                <w:szCs w:val="22"/>
                <w:lang w:eastAsia="ru-RU" w:bidi="ar-SA"/>
              </w:rPr>
              <w:t>ГОСТ 31679-2012 «Продукция косметическая жидкая. Общие технические условия».</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b/>
                <w:kern w:val="0"/>
                <w:sz w:val="22"/>
                <w:szCs w:val="22"/>
                <w:lang w:eastAsia="ru-RU" w:bidi="ar-SA"/>
              </w:rPr>
              <w:t>Функциональные и технические характеристики:</w:t>
            </w:r>
          </w:p>
          <w:p>
            <w:pPr>
              <w:pStyle w:val="ListParagraph"/>
              <w:widowControl w:val="false"/>
              <w:numPr>
                <w:ilvl w:val="0"/>
                <w:numId w:val="64"/>
              </w:numPr>
              <w:spacing w:before="60" w:after="60"/>
              <w:ind w:hanging="567" w:left="1418"/>
              <w:contextualSpacing w:val="false"/>
              <w:jc w:val="both"/>
              <w:rPr>
                <w:sz w:val="22"/>
                <w:szCs w:val="22"/>
              </w:rPr>
            </w:pPr>
            <w:r>
              <w:rPr>
                <w:rFonts w:cs="Times New Roman"/>
                <w:kern w:val="0"/>
                <w:sz w:val="22"/>
                <w:szCs w:val="22"/>
                <w:lang w:eastAsia="ru-RU" w:bidi="ar-SA"/>
              </w:rPr>
              <w:t>Спрей предназначен для ежедневной защиты кожи ног при использовании защитной обуви, а также для профилактики повышенного потоотделения, грибковых заболеваний, зуда, шелушений и растрескивания кожи.</w:t>
            </w:r>
          </w:p>
          <w:p>
            <w:pPr>
              <w:pStyle w:val="ListParagraph"/>
              <w:widowControl w:val="false"/>
              <w:numPr>
                <w:ilvl w:val="0"/>
                <w:numId w:val="64"/>
              </w:numPr>
              <w:spacing w:before="60" w:after="60"/>
              <w:ind w:hanging="567" w:left="1418"/>
              <w:contextualSpacing w:val="false"/>
              <w:jc w:val="both"/>
              <w:rPr>
                <w:sz w:val="22"/>
                <w:szCs w:val="22"/>
              </w:rPr>
            </w:pPr>
            <w:r>
              <w:rPr>
                <w:rFonts w:cs="Times New Roman"/>
                <w:kern w:val="0"/>
                <w:sz w:val="22"/>
                <w:szCs w:val="22"/>
                <w:lang w:eastAsia="ru-RU" w:bidi="ar-SA"/>
              </w:rPr>
              <w:t>Содержит увлажняющие и питательные компоненты. Не содержит силикона и вредных веществ.</w:t>
            </w:r>
          </w:p>
          <w:p>
            <w:pPr>
              <w:pStyle w:val="ListParagraph"/>
              <w:widowControl w:val="false"/>
              <w:numPr>
                <w:ilvl w:val="0"/>
                <w:numId w:val="64"/>
              </w:numPr>
              <w:spacing w:before="60" w:after="60"/>
              <w:ind w:hanging="567" w:left="1418"/>
              <w:contextualSpacing w:val="false"/>
              <w:jc w:val="both"/>
              <w:rPr>
                <w:sz w:val="22"/>
                <w:szCs w:val="22"/>
              </w:rPr>
            </w:pPr>
            <w:r>
              <w:rPr>
                <w:rFonts w:cs="Times New Roman"/>
                <w:kern w:val="0"/>
                <w:sz w:val="22"/>
                <w:szCs w:val="22"/>
                <w:lang w:eastAsia="ru-RU" w:bidi="ar-SA"/>
              </w:rPr>
              <w:t xml:space="preserve">Время действия: 12 часов </w:t>
            </w:r>
            <w:r>
              <w:rPr>
                <w:rFonts w:eastAsia="Times New Roman" w:cs="Times New Roman"/>
                <w:color w:val="000000"/>
                <w:kern w:val="0"/>
                <w:sz w:val="22"/>
                <w:szCs w:val="22"/>
                <w:lang w:eastAsia="ru-RU" w:bidi="ar-SA"/>
              </w:rPr>
              <w:t>(что подтверждается заключением независимой аккредитованной лабораторией в соответствии с п.23 Приказа Минтруда России от 29.10.2021 № 766н «Об утверждении Правил обеспечения работников средствами индивидуальной защиты и смывающими средствами»).</w:t>
            </w:r>
          </w:p>
          <w:p>
            <w:pPr>
              <w:pStyle w:val="ListParagraph"/>
              <w:widowControl w:val="false"/>
              <w:numPr>
                <w:ilvl w:val="0"/>
                <w:numId w:val="64"/>
              </w:numPr>
              <w:spacing w:before="60" w:after="60"/>
              <w:ind w:hanging="567" w:left="1418"/>
              <w:contextualSpacing w:val="false"/>
              <w:jc w:val="both"/>
              <w:rPr>
                <w:sz w:val="22"/>
                <w:szCs w:val="22"/>
              </w:rPr>
            </w:pPr>
            <w:r>
              <w:rPr>
                <w:rFonts w:cs="Times New Roman"/>
                <w:kern w:val="0"/>
                <w:sz w:val="22"/>
                <w:szCs w:val="22"/>
                <w:lang w:eastAsia="ru-RU" w:bidi="ar-SA"/>
              </w:rPr>
              <w:t>Объем: 100 мл. Упаковка выполнена в виде пластикового флакона с крышкой-спреем.</w:t>
            </w:r>
          </w:p>
          <w:p>
            <w:pPr>
              <w:pStyle w:val="ListParagraph"/>
              <w:widowControl w:val="false"/>
              <w:numPr>
                <w:ilvl w:val="0"/>
                <w:numId w:val="64"/>
              </w:numPr>
              <w:spacing w:before="60" w:after="60"/>
              <w:ind w:hanging="567" w:left="1418"/>
              <w:contextualSpacing w:val="false"/>
              <w:jc w:val="both"/>
              <w:rPr>
                <w:sz w:val="22"/>
                <w:szCs w:val="22"/>
              </w:rPr>
            </w:pPr>
            <w:r>
              <w:rPr>
                <w:rFonts w:cs="Times New Roman"/>
                <w:kern w:val="0"/>
                <w:sz w:val="22"/>
                <w:szCs w:val="22"/>
                <w:lang w:eastAsia="ru-RU" w:bidi="ar-SA"/>
              </w:rPr>
              <w:t>Температура хранения: от −20 до +25 °С.</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Спрей должен иметь маркировку, соответствующую ТР ТС 019/2011.</w:t>
            </w:r>
          </w:p>
          <w:p>
            <w:pPr>
              <w:pStyle w:val="ListParagraph"/>
              <w:widowControl w:val="false"/>
              <w:numPr>
                <w:ilvl w:val="3"/>
                <w:numId w:val="10"/>
              </w:numPr>
              <w:spacing w:before="60" w:after="60"/>
              <w:ind w:hanging="851" w:left="851"/>
              <w:contextualSpacing w:val="false"/>
              <w:jc w:val="both"/>
              <w:rPr>
                <w:b/>
                <w:sz w:val="22"/>
                <w:szCs w:val="22"/>
              </w:rPr>
            </w:pPr>
            <w:r>
              <w:rPr>
                <w:rFonts w:cs="Times New Roman"/>
                <w:kern w:val="0"/>
                <w:sz w:val="22"/>
                <w:szCs w:val="22"/>
                <w:lang w:eastAsia="ru-RU" w:bidi="ar-SA"/>
              </w:rPr>
              <w:t>Обязательно предоставление Сертификата соответствия / Декларации о соответствии ТР ТС 019/2011.</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sz w:val="22"/>
                <w:szCs w:val="22"/>
              </w:rPr>
            </w:pPr>
            <w:r>
              <w:rPr>
                <w:rFonts w:eastAsia="Times New Roman" w:cs="Times New Roman"/>
                <w:b/>
                <w:kern w:val="0"/>
                <w:sz w:val="22"/>
                <w:szCs w:val="22"/>
                <w:lang w:eastAsia="ru-RU" w:bidi="ar-SA"/>
              </w:rPr>
              <w:t>Требования к доставке,  маркировке, упаковке, транспортировке, перемещению, условиям хранения, приемке и испытаниям</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lang w:val="en-US"/>
              </w:rPr>
            </w:pPr>
            <w:r>
              <w:rPr>
                <w:rFonts w:eastAsia="Times New Roman" w:cs="Times New Roman"/>
                <w:b/>
                <w:bCs/>
                <w:i/>
                <w:kern w:val="0"/>
                <w:sz w:val="22"/>
                <w:szCs w:val="22"/>
                <w:lang w:val="en-US" w:eastAsia="ru-RU" w:bidi="ar-SA"/>
              </w:rPr>
              <w:t>Места поставки</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kern w:val="0"/>
                <w:sz w:val="22"/>
                <w:szCs w:val="22"/>
                <w:lang w:eastAsia="ru-RU" w:bidi="ar-SA"/>
              </w:rPr>
              <w:t>В ходе исполнения договора Поставщик самостоятельно и за свой счет обеспечивает доставку товара по адресу:</w:t>
            </w:r>
          </w:p>
          <w:p>
            <w:pPr>
              <w:pStyle w:val="Normal"/>
              <w:widowControl w:val="false"/>
              <w:spacing w:before="60" w:after="60"/>
              <w:jc w:val="both"/>
              <w:rPr>
                <w:b/>
                <w:sz w:val="22"/>
                <w:szCs w:val="22"/>
              </w:rPr>
            </w:pPr>
            <w:r>
              <w:rPr>
                <w:rFonts w:eastAsia="Calibri" w:cs="Times New Roman"/>
                <w:b/>
                <w:kern w:val="0"/>
                <w:sz w:val="22"/>
                <w:szCs w:val="22"/>
                <w:lang w:eastAsia="ru-RU" w:bidi="ar-SA"/>
              </w:rPr>
              <w:t>197374, г. Санкт-Петербург, ул. Савушкина, д. 83, к3 - БЦ «Антарес», офис 110.</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Порядок извещения Покупателя о поставке</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kern w:val="0"/>
                <w:sz w:val="22"/>
                <w:szCs w:val="22"/>
                <w:lang w:eastAsia="ru-RU" w:bidi="ar-SA"/>
              </w:rPr>
              <w:t>При любом способе поставки продукции Поставщик обязуется согласовывать с Покупателем в письменном виде не позднее 14.00 ч. дня, предшествующего дню поставки дату, время доставки, вид и государственный регистрационный номер автотранспорта, ФИО работников, доставляющих заказ.</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lang w:val="en-US"/>
              </w:rPr>
            </w:pPr>
            <w:r>
              <w:rPr>
                <w:rFonts w:eastAsia="Times New Roman" w:cs="Times New Roman"/>
                <w:b/>
                <w:bCs/>
                <w:i/>
                <w:kern w:val="0"/>
                <w:sz w:val="22"/>
                <w:szCs w:val="22"/>
                <w:lang w:val="en-US" w:eastAsia="ru-RU" w:bidi="ar-SA"/>
              </w:rPr>
              <w:t>Упаковка</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both"/>
              <w:rPr>
                <w:sz w:val="22"/>
                <w:szCs w:val="22"/>
              </w:rPr>
            </w:pPr>
            <w:r>
              <w:rPr>
                <w:rFonts w:cs="Times New Roman"/>
                <w:kern w:val="0"/>
                <w:sz w:val="22"/>
                <w:szCs w:val="22"/>
                <w:lang w:eastAsia="ru-RU" w:bidi="ar-SA"/>
              </w:rPr>
              <w:t>Упаковка товара должна обеспечивать его сохранность при транспортировке и хранении.</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2"/>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lang w:val="en-US"/>
              </w:rPr>
            </w:pPr>
            <w:r>
              <w:rPr>
                <w:rFonts w:eastAsia="Times New Roman" w:cs="Times New Roman"/>
                <w:b/>
                <w:bCs/>
                <w:i/>
                <w:kern w:val="0"/>
                <w:sz w:val="22"/>
                <w:szCs w:val="22"/>
                <w:lang w:val="en-US" w:eastAsia="ru-RU" w:bidi="ar-SA"/>
              </w:rPr>
              <w:t>Порядок приемки Товара</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При приемке поставляемых СИЗ входной контроль будет выполняться Покупателем с целью оценки их соответствия Техническим требованиям, определения уровня качества поставляемых СИЗ, руководствуясь следующими требованиями:</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Нитки на изделиях (ровный шов, обрезанные нитки), также не допускается сваливание строчек с края деталей или пропуск стежков.</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Качественно пришитый утеплитель, локальное прилегание утеплителя.</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Отсутствие вспучиваний полимерных покрытий.</w:t>
            </w:r>
          </w:p>
          <w:p>
            <w:pPr>
              <w:pStyle w:val="ListParagraph"/>
              <w:widowControl w:val="false"/>
              <w:numPr>
                <w:ilvl w:val="3"/>
                <w:numId w:val="10"/>
              </w:numPr>
              <w:spacing w:before="60" w:after="60"/>
              <w:ind w:hanging="851" w:left="851"/>
              <w:contextualSpacing w:val="false"/>
              <w:jc w:val="both"/>
              <w:rPr>
                <w:sz w:val="22"/>
                <w:szCs w:val="22"/>
              </w:rPr>
            </w:pPr>
            <w:r>
              <w:rPr>
                <w:rFonts w:cs="Times New Roman"/>
                <w:kern w:val="0"/>
                <w:sz w:val="22"/>
                <w:szCs w:val="22"/>
                <w:lang w:eastAsia="ru-RU" w:bidi="ar-SA"/>
              </w:rPr>
              <w:t>Товар без сопроводительных документов (товарная накладная, счет-фактура) не принимается, ответственность за его сохранность Покупатель не несет.</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10"/>
              </w:numPr>
              <w:spacing w:before="60" w:after="60"/>
              <w:contextualSpacing w:val="false"/>
              <w:jc w:val="center"/>
              <w:rPr>
                <w:sz w:val="22"/>
                <w:szCs w:val="22"/>
              </w:rPr>
            </w:pPr>
            <w:r>
              <w:rPr>
                <w:sz w:val="22"/>
                <w:szCs w:val="22"/>
              </w:rPr>
            </w:r>
          </w:p>
        </w:tc>
        <w:tc>
          <w:tcPr>
            <w:tcW w:w="14477" w:type="dxa"/>
            <w:gridSpan w:val="8"/>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sz w:val="22"/>
                <w:szCs w:val="22"/>
              </w:rPr>
            </w:pPr>
            <w:r>
              <w:rPr>
                <w:rFonts w:eastAsia="Times New Roman" w:cs="Times New Roman"/>
                <w:b/>
                <w:bCs/>
                <w:kern w:val="0"/>
                <w:sz w:val="22"/>
                <w:szCs w:val="22"/>
                <w:lang w:eastAsia="ru-RU" w:bidi="ar-SA"/>
              </w:rPr>
              <w:t>Требования к комплектации и документам, поставляемым вместе с продукцией</w:t>
            </w:r>
          </w:p>
        </w:tc>
      </w:tr>
      <w:tr>
        <w:trPr/>
        <w:tc>
          <w:tcPr>
            <w:tcW w:w="800"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1"/>
                <w:numId w:val="10"/>
              </w:numPr>
              <w:spacing w:before="60" w:after="60"/>
              <w:contextualSpacing w:val="false"/>
              <w:jc w:val="center"/>
              <w:rPr>
                <w:sz w:val="22"/>
                <w:szCs w:val="22"/>
              </w:rPr>
            </w:pPr>
            <w:r>
              <w:rPr>
                <w:sz w:val="22"/>
                <w:szCs w:val="22"/>
              </w:rPr>
            </w:r>
          </w:p>
        </w:tc>
        <w:tc>
          <w:tcPr>
            <w:tcW w:w="249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rPr>
                <w:b/>
                <w:bCs/>
                <w:i/>
                <w:i/>
                <w:sz w:val="22"/>
                <w:szCs w:val="22"/>
              </w:rPr>
            </w:pPr>
            <w:r>
              <w:rPr>
                <w:rFonts w:eastAsia="Times New Roman" w:cs="Times New Roman"/>
                <w:b/>
                <w:bCs/>
                <w:i/>
                <w:kern w:val="0"/>
                <w:sz w:val="22"/>
                <w:szCs w:val="22"/>
                <w:lang w:eastAsia="ru-RU" w:bidi="ar-SA"/>
              </w:rPr>
              <w:t>Документы, передаваемые вместе с Товаром</w:t>
            </w:r>
          </w:p>
        </w:tc>
        <w:tc>
          <w:tcPr>
            <w:tcW w:w="11979" w:type="dxa"/>
            <w:gridSpan w:val="7"/>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both"/>
              <w:rPr>
                <w:sz w:val="22"/>
                <w:szCs w:val="22"/>
              </w:rPr>
            </w:pPr>
            <w:r>
              <w:rPr>
                <w:rFonts w:eastAsia="Calibri" w:cs="Times New Roman"/>
                <w:kern w:val="0"/>
                <w:sz w:val="22"/>
                <w:szCs w:val="22"/>
                <w:lang w:eastAsia="ru-RU" w:bidi="ar-SA"/>
              </w:rPr>
              <w:t>Поставщик обязан одновременно с передачей оборудования передать Покупателю относящиеся к нему документы, оформленные надлежащим образом:</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Технические паспорта.</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Инструкцию (руководство) по эксплуатации, оформленную в соответствии с требованиями ТР ТС 019/2011.</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Упаковочные листы, упаковочные ярлыки.</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Товарно-транспортную накладную формы № 1-Т.</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Товарную накладную унифицированной формы ТОРГ-12 в 2 экз.</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Сертификаты качества, сертификаты соответствия тканей, используемых в производстве спецодежды для защиты от термических рисков электрической дуги (костюмов, плащей, рубашек, курток-накидок).</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Протоколы санитарно-гигиенических исследований, санитарно-химических и токсикологических исследований.</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Протоколы испытаний и заключения, подтверждающие защитные и эксплуатационные свойства.</w:t>
            </w:r>
          </w:p>
          <w:p>
            <w:pPr>
              <w:pStyle w:val="ListParagraph"/>
              <w:widowControl w:val="false"/>
              <w:numPr>
                <w:ilvl w:val="2"/>
                <w:numId w:val="10"/>
              </w:numPr>
              <w:spacing w:before="60" w:after="60"/>
              <w:ind w:hanging="851" w:left="851"/>
              <w:contextualSpacing w:val="false"/>
              <w:rPr>
                <w:sz w:val="22"/>
                <w:szCs w:val="22"/>
              </w:rPr>
            </w:pPr>
            <w:r>
              <w:rPr>
                <w:rFonts w:cs="Times New Roman"/>
                <w:kern w:val="0"/>
                <w:sz w:val="22"/>
                <w:szCs w:val="22"/>
                <w:lang w:eastAsia="ru-RU" w:bidi="ar-SA"/>
              </w:rPr>
              <w:t>Протоколы сертификационных испытаний должны быть выданы лабораториями, аккредитованными на проведение испытаний на соответствие техническому регламенту Таможенного союза, распространяющемуся на данный вид продукции.</w:t>
            </w:r>
          </w:p>
        </w:tc>
      </w:tr>
    </w:tbl>
    <w:p>
      <w:pPr>
        <w:sectPr>
          <w:headerReference w:type="default" r:id="rId36"/>
          <w:headerReference w:type="first" r:id="rId37"/>
          <w:footerReference w:type="default" r:id="rId38"/>
          <w:footerReference w:type="first" r:id="rId39"/>
          <w:footnotePr>
            <w:numFmt w:val="decimal"/>
          </w:footnotePr>
          <w:type w:val="nextPage"/>
          <w:pgSz w:orient="landscape" w:w="16838" w:h="11906"/>
          <w:pgMar w:left="992" w:right="567" w:gutter="0" w:header="0" w:top="851" w:footer="567" w:bottom="851"/>
          <w:pgNumType w:start="6" w:fmt="decimal"/>
          <w:formProt w:val="false"/>
          <w:titlePg/>
          <w:textDirection w:val="lrTb"/>
          <w:docGrid w:type="default" w:linePitch="600" w:charSpace="32768"/>
        </w:sectPr>
      </w:pPr>
    </w:p>
    <w:p>
      <w:pPr>
        <w:pStyle w:val="Heading1"/>
        <w:spacing w:before="238" w:after="119"/>
        <w:ind w:hanging="0" w:left="0"/>
        <w:jc w:val="center"/>
        <w:rPr/>
      </w:pPr>
      <w:bookmarkStart w:id="53" w:name="__RefHeading___Toc8267_2541170438"/>
      <w:bookmarkStart w:id="54" w:name="_Toc75446583"/>
      <w:bookmarkStart w:id="55" w:name="_Toc170504720"/>
      <w:bookmarkStart w:id="56" w:name="_Toc181179544"/>
      <w:bookmarkStart w:id="57" w:name="_Toc53393312"/>
      <w:bookmarkStart w:id="58" w:name="_Toc195805085"/>
      <w:bookmarkStart w:id="59" w:name="_Toc222913104"/>
      <w:bookmarkEnd w:id="53"/>
      <w:r>
        <w:rPr/>
        <w:t>Требования к документации по ценообразованию на этапе определения цены на закупаемую продукцию</w:t>
      </w:r>
      <w:bookmarkEnd w:id="59"/>
    </w:p>
    <w:p>
      <w:pPr>
        <w:pStyle w:val="Normal"/>
        <w:numPr>
          <w:ilvl w:val="1"/>
          <w:numId w:val="69"/>
        </w:numPr>
        <w:suppressAutoHyphens w:val="false"/>
        <w:spacing w:before="60" w:after="60"/>
        <w:ind w:hanging="709" w:left="709"/>
        <w:jc w:val="both"/>
        <w:rPr>
          <w:rFonts w:eastAsia="Calibri"/>
        </w:rPr>
      </w:pPr>
      <w:r>
        <w:rPr>
          <w:rFonts w:eastAsia="Calibri"/>
        </w:rPr>
        <w:t xml:space="preserve">Участник процедуры мониторинга рынка должен предоставить технико-коммерческое предложение по форме Приложений №№ 3, 4 к Техническим требованиям, учитывающее полноту согласия с </w:t>
      </w:r>
      <w:r>
        <w:rPr>
          <w:rFonts w:eastAsia="Calibri"/>
          <w:lang w:val="ru-RU"/>
        </w:rPr>
        <w:t>требованиями Заказчика в части объема и сроков поставки.</w:t>
      </w:r>
    </w:p>
    <w:p>
      <w:pPr>
        <w:pStyle w:val="Heading1"/>
        <w:spacing w:before="238" w:after="119"/>
        <w:ind w:hanging="0" w:left="0"/>
        <w:jc w:val="center"/>
        <w:rPr/>
      </w:pPr>
      <w:bookmarkStart w:id="60" w:name="_Toc222913105"/>
      <w:r>
        <w:rPr/>
        <w:t>Требования к документации по ценообразованию на этапе закупки</w:t>
      </w:r>
      <w:bookmarkEnd w:id="60"/>
    </w:p>
    <w:p>
      <w:pPr>
        <w:pStyle w:val="Normal"/>
        <w:numPr>
          <w:ilvl w:val="1"/>
          <w:numId w:val="68"/>
        </w:numPr>
        <w:suppressAutoHyphens w:val="false"/>
        <w:spacing w:before="60" w:after="60"/>
        <w:ind w:hanging="709" w:left="709"/>
        <w:jc w:val="both"/>
        <w:rPr>
          <w:rFonts w:ascii="Times New Roman" w:hAnsi="Times New Roman" w:eastAsia="Calibri" w:cs="Times New Roman"/>
        </w:rPr>
      </w:pPr>
      <w:r>
        <w:rPr>
          <w:rFonts w:eastAsia="Calibri" w:cs="Times New Roman" w:ascii="Times New Roman" w:hAnsi="Times New Roman"/>
          <w:bCs/>
          <w:iCs/>
        </w:rPr>
        <w:t>По результатам проведения закупки заключается договор с предельной стоимостью (без указания объемов поставки, с фиксированной стоимостью за единицу продукции (товары).</w:t>
      </w:r>
    </w:p>
    <w:p>
      <w:pPr>
        <w:pStyle w:val="Normal"/>
        <w:numPr>
          <w:ilvl w:val="1"/>
          <w:numId w:val="68"/>
        </w:numPr>
        <w:suppressAutoHyphens w:val="false"/>
        <w:spacing w:before="60" w:after="60"/>
        <w:ind w:hanging="709" w:left="709"/>
        <w:jc w:val="both"/>
        <w:rPr>
          <w:rFonts w:ascii="Times New Roman" w:hAnsi="Times New Roman" w:eastAsia="Calibri" w:cs="Times New Roman"/>
          <w:bCs/>
          <w:iCs/>
        </w:rPr>
      </w:pPr>
      <w:r>
        <w:rPr>
          <w:rFonts w:eastAsia="Calibri" w:cs="Times New Roman" w:ascii="Times New Roman" w:hAnsi="Times New Roman"/>
          <w:bCs/>
          <w:iCs/>
        </w:rPr>
        <w:t>В ходе участия в закупочной процедуре Участник должен:</w:t>
      </w:r>
    </w:p>
    <w:p>
      <w:pPr>
        <w:pStyle w:val="Normal"/>
        <w:numPr>
          <w:ilvl w:val="2"/>
          <w:numId w:val="68"/>
        </w:numPr>
        <w:suppressAutoHyphens w:val="false"/>
        <w:spacing w:before="60" w:after="60"/>
        <w:ind w:hanging="709" w:left="709"/>
        <w:jc w:val="both"/>
        <w:rPr>
          <w:rFonts w:ascii="Times New Roman" w:hAnsi="Times New Roman" w:eastAsia="Calibri" w:cs="Times New Roman"/>
          <w:bCs/>
          <w:iCs/>
        </w:rPr>
      </w:pPr>
      <w:r>
        <w:rPr>
          <w:rFonts w:eastAsia="Calibri" w:cs="Times New Roman" w:ascii="Times New Roman" w:hAnsi="Times New Roman"/>
          <w:bCs/>
          <w:iCs/>
        </w:rPr>
        <w:t>Ознакомиться с формами, содержащимися в Приложениях №№ 1-8 к Техническим требованиям.</w:t>
      </w:r>
    </w:p>
    <w:p>
      <w:pPr>
        <w:pStyle w:val="Normal"/>
        <w:numPr>
          <w:ilvl w:val="2"/>
          <w:numId w:val="68"/>
        </w:numPr>
        <w:suppressAutoHyphens w:val="false"/>
        <w:spacing w:before="60" w:after="60"/>
        <w:ind w:hanging="709" w:left="709"/>
        <w:jc w:val="both"/>
        <w:rPr>
          <w:rFonts w:ascii="Times New Roman" w:hAnsi="Times New Roman" w:eastAsia="Calibri" w:cs="Times New Roman"/>
          <w:bCs/>
          <w:iCs/>
        </w:rPr>
      </w:pPr>
      <w:r>
        <w:rPr>
          <w:rFonts w:eastAsia="Calibri" w:cs="Times New Roman" w:ascii="Times New Roman" w:hAnsi="Times New Roman"/>
          <w:bCs/>
          <w:iCs/>
        </w:rPr>
        <w:t>Сформировать и представить Заказчику заполненные формы Приложений № 4, 5</w:t>
        <w:br/>
        <w:t xml:space="preserve">к Техническим требованиям, с учетом того, что ориентировочный объем поставки, указанный в Технических требованиях и в Приложении № 1 к Технико-коммерческому предложению, служит только для оценки и сопоставления предложений Участников по ценовому (стоимостному) критерию оценки «Цена». </w:t>
      </w:r>
    </w:p>
    <w:p>
      <w:pPr>
        <w:pStyle w:val="Normal"/>
        <w:numPr>
          <w:ilvl w:val="2"/>
          <w:numId w:val="68"/>
        </w:numPr>
        <w:suppressAutoHyphens w:val="false"/>
        <w:spacing w:before="60" w:after="60"/>
        <w:ind w:hanging="709" w:left="709"/>
        <w:jc w:val="both"/>
        <w:rPr>
          <w:rFonts w:ascii="Times New Roman" w:hAnsi="Times New Roman" w:eastAsia="Calibri" w:cs="Times New Roman"/>
          <w:bCs/>
          <w:iCs/>
        </w:rPr>
      </w:pPr>
      <w:r>
        <w:rPr>
          <w:rFonts w:eastAsia="Calibri" w:cs="Times New Roman" w:ascii="Times New Roman" w:hAnsi="Times New Roman"/>
          <w:b/>
          <w:bCs/>
          <w:iCs/>
        </w:rPr>
        <w:t>Стоимость за единицу товара должна включать в себя транспортировку товара до места поставки, погрузку, разгрузку, подлежащие уплате налоги, сборы и пошлины, и прочие затраты, и расходы Поставщика, связанные с поставкой товара</w:t>
      </w:r>
      <w:r>
        <w:rPr>
          <w:rFonts w:eastAsia="Calibri" w:cs="Times New Roman" w:ascii="Times New Roman" w:hAnsi="Times New Roman"/>
          <w:bCs/>
          <w:iCs/>
        </w:rPr>
        <w:t>.</w:t>
      </w:r>
    </w:p>
    <w:p>
      <w:pPr>
        <w:pStyle w:val="Normal"/>
        <w:numPr>
          <w:ilvl w:val="2"/>
          <w:numId w:val="68"/>
        </w:numPr>
        <w:suppressAutoHyphens w:val="false"/>
        <w:spacing w:before="60" w:after="60"/>
        <w:ind w:hanging="709" w:left="709"/>
        <w:jc w:val="both"/>
        <w:rPr>
          <w:rFonts w:ascii="Times New Roman" w:hAnsi="Times New Roman" w:eastAsia="Calibri" w:cs="Times New Roman"/>
          <w:bCs/>
          <w:iCs/>
        </w:rPr>
      </w:pPr>
      <w:r>
        <w:rPr>
          <w:rFonts w:eastAsia="Calibri" w:cs="Times New Roman" w:ascii="Times New Roman" w:hAnsi="Times New Roman"/>
          <w:bCs/>
          <w:iCs/>
        </w:rPr>
        <w:t>В случае признания Участника Победителем закупочной процедуры он должен представить комплект документов для заключения договора, указанных в Приложении № 6</w:t>
        <w:br/>
        <w:t>к Техническим требованиям, а также заполненные формы Приложений №№ 7, 8</w:t>
        <w:br/>
        <w:t>к Техническим требованиям.</w:t>
      </w:r>
    </w:p>
    <w:p>
      <w:pPr>
        <w:pStyle w:val="Normal"/>
        <w:keepNext w:val="true"/>
        <w:numPr>
          <w:ilvl w:val="0"/>
          <w:numId w:val="67"/>
        </w:numPr>
        <w:suppressAutoHyphens w:val="false"/>
        <w:spacing w:before="240" w:after="240"/>
        <w:jc w:val="center"/>
        <w:outlineLvl w:val="0"/>
        <w:rPr>
          <w:rFonts w:ascii="Times New Roman" w:hAnsi="Times New Roman" w:eastAsia="Calibri" w:cs="Times New Roman"/>
          <w:b/>
          <w:kern w:val="0"/>
          <w:sz w:val="28"/>
          <w:szCs w:val="28"/>
          <w:lang w:eastAsia="x-none" w:bidi="ar-SA"/>
        </w:rPr>
      </w:pPr>
      <w:bookmarkStart w:id="61" w:name="_Toc195805085"/>
      <w:r>
        <w:rPr>
          <w:rFonts w:eastAsia="Calibri" w:cs="Times New Roman" w:ascii="Times New Roman" w:hAnsi="Times New Roman"/>
          <w:b/>
          <w:kern w:val="0"/>
          <w:sz w:val="28"/>
          <w:szCs w:val="28"/>
          <w:lang w:eastAsia="x-none" w:bidi="ar-SA"/>
        </w:rPr>
        <w:t>Приложения</w:t>
      </w:r>
      <w:bookmarkEnd w:id="61"/>
    </w:p>
    <w:p>
      <w:pPr>
        <w:pStyle w:val="Normal"/>
        <w:suppressAutoHyphens w:val="false"/>
        <w:spacing w:before="240" w:after="240"/>
        <w:jc w:val="center"/>
        <w:rPr>
          <w:rFonts w:ascii="Times New Roman" w:hAnsi="Times New Roman" w:eastAsia="Times New Roman" w:cs="Times New Roman"/>
          <w:b/>
          <w:color w:val="0070C0"/>
          <w:kern w:val="0"/>
          <w:sz w:val="28"/>
          <w:szCs w:val="26"/>
          <w:lang w:eastAsia="ru-RU" w:bidi="ar-SA"/>
        </w:rPr>
      </w:pPr>
      <w:r>
        <w:rPr>
          <w:rFonts w:eastAsia="Times New Roman" w:cs="Times New Roman" w:ascii="Times New Roman" w:hAnsi="Times New Roman"/>
          <w:b/>
          <w:color w:val="0070C0"/>
          <w:kern w:val="0"/>
          <w:sz w:val="28"/>
          <w:szCs w:val="26"/>
          <w:lang w:eastAsia="ru-RU" w:bidi="ar-SA"/>
        </w:rPr>
        <w:t>(Приложения доступны к открытию путем двойного клика по значку, содержащему ссылку)</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840"/>
        <w:gridCol w:w="2410"/>
        <w:gridCol w:w="6671"/>
      </w:tblGrid>
      <w:tr>
        <w:trPr>
          <w:tblHeader w:val="true"/>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eastAsia="Calibri"/>
                <w:b/>
              </w:rPr>
            </w:pPr>
            <w:r>
              <w:rPr>
                <w:rFonts w:eastAsia="Calibri" w:cs="Times New Roman"/>
                <w:b/>
                <w:kern w:val="0"/>
                <w:lang w:eastAsia="ru-RU" w:bidi="ar-SA"/>
              </w:rPr>
              <w:t>№№</w:t>
            </w:r>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rFonts w:ascii="Times New Roman" w:hAnsi="Times New Roman" w:eastAsia="Times New Roman" w:cs="Times New Roman"/>
                <w:b/>
                <w:kern w:val="0"/>
                <w:lang w:eastAsia="ru-RU" w:bidi="ar-SA"/>
              </w:rPr>
            </w:pPr>
            <w:r>
              <w:rPr>
                <w:rFonts w:eastAsia="Times New Roman" w:cs="Times New Roman"/>
                <w:b/>
                <w:kern w:val="0"/>
                <w:lang w:eastAsia="ru-RU" w:bidi="ar-SA"/>
              </w:rPr>
              <w:t>Ссылки на документ</w: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rFonts w:ascii="Times New Roman" w:hAnsi="Times New Roman" w:cs="Times New Roman"/>
                <w:b/>
                <w:kern w:val="0"/>
                <w:lang w:eastAsia="ru-RU" w:bidi="ar-SA"/>
              </w:rPr>
            </w:pPr>
            <w:r>
              <w:rPr>
                <w:rFonts w:eastAsia="Calibri" w:cs="Times New Roman"/>
                <w:b/>
                <w:bCs/>
                <w:kern w:val="0"/>
                <w:lang w:eastAsia="ru-RU" w:bidi="ar-SA"/>
              </w:rPr>
              <w:t>Наименование документа</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62" w:name="_MON_1820338058_Копия_1"/>
            <w:bookmarkStart w:id="63" w:name="_MON_1790670567_Копия_1_Копия_1"/>
            <w:bookmarkStart w:id="64" w:name="_MON_1790670567"/>
            <w:bookmarkStart w:id="65" w:name="_MON_1820338058"/>
            <w:bookmarkStart w:id="66" w:name="_MON_1790670567_Копия_1"/>
            <w:bookmarkStart w:id="67" w:name="_MON_1820338058_Копия_1"/>
            <w:bookmarkStart w:id="68" w:name="_MON_1790670567_Копия_1_Копия_1"/>
            <w:bookmarkStart w:id="69" w:name="_MON_1790670567"/>
            <w:bookmarkStart w:id="70" w:name="_MON_1820338058"/>
            <w:bookmarkStart w:id="71" w:name="_MON_1790670567_Копия_1"/>
            <w:bookmarkEnd w:id="67"/>
            <w:bookmarkEnd w:id="68"/>
            <w:bookmarkEnd w:id="69"/>
            <w:bookmarkEnd w:id="70"/>
            <w:bookmarkEnd w:id="71"/>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rFonts w:ascii="Times New Roman" w:hAnsi="Times New Roman" w:eastAsia="Times New Roman" w:cs="Times New Roman"/>
                <w:kern w:val="0"/>
                <w:lang w:eastAsia="ru-RU" w:bidi="ar-SA"/>
              </w:rPr>
            </w:pPr>
            <w:bookmarkStart w:id="72" w:name="_MON_1820338058_Копия_1"/>
            <w:bookmarkStart w:id="73" w:name="_MON_1790670567_Копия_1_Копия_1"/>
            <w:bookmarkStart w:id="74" w:name="_MON_1850647384"/>
            <w:bookmarkEnd w:id="72"/>
            <w:bookmarkEnd w:id="73"/>
            <w:bookmarkEnd w:id="74"/>
            <w:r>
              <w:rPr/>
              <mc:AlternateContent>
                <mc:Choice Requires="wps">
                  <w:drawing>
                    <wp:anchor behindDoc="0" distT="0" distB="3175" distL="0" distR="3175" simplePos="0" locked="0" layoutInCell="0" allowOverlap="1" relativeHeight="28" wp14:anchorId="036516E3">
                      <wp:simplePos x="0" y="0"/>
                      <wp:positionH relativeFrom="column">
                        <wp:posOffset>0</wp:posOffset>
                      </wp:positionH>
                      <wp:positionV relativeFrom="paragraph">
                        <wp:posOffset>635</wp:posOffset>
                      </wp:positionV>
                      <wp:extent cx="635000" cy="635000"/>
                      <wp:effectExtent l="0" t="0" r="0" b="0"/>
                      <wp:wrapNone/>
                      <wp:docPr id="27" name="Прямоугольник 45"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Прямоугольник 45" path="m0,0l-2147483645,0l-2147483645,-2147483646l0,-2147483646xe" stroked="f" o:allowincell="f" style="position:absolute;margin-left:0pt;margin-top:0pt;width:49.95pt;height:49.95pt;mso-wrap-style:none;v-text-anchor:middle" wp14:anchorId="036516E3">
                      <v:fill o:detectmouseclick="t" on="false"/>
                      <v:stroke color="#3465a4" joinstyle="round" endcap="flat"/>
                      <w10:wrap type="none"/>
                    </v:rect>
                  </w:pict>
                </mc:Fallback>
              </mc:AlternateContent>
              <w:object>
                <v:shapetype id="_x0000_tole_rId40" coordsize="21600,21600" o:spt="ole_rId4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0" type="_x0000_tole_rId40" style="width:76.5pt;height:50.5pt;mso-wrap-distance-right:0pt;mso-wrap-distance-bottom:6pt" filled="f" o:ole="">
                  <v:imagedata r:id="rId41" o:title=""/>
                </v:shape>
                <o:OLEObject Type="Embed" ProgID="Word.Document.12" ShapeID="ole_rId40" DrawAspect="Icon" ObjectID="_154355391" r:id="rId40"/>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both"/>
              <w:rPr>
                <w:rFonts w:ascii="Times New Roman" w:hAnsi="Times New Roman" w:cs="Times New Roman"/>
                <w:kern w:val="0"/>
                <w:lang w:eastAsia="ru-RU" w:bidi="ar-SA"/>
              </w:rPr>
            </w:pPr>
            <w:r>
              <w:rPr>
                <w:rFonts w:eastAsia="Calibri" w:cs="Times New Roman"/>
                <w:kern w:val="0"/>
                <w:lang w:eastAsia="ru-RU" w:bidi="ar-SA"/>
              </w:rPr>
              <w:t xml:space="preserve">ПРИЛОЖЕНИЕ </w:t>
            </w:r>
            <w:r>
              <w:rPr>
                <w:rFonts w:eastAsia="Calibri" w:cs="Times New Roman"/>
                <w:kern w:val="0"/>
                <w:lang w:val="en-US" w:eastAsia="ru-RU" w:bidi="ar-SA"/>
              </w:rPr>
              <w:t>1</w:t>
            </w:r>
            <w:r>
              <w:rPr>
                <w:rFonts w:eastAsia="Calibri" w:cs="Times New Roman"/>
                <w:kern w:val="0"/>
                <w:lang w:eastAsia="ru-RU" w:bidi="ar-SA"/>
              </w:rPr>
              <w:t xml:space="preserve">. </w:t>
            </w:r>
            <w:r>
              <w:rPr>
                <w:rFonts w:eastAsia="Calibri" w:cs="Times New Roman"/>
                <w:kern w:val="0"/>
                <w:lang w:val="en-US" w:eastAsia="ru-RU" w:bidi="ar-SA"/>
              </w:rPr>
              <w:t>ФОРМА ЗАЯВКИ</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75" w:name="_MON_1820338065_Копия_1"/>
            <w:bookmarkStart w:id="76" w:name="_MON_1790668901_Копия_1_Копия_1"/>
            <w:bookmarkStart w:id="77" w:name="_MON_1790668901"/>
            <w:bookmarkStart w:id="78" w:name="_MON_1820338065"/>
            <w:bookmarkStart w:id="79" w:name="_MON_1790668901_Копия_1"/>
            <w:bookmarkStart w:id="80" w:name="_MON_1820338065_Копия_1"/>
            <w:bookmarkStart w:id="81" w:name="_MON_1790668901_Копия_1_Копия_1"/>
            <w:bookmarkStart w:id="82" w:name="_MON_1790668901"/>
            <w:bookmarkStart w:id="83" w:name="_MON_1820338065"/>
            <w:bookmarkStart w:id="84" w:name="_MON_1790668901_Копия_1"/>
            <w:bookmarkEnd w:id="80"/>
            <w:bookmarkEnd w:id="81"/>
            <w:bookmarkEnd w:id="82"/>
            <w:bookmarkEnd w:id="83"/>
            <w:bookmarkEnd w:id="84"/>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rFonts w:ascii="Times New Roman" w:hAnsi="Times New Roman" w:eastAsia="Times New Roman" w:cs="Times New Roman"/>
                <w:kern w:val="0"/>
                <w:lang w:eastAsia="ru-RU" w:bidi="ar-SA"/>
              </w:rPr>
            </w:pPr>
            <w:bookmarkStart w:id="85" w:name="_MON_1820338065_Копия_1"/>
            <w:bookmarkStart w:id="86" w:name="_MON_1790668901_Копия_1_Копия_1"/>
            <w:bookmarkStart w:id="87" w:name="_MON_1850647407"/>
            <w:bookmarkEnd w:id="85"/>
            <w:bookmarkEnd w:id="86"/>
            <w:bookmarkEnd w:id="87"/>
            <w:r>
              <w:rPr/>
              <mc:AlternateContent>
                <mc:Choice Requires="wps">
                  <w:drawing>
                    <wp:anchor behindDoc="0" distT="0" distB="3175" distL="0" distR="3175" simplePos="0" locked="0" layoutInCell="0" allowOverlap="1" relativeHeight="29" wp14:anchorId="7C4FF825">
                      <wp:simplePos x="0" y="0"/>
                      <wp:positionH relativeFrom="column">
                        <wp:posOffset>0</wp:posOffset>
                      </wp:positionH>
                      <wp:positionV relativeFrom="paragraph">
                        <wp:posOffset>635</wp:posOffset>
                      </wp:positionV>
                      <wp:extent cx="635000" cy="635000"/>
                      <wp:effectExtent l="0" t="0" r="0" b="0"/>
                      <wp:wrapNone/>
                      <wp:docPr id="28" name="Прямоугольник 44"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Прямоугольник 44" path="m0,0l-2147483645,0l-2147483645,-2147483646l0,-2147483646xe" stroked="f" o:allowincell="f" style="position:absolute;margin-left:0pt;margin-top:0pt;width:49.95pt;height:49.95pt;mso-wrap-style:none;v-text-anchor:middle" wp14:anchorId="7C4FF825">
                      <v:fill o:detectmouseclick="t" on="false"/>
                      <v:stroke color="#3465a4" joinstyle="round" endcap="flat"/>
                      <w10:wrap type="none"/>
                    </v:rect>
                  </w:pict>
                </mc:Fallback>
              </mc:AlternateContent>
              <w:object>
                <v:shapetype id="_x0000_tole_rId42" coordsize="21600,21600" o:spt="ole_rId4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2" type="_x0000_tole_rId42" style="width:76.5pt;height:50pt;mso-wrap-distance-right:0pt;mso-wrap-distance-bottom:6pt" filled="f" o:ole="">
                  <v:imagedata r:id="rId43" o:title=""/>
                </v:shape>
                <o:OLEObject Type="Embed" ProgID="Word.Document.12" ShapeID="ole_rId42" DrawAspect="Icon" ObjectID="_812983047" r:id="rId42"/>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both"/>
              <w:rPr>
                <w:rFonts w:ascii="Times New Roman" w:hAnsi="Times New Roman" w:cs="Times New Roman"/>
                <w:kern w:val="0"/>
                <w:lang w:eastAsia="ru-RU" w:bidi="ar-SA"/>
              </w:rPr>
            </w:pPr>
            <w:r>
              <w:rPr>
                <w:rFonts w:eastAsia="Calibri" w:cs="Times New Roman"/>
                <w:kern w:val="0"/>
                <w:lang w:eastAsia="ru-RU" w:bidi="ar-SA"/>
              </w:rPr>
              <w:t xml:space="preserve">ПРИЛОЖЕНИЕ </w:t>
            </w:r>
            <w:r>
              <w:rPr>
                <w:rFonts w:eastAsia="Calibri" w:cs="Times New Roman"/>
                <w:kern w:val="0"/>
                <w:lang w:val="en-US" w:eastAsia="ru-RU" w:bidi="ar-SA"/>
              </w:rPr>
              <w:t>2</w:t>
            </w:r>
            <w:r>
              <w:rPr>
                <w:rFonts w:eastAsia="Calibri" w:cs="Times New Roman"/>
                <w:kern w:val="0"/>
                <w:lang w:eastAsia="ru-RU" w:bidi="ar-SA"/>
              </w:rPr>
              <w:t xml:space="preserve">. </w:t>
            </w:r>
            <w:r>
              <w:rPr>
                <w:rFonts w:eastAsia="Calibri" w:cs="Times New Roman"/>
                <w:kern w:val="0"/>
                <w:lang w:val="en-US" w:eastAsia="ru-RU" w:bidi="ar-SA"/>
              </w:rPr>
              <w:t>РАЗМЕРНАЯ СЕТКА</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88" w:name="_MON_1840631505"/>
            <w:bookmarkStart w:id="89" w:name="_MON_1840631505"/>
            <w:bookmarkEnd w:id="89"/>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lang w:eastAsia="ru-RU" w:bidi="ar-SA"/>
              </w:rPr>
            </w:pPr>
            <w:bookmarkStart w:id="90" w:name="_MON_1840631505"/>
            <w:bookmarkEnd w:id="90"/>
            <w:r>
              <w:rPr/>
              <w:object>
                <v:shapetype id="_x0000_tole_rId44" coordsize="21600,21600" o:spt="ole_rId4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4" type="_x0000_tole_rId44" style="width:75pt;height:49pt;mso-wrap-distance-right:0pt;mso-wrap-distance-bottom:6pt" filled="f" o:ole="">
                  <v:imagedata r:id="rId45" o:title=""/>
                </v:shape>
                <o:OLEObject Type="Embed" ProgID="Word.Document.12" ShapeID="ole_rId44" DrawAspect="Icon" ObjectID="_1769642880" r:id="rId44"/>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suppressAutoHyphens w:val="false"/>
              <w:spacing w:before="120" w:after="120"/>
              <w:rPr>
                <w:rFonts w:ascii="Times New Roman" w:hAnsi="Times New Roman" w:eastAsia="Calibri" w:cs="Times New Roman"/>
                <w:kern w:val="0"/>
                <w:lang w:eastAsia="ru-RU" w:bidi="ar-SA"/>
              </w:rPr>
            </w:pPr>
            <w:r>
              <w:rPr>
                <w:rFonts w:eastAsia="Calibri" w:cs="Times New Roman" w:ascii="Times New Roman" w:hAnsi="Times New Roman"/>
                <w:kern w:val="0"/>
                <w:lang w:eastAsia="ru-RU" w:bidi="ar-SA"/>
              </w:rPr>
              <w:t>ПРИЛОЖЕНИЕ 3.</w:t>
              <w:br/>
              <w:t>ФОРМА ТЕХНИКО-КОММЕРЧЕСКОГО ПРЕДЛОЖЕНИЯ С ПРИЛОЖЕНИЯМИ ДЛЯ МОНИТОРИНГА РЫНКА</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91" w:name="_MON_1850648657"/>
            <w:bookmarkStart w:id="92" w:name="_MON_1850648657"/>
            <w:bookmarkEnd w:id="92"/>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lang w:eastAsia="ru-RU" w:bidi="ar-SA"/>
              </w:rPr>
            </w:pPr>
            <w:bookmarkStart w:id="93" w:name="_MON_1850648657"/>
            <w:bookmarkEnd w:id="93"/>
            <w:r>
              <w:rPr/>
              <w:object>
                <v:shapetype id="_x0000_tole_rId46" coordsize="21600,21600" o:spt="ole_rId46"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6" type="_x0000_tole_rId46" style="width:75.5pt;height:49.5pt;mso-wrap-distance-right:0pt;mso-wrap-distance-bottom:6pt" filled="f" o:ole="">
                  <v:imagedata r:id="rId47" o:title=""/>
                </v:shape>
                <o:OLEObject Type="Embed" ProgID="Excel.Sheet.12" ShapeID="ole_rId46" DrawAspect="Icon" ObjectID="_428900617" r:id="rId46"/>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rPr>
                <w:rFonts w:eastAsia="Calibri" w:cs="Times New Roman"/>
                <w:kern w:val="0"/>
                <w:lang w:eastAsia="ru-RU" w:bidi="ar-SA"/>
              </w:rPr>
            </w:pPr>
            <w:bookmarkStart w:id="94" w:name="_Toc46743519"/>
            <w:bookmarkStart w:id="95" w:name="_Toc51339699"/>
            <w:r>
              <w:rPr>
                <w:rFonts w:eastAsia="Calibri" w:cs="Times New Roman"/>
                <w:kern w:val="0"/>
                <w:lang w:eastAsia="ru-RU" w:bidi="ar-SA"/>
              </w:rPr>
              <w:t>ПРИЛОЖЕНИЕ 4.</w:t>
              <w:br/>
              <w:t>ПРИЛОЖЕНИЕ № 1 К ТКП - АССОРТИМЕНТНЫЙ ПЕРЕЧЕНЬ С ЕДИНИЧНЫМИ РАСЦЕНКАМИ</w:t>
            </w:r>
            <w:bookmarkEnd w:id="94"/>
            <w:bookmarkEnd w:id="95"/>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96" w:name="_MON_1840631534"/>
            <w:bookmarkStart w:id="97" w:name="_MON_1840631534"/>
            <w:bookmarkEnd w:id="97"/>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lang w:eastAsia="ru-RU" w:bidi="ar-SA"/>
              </w:rPr>
            </w:pPr>
            <w:bookmarkStart w:id="98" w:name="_MON_1840631534"/>
            <w:bookmarkEnd w:id="98"/>
            <w:r>
              <w:rPr/>
              <w:object>
                <v:shapetype id="_x0000_tole_rId48" coordsize="21600,21600" o:spt="ole_rId48"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8" type="_x0000_tole_rId48" style="width:75pt;height:49pt;mso-wrap-distance-right:0pt;mso-wrap-distance-bottom:6pt" filled="f" o:ole="">
                  <v:imagedata r:id="rId49" o:title=""/>
                </v:shape>
                <o:OLEObject Type="Embed" ProgID="Word.Document.12" ShapeID="ole_rId48" DrawAspect="Icon" ObjectID="_779690038" r:id="rId48"/>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rPr>
                <w:rFonts w:eastAsia="Calibri" w:cs="Times New Roman"/>
                <w:kern w:val="0"/>
                <w:lang w:eastAsia="ru-RU" w:bidi="ar-SA"/>
              </w:rPr>
            </w:pPr>
            <w:r>
              <w:rPr>
                <w:rFonts w:eastAsia="Calibri" w:cs="Times New Roman" w:ascii="Times New Roman" w:hAnsi="Times New Roman"/>
                <w:kern w:val="0"/>
                <w:lang w:eastAsia="ru-RU" w:bidi="ar-SA"/>
              </w:rPr>
              <w:t>ПРИЛОЖЕНИЕ 5.</w:t>
              <w:br/>
              <w:t>ФОРМА ТЕХНИКО-КОММЕРЧЕСКОГО ПРЕДЛОЖЕНИЯ С ПРИЛОЖЕНИЯМИ ДЛЯ УЧАСТИЯ В ЗАКУПКЕ</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99" w:name="_MON_1820385969"/>
            <w:bookmarkStart w:id="100" w:name="_MON_1831555267"/>
            <w:bookmarkStart w:id="101" w:name="_MON_1790672124_Копия_1"/>
            <w:bookmarkStart w:id="102" w:name="_MON_1790672124"/>
            <w:bookmarkStart w:id="103" w:name="_MON_1820385969"/>
            <w:bookmarkStart w:id="104" w:name="_MON_1831555267"/>
            <w:bookmarkStart w:id="105" w:name="_MON_1790672124_Копия_1"/>
            <w:bookmarkStart w:id="106" w:name="_MON_1790672124"/>
            <w:bookmarkEnd w:id="103"/>
            <w:bookmarkEnd w:id="104"/>
            <w:bookmarkEnd w:id="105"/>
            <w:bookmarkEnd w:id="106"/>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rFonts w:ascii="Times New Roman" w:hAnsi="Times New Roman" w:eastAsia="Times New Roman" w:cs="Times New Roman"/>
                <w:kern w:val="0"/>
                <w:lang w:eastAsia="ru-RU" w:bidi="ar-SA"/>
              </w:rPr>
            </w:pPr>
            <w:bookmarkStart w:id="107" w:name="_MON_1820385969"/>
            <w:bookmarkStart w:id="108" w:name="_MON_1831555267"/>
            <w:bookmarkStart w:id="109" w:name="_MON_1790672124_Копия_1"/>
            <w:bookmarkEnd w:id="107"/>
            <w:bookmarkEnd w:id="108"/>
            <w:bookmarkEnd w:id="109"/>
            <w:r>
              <w:rPr/>
              <w:object>
                <v:shapetype id="_x0000_tole_rId50" coordsize="21600,21600" o:spt="ole_rId5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0" type="_x0000_tole_rId50" style="width:76.5pt;height:49.5pt;mso-wrap-distance-right:0pt;mso-wrap-distance-bottom:6pt" filled="f" o:ole="">
                  <v:imagedata r:id="rId51" o:title=""/>
                </v:shape>
                <o:OLEObject Type="Embed" ProgID="Word.Document.12" ShapeID="ole_rId50" DrawAspect="Icon" ObjectID="_568256361" r:id="rId50"/>
              </w:object>
              <mc:AlternateContent>
                <mc:Choice Requires="wps">
                  <w:drawing>
                    <wp:anchor behindDoc="0" distT="0" distB="3175" distL="0" distR="3175" simplePos="0" locked="0" layoutInCell="0" allowOverlap="1" relativeHeight="30" wp14:anchorId="26203586">
                      <wp:simplePos x="0" y="0"/>
                      <wp:positionH relativeFrom="column">
                        <wp:posOffset>0</wp:posOffset>
                      </wp:positionH>
                      <wp:positionV relativeFrom="paragraph">
                        <wp:posOffset>635</wp:posOffset>
                      </wp:positionV>
                      <wp:extent cx="635000" cy="635000"/>
                      <wp:effectExtent l="0" t="0" r="0" b="0"/>
                      <wp:wrapNone/>
                      <wp:docPr id="29" name="Прямоугольник 43" hidden="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Прямоугольник 43" path="m0,0l-2147483645,0l-2147483645,-2147483646l0,-2147483646xe" stroked="f" o:allowincell="f" style="position:absolute;margin-left:0pt;margin-top:0pt;width:49.95pt;height:49.95pt;mso-wrap-style:none;v-text-anchor:middle" wp14:anchorId="26203586">
                      <v:fill o:detectmouseclick="t" on="false"/>
                      <v:stroke color="#3465a4" joinstyle="round" endcap="flat"/>
                      <w10:wrap type="none"/>
                    </v:rect>
                  </w:pict>
                </mc:Fallback>
              </mc:AlternateContent>
            </w:r>
            <w:bookmarkStart w:id="110" w:name="_MON_1820338093"/>
            <w:bookmarkEnd w:id="110"/>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rPr>
                <w:rFonts w:ascii="Times New Roman" w:hAnsi="Times New Roman" w:cs="Times New Roman"/>
                <w:kern w:val="0"/>
                <w:lang w:eastAsia="ru-RU" w:bidi="ar-SA"/>
              </w:rPr>
            </w:pPr>
            <w:r>
              <w:rPr>
                <w:rFonts w:eastAsia="Times New Roman" w:cs="Times New Roman" w:ascii="Times New Roman" w:hAnsi="Times New Roman"/>
                <w:bCs/>
                <w:caps/>
                <w:kern w:val="0"/>
                <w:lang w:eastAsia="ru-RU" w:bidi="ar-SA"/>
              </w:rPr>
              <w:t>ПРИЛОЖЕНИЕ 6.</w:t>
              <w:br/>
            </w:r>
            <w:r>
              <w:rPr>
                <w:rFonts w:eastAsia="Times New Roman" w:cs="Times New Roman" w:ascii="Times New Roman" w:hAnsi="Times New Roman"/>
                <w:bCs/>
                <w:caps/>
                <w:kern w:val="0"/>
                <w:lang w:val="ru-RU" w:eastAsia="ru-RU" w:bidi="ar-SA"/>
              </w:rPr>
              <w:t>Перечень документов для заключения договора</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111" w:name="_MON_1831557045"/>
            <w:bookmarkStart w:id="112" w:name="_MON_1831557045"/>
            <w:bookmarkEnd w:id="112"/>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lang w:eastAsia="ru-RU" w:bidi="ar-SA"/>
              </w:rPr>
            </w:pPr>
            <w:bookmarkStart w:id="113" w:name="_MON_1831557045"/>
            <w:bookmarkEnd w:id="113"/>
            <w:r>
              <w:rPr/>
              <w:object>
                <v:shapetype id="_x0000_tole_rId52" coordsize="21600,21600" o:spt="ole_rId5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2" type="_x0000_tole_rId52" style="width:76.5pt;height:49.5pt;mso-wrap-distance-right:0pt;mso-wrap-distance-bottom:6pt" filled="f" o:ole="">
                  <v:imagedata r:id="rId53" o:title=""/>
                </v:shape>
                <o:OLEObject Type="Embed" ProgID="Word.Document.12" ShapeID="ole_rId52" DrawAspect="Icon" ObjectID="_621554367" r:id="rId52"/>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suppressAutoHyphens w:val="false"/>
              <w:spacing w:before="120" w:after="120"/>
              <w:rPr>
                <w:rFonts w:ascii="Times New Roman" w:hAnsi="Times New Roman" w:eastAsia="Calibri" w:cs="Times New Roman"/>
                <w:b/>
                <w:bCs/>
                <w:color w:val="000000"/>
                <w:kern w:val="0"/>
                <w:lang w:eastAsia="ru-RU" w:bidi="ar-SA"/>
              </w:rPr>
            </w:pPr>
            <w:r>
              <w:rPr>
                <w:rFonts w:eastAsia="Times New Roman" w:cs="Times New Roman" w:ascii="Times New Roman" w:hAnsi="Times New Roman"/>
                <w:bCs/>
                <w:caps/>
                <w:kern w:val="0"/>
                <w:lang w:eastAsia="ru-RU" w:bidi="ar-SA"/>
              </w:rPr>
              <w:t>ПРИЛОЖЕНИЕ 7.</w:t>
              <w:br/>
            </w:r>
            <w:r>
              <w:rPr>
                <w:rFonts w:eastAsia="Times New Roman" w:cs="Times New Roman" w:ascii="Times New Roman" w:hAnsi="Times New Roman"/>
                <w:bCs/>
                <w:caps/>
                <w:kern w:val="0"/>
                <w:lang w:val="ru-RU" w:eastAsia="ru-RU" w:bidi="ar-SA"/>
              </w:rPr>
              <w:t>Заверение об обстоятельствах</w:t>
            </w:r>
          </w:p>
        </w:tc>
      </w:tr>
      <w:tr>
        <w:trPr/>
        <w:tc>
          <w:tcPr>
            <w:tcW w:w="840"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65"/>
              </w:numPr>
              <w:spacing w:before="120" w:after="120"/>
              <w:contextualSpacing/>
              <w:jc w:val="both"/>
              <w:rPr>
                <w:rFonts w:eastAsia="Calibri"/>
              </w:rPr>
            </w:pPr>
            <w:r>
              <w:rPr>
                <w:rFonts w:eastAsia="Calibri"/>
              </w:rPr>
            </w:r>
            <w:bookmarkStart w:id="114" w:name="_MON_1831556774"/>
            <w:bookmarkStart w:id="115" w:name="_MON_1831556774"/>
            <w:bookmarkEnd w:id="115"/>
          </w:p>
        </w:tc>
        <w:tc>
          <w:tcPr>
            <w:tcW w:w="241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spacing w:before="120" w:after="120"/>
              <w:jc w:val="center"/>
              <w:rPr>
                <w:lang w:eastAsia="ru-RU" w:bidi="ar-SA"/>
              </w:rPr>
            </w:pPr>
            <w:bookmarkStart w:id="116" w:name="_MON_1831556774"/>
            <w:bookmarkEnd w:id="116"/>
            <w:r>
              <w:rPr/>
              <w:object>
                <v:shapetype id="_x0000_tole_rId54" coordsize="21600,21600" o:spt="ole_rId5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54" type="_x0000_tole_rId54" style="width:76.5pt;height:49.5pt;mso-wrap-distance-right:0pt;mso-wrap-distance-bottom:6pt" filled="f" o:ole="">
                  <v:imagedata r:id="rId55" o:title=""/>
                </v:shape>
                <o:OLEObject Type="Embed" ProgID="Word.Document.12" ShapeID="ole_rId54" DrawAspect="Icon" ObjectID="_107579369" r:id="rId54"/>
              </w:object>
            </w:r>
          </w:p>
        </w:tc>
        <w:tc>
          <w:tcPr>
            <w:tcW w:w="6671" w:type="dxa"/>
            <w:tcBorders>
              <w:top w:val="single" w:sz="4" w:space="0" w:color="000000"/>
              <w:left w:val="single" w:sz="4" w:space="0" w:color="000000"/>
              <w:bottom w:val="single" w:sz="4" w:space="0" w:color="000000"/>
              <w:right w:val="single" w:sz="4" w:space="0" w:color="000000"/>
            </w:tcBorders>
          </w:tcPr>
          <w:p>
            <w:pPr>
              <w:pStyle w:val="Normal"/>
              <w:keepNext w:val="true"/>
              <w:suppressAutoHyphens w:val="false"/>
              <w:spacing w:before="120" w:after="120"/>
              <w:rPr>
                <w:rFonts w:ascii="Times New Roman" w:hAnsi="Times New Roman" w:eastAsia="Calibri" w:cs="Times New Roman"/>
                <w:b/>
                <w:bCs/>
                <w:color w:val="000000"/>
                <w:kern w:val="0"/>
                <w:lang w:eastAsia="ru-RU" w:bidi="ar-SA"/>
              </w:rPr>
            </w:pPr>
            <w:bookmarkStart w:id="117" w:name="_Toc75446583"/>
            <w:bookmarkStart w:id="118" w:name="_Toc170504720"/>
            <w:bookmarkStart w:id="119" w:name="_Toc181179544"/>
            <w:bookmarkStart w:id="120" w:name="_Toc53393312"/>
            <w:r>
              <w:rPr>
                <w:rFonts w:eastAsia="Times New Roman" w:cs="Times New Roman" w:ascii="Times New Roman" w:hAnsi="Times New Roman"/>
                <w:bCs/>
                <w:caps/>
                <w:kern w:val="0"/>
                <w:lang w:eastAsia="ru-RU" w:bidi="ar-SA"/>
              </w:rPr>
              <w:t>ПРИЛОЖЕНИЕ 8.</w:t>
              <w:br/>
              <w:t>Сведения о цепочке собственников, включая бенефициаров (в том числе конечных)</w:t>
            </w:r>
            <w:bookmarkEnd w:id="117"/>
            <w:bookmarkEnd w:id="118"/>
            <w:bookmarkEnd w:id="119"/>
            <w:bookmarkEnd w:id="120"/>
          </w:p>
        </w:tc>
      </w:tr>
    </w:tbl>
    <w:p>
      <w:pPr>
        <w:pStyle w:val="Normal"/>
        <w:rPr>
          <w:rFonts w:eastAsia="Calibri"/>
          <w:lang w:val="x-none"/>
        </w:rPr>
      </w:pPr>
      <w:r>
        <w:rPr>
          <w:rFonts w:eastAsia="Calibri"/>
          <w:lang w:val="x-none"/>
        </w:rPr>
      </w:r>
    </w:p>
    <w:sectPr>
      <w:headerReference w:type="even" r:id="rId56"/>
      <w:headerReference w:type="default" r:id="rId57"/>
      <w:headerReference w:type="first" r:id="rId58"/>
      <w:footerReference w:type="default" r:id="rId59"/>
      <w:footerReference w:type="first" r:id="rId60"/>
      <w:footnotePr>
        <w:numFmt w:val="decimal"/>
      </w:footnotePr>
      <w:type w:val="nextPage"/>
      <w:pgSz w:w="11906" w:h="16838"/>
      <w:pgMar w:left="1134" w:right="851" w:gutter="0" w:header="680" w:top="1134" w:footer="0" w:bottom="992"/>
      <w:pgNumType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Liberation Serif">
    <w:altName w:val="Times New Roman"/>
    <w:charset w:val="01"/>
    <w:family w:val="roman"/>
    <w:pitch w:val="variable"/>
  </w:font>
  <w:font w:name="Segoe UI">
    <w:charset w:val="01"/>
    <w:family w:val="roman"/>
    <w:pitch w:val="variable"/>
  </w:font>
  <w:font w:name="PT Sans">
    <w:charset w:val="01"/>
    <w:family w:val="swiss"/>
    <w:pitch w:val="variable"/>
  </w:font>
  <w:font w:name="Liberation Sans">
    <w:altName w:val="Arial"/>
    <w:charset w:val="01"/>
    <w:family w:val="roman"/>
    <w:pitch w:val="variable"/>
  </w:font>
  <w:font w:name="Times New Roman">
    <w:charset w:val="01"/>
    <w:family w:val="roman"/>
    <w:pitch w:val="variable"/>
  </w:font>
  <w:font w:name="Calibri">
    <w:charset w:val="01"/>
    <w:family w:val="roman"/>
    <w:pitch w:val="variable"/>
  </w:font>
  <w:font w:name="ITC Avant Garde Std Bk">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81920757"/>
    </w:sdtPr>
    <w:sdtContent>
      <w:p>
        <w:pPr>
          <w:pStyle w:val="Footer"/>
          <w:jc w:val="right"/>
          <w:rPr/>
        </w:pPr>
        <w:r>
          <w:rPr/>
          <w:fldChar w:fldCharType="begin"/>
        </w:r>
        <w:r>
          <w:rPr/>
          <w:instrText xml:space="preserve"> PAGE </w:instrText>
        </w:r>
        <w:r>
          <w:rPr/>
          <w:fldChar w:fldCharType="separate"/>
        </w:r>
        <w:r>
          <w:rPr/>
          <w:t>1</w:t>
        </w:r>
        <w:r>
          <w:rPr/>
          <w:fldChar w:fldCharType="end"/>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05981669"/>
    </w:sdtPr>
    <w:sdtContent>
      <w:p>
        <w:pPr>
          <w:pStyle w:val="Footer"/>
          <w:jc w:val="right"/>
          <w:rPr/>
        </w:pPr>
        <w:r>
          <w:rPr/>
          <w:fldChar w:fldCharType="begin"/>
        </w:r>
        <w:r>
          <w:rPr/>
          <w:instrText xml:space="preserve"> PAGE </w:instrText>
        </w:r>
        <w:r>
          <w:rPr/>
          <w:fldChar w:fldCharType="separate"/>
        </w:r>
        <w:r>
          <w:rPr/>
          <w:t>2</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87620840"/>
    </w:sdtPr>
    <w:sdtContent>
      <w:p>
        <w:pPr>
          <w:pStyle w:val="Footer"/>
          <w:jc w:val="right"/>
          <w:rPr/>
        </w:pPr>
        <w:r>
          <w:rPr/>
          <w:fldChar w:fldCharType="begin"/>
        </w:r>
        <w:r>
          <w:rPr/>
          <w:instrText xml:space="preserve"> PAGE </w:instrText>
        </w:r>
        <w:r>
          <w:rPr/>
          <w:fldChar w:fldCharType="separate"/>
        </w:r>
        <w:r>
          <w:rPr/>
          <w:t>7</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90534820"/>
    </w:sdtPr>
    <w:sdtContent>
      <w:p>
        <w:pPr>
          <w:pStyle w:val="Footer"/>
          <w:jc w:val="right"/>
          <w:rPr/>
        </w:pPr>
        <w:r>
          <w:rPr/>
          <w:fldChar w:fldCharType="begin"/>
        </w:r>
        <w:r>
          <w:rPr/>
          <w:instrText xml:space="preserve"> PAGE </w:instrText>
        </w:r>
        <w:r>
          <w:rPr/>
          <w:fldChar w:fldCharType="separate"/>
        </w:r>
        <w:r>
          <w:rPr/>
          <w:t>39</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rPr/>
      </w:pPr>
      <w:r>
        <w:rPr>
          <w:rStyle w:val="Style5"/>
        </w:rPr>
        <w:footnoteRef/>
      </w:r>
      <w:r>
        <w:rPr/>
        <w:tab/>
        <w:t xml:space="preserve"> </w:t>
      </w:r>
      <w:r>
        <w:rPr/>
        <w:t>Пара – 2 штуки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keepNext w:val="true"/>
      <w:keepLines/>
      <w:jc w:val="center"/>
      <w:rPr>
        <w:sz w:val="28"/>
        <w:szCs w:val="28"/>
      </w:rPr>
    </w:pPr>
    <w:r>
      <w:rPr>
        <w:rFonts w:eastAsia="Calibri"/>
        <w:b/>
        <w:sz w:val="28"/>
        <w:szCs w:val="28"/>
      </w:rPr>
      <w:t>Лот № 0001-ЭКСП ПРОД-2025-РГЦР</w:t>
    </w:r>
  </w:p>
  <w:p>
    <w:pPr>
      <w:pStyle w:val="Normal"/>
      <w:jc w:val="center"/>
      <w:rPr>
        <w:sz w:val="28"/>
      </w:rPr>
    </w:pPr>
    <w:r>
      <w:rPr>
        <w:b/>
        <w:sz w:val="28"/>
      </w:rPr>
      <w:t>СОДЕРЖАНИЕ</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39</w:t>
    </w:r>
    <w:r>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left"/>
      <w:pPr>
        <w:tabs>
          <w:tab w:val="num" w:pos="0"/>
        </w:tabs>
        <w:ind w:left="709" w:hanging="709"/>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tabs>
          <w:tab w:val="num" w:pos="0"/>
        </w:tabs>
        <w:ind w:left="709" w:hanging="709"/>
      </w:pPr>
      <w:rPr>
        <w:sz w:val="24"/>
        <w:i w:val="false"/>
        <w:b/>
        <w:szCs w:val="24"/>
        <w:iCs/>
        <w:bCs/>
      </w:rPr>
    </w:lvl>
    <w:lvl w:ilvl="2">
      <w:start w:val="1"/>
      <w:pStyle w:val="Heading3"/>
      <w:numFmt w:val="decimal"/>
      <w:suff w:val="space"/>
      <w:lvlText w:val="%1.%2.%3."/>
      <w:lvlJc w:val="left"/>
      <w:pPr>
        <w:tabs>
          <w:tab w:val="num" w:pos="0"/>
        </w:tabs>
        <w:ind w:left="709" w:hanging="709"/>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suff w:val="space"/>
      <w:lvlText w:val="%1"/>
      <w:lvlJc w:val="left"/>
      <w:pPr>
        <w:tabs>
          <w:tab w:val="num" w:pos="0"/>
        </w:tabs>
        <w:ind w:left="0" w:hanging="0"/>
      </w:pPr>
      <w:rPr>
        <w:sz w:val="24"/>
        <w:i w:val="false"/>
        <w:szCs w:val="24"/>
        <w:iCs w:val="false"/>
      </w:rPr>
    </w:lvl>
    <w:lvl w:ilvl="1">
      <w:start w:val="4"/>
      <w:numFmt w:val="decimal"/>
      <w:lvlText w:val="%1.%2"/>
      <w:lvlJc w:val="left"/>
      <w:pPr>
        <w:tabs>
          <w:tab w:val="num" w:pos="0"/>
        </w:tabs>
        <w:ind w:left="0" w:hanging="0"/>
      </w:pPr>
      <w:rPr>
        <w:sz w:val="24"/>
        <w:i w:val="false"/>
        <w:szCs w:val="24"/>
        <w:iCs w:val="false"/>
      </w:rPr>
    </w:lvl>
    <w:lvl w:ilvl="2">
      <w:start w:val="1"/>
      <w:numFmt w:val="decimal"/>
      <w:lvlText w:val="%1.%2.%3"/>
      <w:lvlJc w:val="left"/>
      <w:pPr>
        <w:tabs>
          <w:tab w:val="num" w:pos="567"/>
        </w:tabs>
        <w:ind w:left="0" w:hanging="0"/>
      </w:pPr>
      <w:rPr>
        <w:sz w:val="24"/>
        <w:i w:val="false"/>
        <w:szCs w:val="24"/>
        <w:iCs w:val="false"/>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3">
    <w:lvl w:ilvl="0">
      <w:start w:val="1"/>
      <w:numFmt w:val="decimal"/>
      <w:suff w:val="space"/>
      <w:lvlText w:val="%1"/>
      <w:lvlJc w:val="left"/>
      <w:pPr>
        <w:tabs>
          <w:tab w:val="num" w:pos="0"/>
        </w:tabs>
        <w:ind w:left="0" w:hanging="0"/>
      </w:pPr>
      <w:rPr>
        <w:sz w:val="24"/>
        <w:i w:val="false"/>
        <w:szCs w:val="24"/>
        <w:iCs w:val="false"/>
      </w:rPr>
    </w:lvl>
    <w:lvl w:ilvl="1">
      <w:start w:val="1"/>
      <w:numFmt w:val="decimal"/>
      <w:suff w:val="space"/>
      <w:lvlText w:val="%1.%2"/>
      <w:lvlJc w:val="left"/>
      <w:pPr>
        <w:tabs>
          <w:tab w:val="num" w:pos="0"/>
        </w:tabs>
        <w:ind w:left="0" w:hanging="0"/>
      </w:pPr>
      <w:rPr>
        <w:sz w:val="24"/>
        <w:i w:val="false"/>
        <w:szCs w:val="24"/>
        <w:iCs w:val="false"/>
      </w:rPr>
    </w:lvl>
    <w:lvl w:ilvl="2">
      <w:start w:val="1"/>
      <w:numFmt w:val="decimal"/>
      <w:suff w:val="space"/>
      <w:lvlText w:val="%1.%2.%3"/>
      <w:lvlJc w:val="left"/>
      <w:pPr>
        <w:tabs>
          <w:tab w:val="num" w:pos="0"/>
        </w:tabs>
        <w:ind w:left="0" w:hanging="0"/>
      </w:pPr>
      <w:rPr>
        <w:sz w:val="24"/>
        <w:i w:val="false"/>
        <w:szCs w:val="24"/>
        <w:iCs w:val="false"/>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4"/>
      <w:numFmt w:val="decimal"/>
      <w:suff w:val="space"/>
      <w:lvlText w:val="1.%1"/>
      <w:lvlJc w:val="left"/>
      <w:pPr>
        <w:tabs>
          <w:tab w:val="num" w:pos="0"/>
        </w:tabs>
        <w:ind w:left="709" w:hanging="709"/>
      </w:pPr>
      <w:rPr>
        <w:sz w:val="24"/>
        <w:i w:val="false"/>
        <w:b w:val="false"/>
        <w:szCs w:val="24"/>
        <w:iCs w:val="false"/>
        <w:bCs w:val="false"/>
      </w:rPr>
    </w:lvl>
    <w:lvl w:ilvl="1">
      <w:start w:val="1"/>
      <w:numFmt w:val="decimal"/>
      <w:lvlText w:val="%2."/>
      <w:lvlJc w:val="left"/>
      <w:pPr>
        <w:tabs>
          <w:tab w:val="num" w:pos="1080"/>
        </w:tabs>
        <w:ind w:left="1080" w:hanging="360"/>
      </w:pPr>
      <w:rPr>
        <w:sz w:val="24"/>
        <w:i w:val="false"/>
        <w:b w:val="false"/>
        <w:szCs w:val="24"/>
        <w:iCs w:val="false"/>
        <w:bCs w:val="false"/>
      </w:rPr>
    </w:lvl>
    <w:lvl w:ilvl="2">
      <w:start w:val="1"/>
      <w:numFmt w:val="decimal"/>
      <w:lvlText w:val="%3."/>
      <w:lvlJc w:val="left"/>
      <w:pPr>
        <w:tabs>
          <w:tab w:val="num" w:pos="1440"/>
        </w:tabs>
        <w:ind w:left="1440" w:hanging="360"/>
      </w:pPr>
      <w:rPr>
        <w:sz w:val="24"/>
        <w:i w:val="false"/>
        <w:b w:val="false"/>
        <w:szCs w:val="24"/>
        <w:iCs w:val="false"/>
        <w:bCs w:val="false"/>
      </w:rPr>
    </w:lvl>
    <w:lvl w:ilvl="3">
      <w:start w:val="1"/>
      <w:numFmt w:val="decimal"/>
      <w:lvlText w:val="%4."/>
      <w:lvlJc w:val="left"/>
      <w:pPr>
        <w:tabs>
          <w:tab w:val="num" w:pos="1800"/>
        </w:tabs>
        <w:ind w:left="1800" w:hanging="360"/>
      </w:pPr>
      <w:rPr>
        <w:sz w:val="24"/>
        <w:i w:val="false"/>
        <w:b w:val="false"/>
        <w:szCs w:val="24"/>
        <w:iCs w:val="false"/>
        <w:bCs w:val="false"/>
      </w:rPr>
    </w:lvl>
    <w:lvl w:ilvl="4">
      <w:start w:val="1"/>
      <w:numFmt w:val="decimal"/>
      <w:lvlText w:val="%5."/>
      <w:lvlJc w:val="left"/>
      <w:pPr>
        <w:tabs>
          <w:tab w:val="num" w:pos="2160"/>
        </w:tabs>
        <w:ind w:left="2160" w:hanging="360"/>
      </w:pPr>
      <w:rPr>
        <w:sz w:val="24"/>
        <w:i w:val="false"/>
        <w:b w:val="false"/>
        <w:szCs w:val="24"/>
        <w:iCs w:val="false"/>
        <w:bCs w:val="false"/>
      </w:rPr>
    </w:lvl>
    <w:lvl w:ilvl="5">
      <w:start w:val="1"/>
      <w:numFmt w:val="decimal"/>
      <w:lvlText w:val="%6."/>
      <w:lvlJc w:val="left"/>
      <w:pPr>
        <w:tabs>
          <w:tab w:val="num" w:pos="2520"/>
        </w:tabs>
        <w:ind w:left="2520" w:hanging="360"/>
      </w:pPr>
      <w:rPr>
        <w:sz w:val="24"/>
        <w:i w:val="false"/>
        <w:b w:val="false"/>
        <w:szCs w:val="24"/>
        <w:iCs w:val="false"/>
        <w:bCs w:val="false"/>
      </w:rPr>
    </w:lvl>
    <w:lvl w:ilvl="6">
      <w:start w:val="1"/>
      <w:numFmt w:val="decimal"/>
      <w:lvlText w:val="%7."/>
      <w:lvlJc w:val="left"/>
      <w:pPr>
        <w:tabs>
          <w:tab w:val="num" w:pos="2880"/>
        </w:tabs>
        <w:ind w:left="2880" w:hanging="360"/>
      </w:pPr>
      <w:rPr>
        <w:sz w:val="24"/>
        <w:i w:val="false"/>
        <w:b w:val="false"/>
        <w:szCs w:val="24"/>
        <w:iCs w:val="false"/>
        <w:bCs w:val="false"/>
      </w:rPr>
    </w:lvl>
    <w:lvl w:ilvl="7">
      <w:start w:val="1"/>
      <w:numFmt w:val="decimal"/>
      <w:lvlText w:val="%8."/>
      <w:lvlJc w:val="left"/>
      <w:pPr>
        <w:tabs>
          <w:tab w:val="num" w:pos="3240"/>
        </w:tabs>
        <w:ind w:left="3240" w:hanging="360"/>
      </w:pPr>
      <w:rPr>
        <w:sz w:val="24"/>
        <w:i w:val="false"/>
        <w:b w:val="false"/>
        <w:szCs w:val="24"/>
        <w:iCs w:val="false"/>
        <w:bCs w:val="false"/>
      </w:rPr>
    </w:lvl>
    <w:lvl w:ilvl="8">
      <w:start w:val="1"/>
      <w:numFmt w:val="decimal"/>
      <w:lvlText w:val="%9."/>
      <w:lvlJc w:val="left"/>
      <w:pPr>
        <w:tabs>
          <w:tab w:val="num" w:pos="3600"/>
        </w:tabs>
        <w:ind w:left="3600" w:hanging="360"/>
      </w:pPr>
      <w:rPr>
        <w:sz w:val="24"/>
        <w:i w:val="false"/>
        <w:b w:val="false"/>
        <w:szCs w:val="24"/>
        <w:iCs w:val="false"/>
        <w:bCs w:val="false"/>
      </w:rPr>
    </w:lvl>
  </w:abstractNum>
  <w:abstractNum w:abstractNumId="5">
    <w:lvl w:ilvl="0">
      <w:start w:val="1"/>
      <w:numFmt w:val="decimal"/>
      <w:suff w:val="space"/>
      <w:lvlText w:val="1.4.%1"/>
      <w:lvlJc w:val="left"/>
      <w:pPr>
        <w:tabs>
          <w:tab w:val="num" w:pos="0"/>
        </w:tabs>
        <w:ind w:left="709" w:hanging="709"/>
      </w:pPr>
      <w:rPr>
        <w:sz w:val="24"/>
        <w:i w:val="false"/>
        <w:b w:val="false"/>
        <w:szCs w:val="24"/>
        <w:iCs w:val="false"/>
        <w:bCs w:val="false"/>
      </w:rPr>
    </w:lvl>
    <w:lvl w:ilvl="1">
      <w:start w:val="1"/>
      <w:numFmt w:val="decimal"/>
      <w:lvlText w:val="%2."/>
      <w:lvlJc w:val="left"/>
      <w:pPr>
        <w:tabs>
          <w:tab w:val="num" w:pos="1080"/>
        </w:tabs>
        <w:ind w:left="1080" w:hanging="360"/>
      </w:pPr>
      <w:rPr>
        <w:sz w:val="24"/>
        <w:i w:val="false"/>
        <w:b w:val="false"/>
        <w:szCs w:val="24"/>
        <w:iCs w:val="false"/>
        <w:bCs w:val="false"/>
      </w:rPr>
    </w:lvl>
    <w:lvl w:ilvl="2">
      <w:start w:val="1"/>
      <w:numFmt w:val="decimal"/>
      <w:lvlText w:val="%3."/>
      <w:lvlJc w:val="left"/>
      <w:pPr>
        <w:tabs>
          <w:tab w:val="num" w:pos="1440"/>
        </w:tabs>
        <w:ind w:left="1440" w:hanging="360"/>
      </w:pPr>
      <w:rPr>
        <w:sz w:val="24"/>
        <w:i w:val="false"/>
        <w:b w:val="false"/>
        <w:szCs w:val="24"/>
        <w:iCs w:val="false"/>
        <w:bCs w:val="false"/>
      </w:rPr>
    </w:lvl>
    <w:lvl w:ilvl="3">
      <w:start w:val="1"/>
      <w:numFmt w:val="decimal"/>
      <w:lvlText w:val="%4."/>
      <w:lvlJc w:val="left"/>
      <w:pPr>
        <w:tabs>
          <w:tab w:val="num" w:pos="1800"/>
        </w:tabs>
        <w:ind w:left="1800" w:hanging="360"/>
      </w:pPr>
      <w:rPr>
        <w:sz w:val="24"/>
        <w:i w:val="false"/>
        <w:b w:val="false"/>
        <w:szCs w:val="24"/>
        <w:iCs w:val="false"/>
        <w:bCs w:val="false"/>
      </w:rPr>
    </w:lvl>
    <w:lvl w:ilvl="4">
      <w:start w:val="1"/>
      <w:numFmt w:val="decimal"/>
      <w:lvlText w:val="%5."/>
      <w:lvlJc w:val="left"/>
      <w:pPr>
        <w:tabs>
          <w:tab w:val="num" w:pos="2160"/>
        </w:tabs>
        <w:ind w:left="2160" w:hanging="360"/>
      </w:pPr>
      <w:rPr>
        <w:sz w:val="24"/>
        <w:i w:val="false"/>
        <w:b w:val="false"/>
        <w:szCs w:val="24"/>
        <w:iCs w:val="false"/>
        <w:bCs w:val="false"/>
      </w:rPr>
    </w:lvl>
    <w:lvl w:ilvl="5">
      <w:start w:val="1"/>
      <w:numFmt w:val="decimal"/>
      <w:lvlText w:val="%6."/>
      <w:lvlJc w:val="left"/>
      <w:pPr>
        <w:tabs>
          <w:tab w:val="num" w:pos="2520"/>
        </w:tabs>
        <w:ind w:left="2520" w:hanging="360"/>
      </w:pPr>
      <w:rPr>
        <w:sz w:val="24"/>
        <w:i w:val="false"/>
        <w:b w:val="false"/>
        <w:szCs w:val="24"/>
        <w:iCs w:val="false"/>
        <w:bCs w:val="false"/>
      </w:rPr>
    </w:lvl>
    <w:lvl w:ilvl="6">
      <w:start w:val="1"/>
      <w:numFmt w:val="decimal"/>
      <w:lvlText w:val="%7."/>
      <w:lvlJc w:val="left"/>
      <w:pPr>
        <w:tabs>
          <w:tab w:val="num" w:pos="2880"/>
        </w:tabs>
        <w:ind w:left="2880" w:hanging="360"/>
      </w:pPr>
      <w:rPr>
        <w:sz w:val="24"/>
        <w:i w:val="false"/>
        <w:b w:val="false"/>
        <w:szCs w:val="24"/>
        <w:iCs w:val="false"/>
        <w:bCs w:val="false"/>
      </w:rPr>
    </w:lvl>
    <w:lvl w:ilvl="7">
      <w:start w:val="1"/>
      <w:numFmt w:val="decimal"/>
      <w:lvlText w:val="%8."/>
      <w:lvlJc w:val="left"/>
      <w:pPr>
        <w:tabs>
          <w:tab w:val="num" w:pos="3240"/>
        </w:tabs>
        <w:ind w:left="3240" w:hanging="360"/>
      </w:pPr>
      <w:rPr>
        <w:sz w:val="24"/>
        <w:i w:val="false"/>
        <w:b w:val="false"/>
        <w:szCs w:val="24"/>
        <w:iCs w:val="false"/>
        <w:bCs w:val="false"/>
      </w:rPr>
    </w:lvl>
    <w:lvl w:ilvl="8">
      <w:start w:val="1"/>
      <w:numFmt w:val="decimal"/>
      <w:lvlText w:val="%9."/>
      <w:lvlJc w:val="left"/>
      <w:pPr>
        <w:tabs>
          <w:tab w:val="num" w:pos="3600"/>
        </w:tabs>
        <w:ind w:left="3600" w:hanging="360"/>
      </w:pPr>
      <w:rPr>
        <w:sz w:val="24"/>
        <w:i w:val="false"/>
        <w:b w:val="false"/>
        <w:szCs w:val="24"/>
        <w:iCs w:val="false"/>
        <w:bCs w:val="false"/>
      </w:rPr>
    </w:lvl>
  </w:abstractNum>
  <w:abstractNum w:abstractNumId="6">
    <w:lvl w:ilvl="0">
      <w:start w:val="1"/>
      <w:numFmt w:val="decimal"/>
      <w:suff w:val="space"/>
      <w:lvlText w:val="%1"/>
      <w:lvlJc w:val="left"/>
      <w:pPr>
        <w:tabs>
          <w:tab w:val="num" w:pos="0"/>
        </w:tabs>
        <w:ind w:left="0" w:hanging="0"/>
      </w:pPr>
      <w:rPr>
        <w:sz w:val="24"/>
        <w:szCs w:val="24"/>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suff w:val="space"/>
      <w:lvlText w:val="%1.%2"/>
      <w:lvlJc w:val="left"/>
      <w:pPr>
        <w:tabs>
          <w:tab w:val="num" w:pos="0"/>
        </w:tabs>
        <w:ind w:left="0" w:hanging="0"/>
      </w:pPr>
      <w:rPr>
        <w:sz w:val="24"/>
        <w:szCs w:val="24"/>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decimal"/>
      <w:suff w:val="space"/>
      <w:lvlText w:val="%1"/>
      <w:lvlJc w:val="left"/>
      <w:pPr>
        <w:tabs>
          <w:tab w:val="num" w:pos="0"/>
        </w:tabs>
        <w:ind w:left="0" w:hanging="0"/>
      </w:pPr>
      <w:rPr>
        <w:sz w:val="24"/>
        <w:szCs w:val="24"/>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suff w:val="space"/>
      <w:lvlText w:val="%1.%2.%3.%4."/>
      <w:lvlJc w:val="left"/>
      <w:pPr>
        <w:tabs>
          <w:tab w:val="num" w:pos="0"/>
        </w:tabs>
        <w:ind w:left="709" w:hanging="709"/>
      </w:pPr>
      <w:rPr>
        <w:b w:val="false"/>
        <w:bCs w:val="false"/>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1"/>
      <w:numFmt w:val="decimal"/>
      <w:lvlText w:val="%1."/>
      <w:lvlJc w:val="left"/>
      <w:pPr>
        <w:tabs>
          <w:tab w:val="num" w:pos="0"/>
        </w:tabs>
        <w:ind w:left="360" w:hanging="360"/>
      </w:pPr>
      <w:rPr/>
    </w:lvl>
    <w:lvl w:ilvl="1">
      <w:start w:val="1"/>
      <w:numFmt w:val="decimal"/>
      <w:suff w:val="space"/>
      <w:lvlText w:val="%1.%2"/>
      <w:lvlJc w:val="left"/>
      <w:pPr>
        <w:tabs>
          <w:tab w:val="num" w:pos="0"/>
        </w:tabs>
        <w:ind w:left="0" w:hanging="0"/>
      </w:pPr>
      <w:rPr>
        <w:sz w:val="24"/>
        <w:szCs w:val="24"/>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lvlText w:val="%1"/>
      <w:lvlJc w:val="left"/>
      <w:pPr>
        <w:tabs>
          <w:tab w:val="num" w:pos="0"/>
        </w:tabs>
        <w:ind w:left="0" w:hanging="0"/>
      </w:pPr>
      <w:rPr>
        <w:sz w:val="24"/>
        <w:b/>
        <w:szCs w:val="24"/>
        <w:bCs w:val="false"/>
      </w:rPr>
    </w:lvl>
    <w:lvl w:ilvl="1">
      <w:start w:val="1"/>
      <w:numFmt w:val="decimal"/>
      <w:lvlText w:val="%1.%2"/>
      <w:lvlJc w:val="left"/>
      <w:pPr>
        <w:tabs>
          <w:tab w:val="num" w:pos="0"/>
        </w:tabs>
        <w:ind w:left="0" w:hanging="0"/>
      </w:pPr>
      <w:rPr>
        <w:sz w:val="24"/>
        <w:b w:val="false"/>
        <w:szCs w:val="24"/>
        <w:bCs/>
      </w:rPr>
    </w:lvl>
    <w:lvl w:ilvl="2">
      <w:start w:val="1"/>
      <w:numFmt w:val="decimal"/>
      <w:lvlText w:val="%1.%2.%3"/>
      <w:lvlJc w:val="left"/>
      <w:pPr>
        <w:tabs>
          <w:tab w:val="num" w:pos="0"/>
        </w:tabs>
        <w:ind w:left="709" w:hanging="709"/>
      </w:pPr>
      <w:rPr>
        <w:sz w:val="24"/>
        <w:b w:val="false"/>
        <w:szCs w:val="24"/>
      </w:rPr>
    </w:lvl>
    <w:lvl w:ilvl="3">
      <w:start w:val="1"/>
      <w:numFmt w:val="decimal"/>
      <w:lvlText w:val="%1.%2.%3.%4"/>
      <w:lvlJc w:val="left"/>
      <w:pPr>
        <w:tabs>
          <w:tab w:val="num" w:pos="0"/>
        </w:tabs>
        <w:ind w:left="709" w:hanging="709"/>
      </w:pPr>
      <w:rPr>
        <w:sz w:val="24"/>
        <w:b w:val="false"/>
        <w:szCs w:val="24"/>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2">
    <w:lvl w:ilvl="0">
      <w:start w:val="1"/>
      <w:numFmt w:val="russianLower"/>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3">
    <w:lvl w:ilvl="0">
      <w:start w:val="1"/>
      <w:numFmt w:val="russianLower"/>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4">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15">
    <w:lvl w:ilvl="0">
      <w:start w:val="1"/>
      <w:numFmt w:val="decimal"/>
      <w:suff w:val="space"/>
      <w:lvlText w:val="%1."/>
      <w:lvlJc w:val="left"/>
      <w:pPr>
        <w:tabs>
          <w:tab w:val="num" w:pos="0"/>
        </w:tabs>
        <w:ind w:left="0" w:hanging="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6">
    <w:lvl w:ilvl="0">
      <w:start w:val="1"/>
      <w:numFmt w:val="decimal"/>
      <w:suff w:val="space"/>
      <w:lvlText w:val="%1."/>
      <w:lvlJc w:val="left"/>
      <w:pPr>
        <w:tabs>
          <w:tab w:val="num" w:pos="0"/>
        </w:tabs>
        <w:ind w:left="0" w:hanging="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7">
    <w:lvl w:ilvl="0">
      <w:start w:val="1"/>
      <w:numFmt w:val="decimal"/>
      <w:suff w:val="space"/>
      <w:lvlText w:val="%1."/>
      <w:lvlJc w:val="left"/>
      <w:pPr>
        <w:tabs>
          <w:tab w:val="num" w:pos="0"/>
        </w:tabs>
        <w:ind w:left="0" w:hanging="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8">
    <w:lvl w:ilvl="0">
      <w:start w:val="1"/>
      <w:numFmt w:val="decimal"/>
      <w:suff w:val="space"/>
      <w:lvlText w:val="%1."/>
      <w:lvlJc w:val="left"/>
      <w:pPr>
        <w:tabs>
          <w:tab w:val="num" w:pos="0"/>
        </w:tabs>
        <w:ind w:left="0" w:hanging="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9">
    <w:lvl w:ilvl="0">
      <w:start w:val="1"/>
      <w:numFmt w:val="decimal"/>
      <w:suff w:val="space"/>
      <w:lvlText w:val="%1."/>
      <w:lvlJc w:val="left"/>
      <w:pPr>
        <w:tabs>
          <w:tab w:val="num" w:pos="0"/>
        </w:tabs>
        <w:ind w:left="0" w:hanging="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0">
    <w:lvl w:ilvl="0">
      <w:start w:val="1"/>
      <w:numFmt w:val="decimal"/>
      <w:suff w:val="space"/>
      <w:lvlText w:val="%1"/>
      <w:lvlJc w:val="left"/>
      <w:pPr>
        <w:tabs>
          <w:tab w:val="num" w:pos="0"/>
        </w:tabs>
        <w:ind w:left="0" w:hanging="0"/>
      </w:pPr>
      <w:rPr>
        <w:sz w:val="24"/>
        <w:b/>
        <w:szCs w:val="24"/>
        <w:bCs w:val="false"/>
      </w:rPr>
    </w:lvl>
    <w:lvl w:ilvl="1">
      <w:start w:val="1"/>
      <w:numFmt w:val="decimal"/>
      <w:lvlText w:val="%1.%2"/>
      <w:lvlJc w:val="left"/>
      <w:pPr>
        <w:tabs>
          <w:tab w:val="num" w:pos="0"/>
        </w:tabs>
        <w:ind w:left="0" w:hanging="0"/>
      </w:pPr>
      <w:rPr>
        <w:sz w:val="24"/>
        <w:b w:val="false"/>
        <w:szCs w:val="24"/>
        <w:bCs/>
      </w:rPr>
    </w:lvl>
    <w:lvl w:ilvl="2">
      <w:start w:val="1"/>
      <w:numFmt w:val="decimal"/>
      <w:lvlText w:val="%1.%2.%3"/>
      <w:lvlJc w:val="left"/>
      <w:pPr>
        <w:tabs>
          <w:tab w:val="num" w:pos="0"/>
        </w:tabs>
        <w:ind w:left="709" w:hanging="709"/>
      </w:pPr>
      <w:rPr>
        <w:sz w:val="24"/>
        <w:b w:val="false"/>
        <w:szCs w:val="24"/>
      </w:rPr>
    </w:lvl>
    <w:lvl w:ilvl="3">
      <w:start w:val="1"/>
      <w:numFmt w:val="decimal"/>
      <w:lvlText w:val="%4)"/>
      <w:lvlJc w:val="left"/>
      <w:pPr>
        <w:tabs>
          <w:tab w:val="num" w:pos="0"/>
        </w:tabs>
        <w:ind w:left="709" w:hanging="709"/>
      </w:pPr>
      <w:rPr>
        <w:sz w:val="24"/>
        <w:b w:val="false"/>
        <w:szCs w:val="24"/>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1">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2">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3">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4">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5">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6">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7">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8">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29">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0">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1">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2">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3">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4">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5">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6">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7">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8">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39">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0">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1">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2">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3">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4">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5">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6">
    <w:lvl w:ilvl="0">
      <w:start w:val="1"/>
      <w:numFmt w:val="decimal"/>
      <w:suff w:val="space"/>
      <w:lvlText w:val="%1"/>
      <w:lvlJc w:val="left"/>
      <w:pPr>
        <w:tabs>
          <w:tab w:val="num" w:pos="0"/>
        </w:tabs>
        <w:ind w:left="0" w:hanging="0"/>
      </w:pPr>
      <w:rPr>
        <w:sz w:val="24"/>
        <w:b/>
        <w:szCs w:val="24"/>
        <w:bCs w:val="false"/>
      </w:rPr>
    </w:lvl>
    <w:lvl w:ilvl="1">
      <w:start w:val="1"/>
      <w:numFmt w:val="decimal"/>
      <w:lvlText w:val="%1.%2"/>
      <w:lvlJc w:val="left"/>
      <w:pPr>
        <w:tabs>
          <w:tab w:val="num" w:pos="0"/>
        </w:tabs>
        <w:ind w:left="0" w:hanging="0"/>
      </w:pPr>
      <w:rPr>
        <w:sz w:val="24"/>
        <w:b w:val="false"/>
        <w:szCs w:val="24"/>
        <w:bCs/>
      </w:rPr>
    </w:lvl>
    <w:lvl w:ilvl="2">
      <w:start w:val="1"/>
      <w:numFmt w:val="decimal"/>
      <w:lvlText w:val="%1.%2.%3"/>
      <w:lvlJc w:val="left"/>
      <w:pPr>
        <w:tabs>
          <w:tab w:val="num" w:pos="0"/>
        </w:tabs>
        <w:ind w:left="709" w:hanging="709"/>
      </w:pPr>
      <w:rPr>
        <w:sz w:val="24"/>
        <w:b w:val="false"/>
        <w:szCs w:val="24"/>
      </w:rPr>
    </w:lvl>
    <w:lvl w:ilvl="3">
      <w:start w:val="1"/>
      <w:numFmt w:val="decimal"/>
      <w:lvlText w:val="%4)"/>
      <w:lvlJc w:val="left"/>
      <w:pPr>
        <w:tabs>
          <w:tab w:val="num" w:pos="0"/>
        </w:tabs>
        <w:ind w:left="709" w:hanging="709"/>
      </w:pPr>
      <w:rPr>
        <w:sz w:val="24"/>
        <w:b w:val="false"/>
        <w:szCs w:val="24"/>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7">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8">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49">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0">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1">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2">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3">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4">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5">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6">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7">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8">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9">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0">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1">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2">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3">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4">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5">
    <w:lvl w:ilvl="0">
      <w:start w:val="1"/>
      <w:numFmt w:val="decimal"/>
      <w:suff w:val="nothing"/>
      <w:lvlText w:val="№ %1."/>
      <w:lvlJc w:val="left"/>
      <w:pPr>
        <w:tabs>
          <w:tab w:val="num" w:pos="0"/>
        </w:tabs>
        <w:ind w:left="0" w:hanging="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6">
    <w:lvl w:ilvl="0">
      <w:start w:val="1"/>
      <w:numFmt w:val="decimal"/>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7">
    <w:lvl w:ilvl="0">
      <w:start w:val="4"/>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68">
    <w:lvl w:ilvl="0">
      <w:start w:val="4"/>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69">
    <w:lvl w:ilvl="0">
      <w:start w:val="3"/>
      <w:numFmt w:val="decimal"/>
      <w:lvlText w:val="%1."/>
      <w:lvlJc w:val="left"/>
      <w:pPr>
        <w:tabs>
          <w:tab w:val="num" w:pos="0"/>
        </w:tabs>
        <w:ind w:left="0" w:hanging="0"/>
      </w:pPr>
      <w:rPr/>
    </w:lvl>
    <w:lvl w:ilvl="1">
      <w:start w:val="1"/>
      <w:numFmt w:val="decimal"/>
      <w:lvlText w:val="%1.%2."/>
      <w:lvlJc w:val="left"/>
      <w:pPr>
        <w:tabs>
          <w:tab w:val="num" w:pos="0"/>
        </w:tabs>
        <w:ind w:left="0" w:hanging="0"/>
      </w:pPr>
      <w:rPr/>
    </w:lvl>
    <w:lvl w:ilvl="2">
      <w:start w:val="1"/>
      <w:numFmt w:val="decimal"/>
      <w:lvlText w:val="%1.%2.%3."/>
      <w:lvlJc w:val="left"/>
      <w:pPr>
        <w:tabs>
          <w:tab w:val="num" w:pos="0"/>
        </w:tabs>
        <w:ind w:left="0" w:hanging="0"/>
      </w:pPr>
      <w:rPr/>
    </w:lvl>
    <w:lvl w:ilvl="3">
      <w:start w:val="1"/>
      <w:numFmt w:val="decimal"/>
      <w:lvlText w:val="%1.%2.%3.%4."/>
      <w:lvlJc w:val="left"/>
      <w:pPr>
        <w:tabs>
          <w:tab w:val="num" w:pos="0"/>
        </w:tabs>
        <w:ind w:left="0" w:hanging="0"/>
      </w:pPr>
      <w:rPr/>
    </w:lvl>
    <w:lvl w:ilvl="4">
      <w:start w:val="1"/>
      <w:numFmt w:val="decimal"/>
      <w:lvlText w:val="%1.%2.%3.%4.%5."/>
      <w:lvlJc w:val="left"/>
      <w:pPr>
        <w:tabs>
          <w:tab w:val="num" w:pos="0"/>
        </w:tabs>
        <w:ind w:left="0" w:hanging="0"/>
      </w:pPr>
      <w:rPr/>
    </w:lvl>
    <w:lvl w:ilvl="5">
      <w:start w:val="1"/>
      <w:numFmt w:val="decimal"/>
      <w:lvlText w:val="%1.%2.%3.%4.%5.%6."/>
      <w:lvlJc w:val="left"/>
      <w:pPr>
        <w:tabs>
          <w:tab w:val="num" w:pos="0"/>
        </w:tabs>
        <w:ind w:left="0" w:hanging="0"/>
      </w:pPr>
      <w:rPr/>
    </w:lvl>
    <w:lvl w:ilvl="6">
      <w:start w:val="1"/>
      <w:numFmt w:val="decimal"/>
      <w:lvlText w:val="%1.%2.%3.%4.%5.%6.%7."/>
      <w:lvlJc w:val="left"/>
      <w:pPr>
        <w:tabs>
          <w:tab w:val="num" w:pos="0"/>
        </w:tabs>
        <w:ind w:left="0" w:hanging="0"/>
      </w:pPr>
      <w:rPr/>
    </w:lvl>
    <w:lvl w:ilvl="7">
      <w:start w:val="1"/>
      <w:numFmt w:val="decimal"/>
      <w:lvlText w:val="%1.%2.%3.%4.%5.%6.%7.%8."/>
      <w:lvlJc w:val="left"/>
      <w:pPr>
        <w:tabs>
          <w:tab w:val="num" w:pos="0"/>
        </w:tabs>
        <w:ind w:left="0" w:hanging="0"/>
      </w:pPr>
      <w:rPr/>
    </w:lvl>
    <w:lvl w:ilvl="8">
      <w:start w:val="1"/>
      <w:numFmt w:val="decimal"/>
      <w:lvlText w:val="%1.%2.%3.%4.%5.%6.%7.%8.%9."/>
      <w:lvlJc w:val="left"/>
      <w:pPr>
        <w:tabs>
          <w:tab w:val="num" w:pos="0"/>
        </w:tabs>
        <w:ind w:left="0" w:hanging="0"/>
      </w:pPr>
      <w:rPr/>
    </w:lvl>
  </w:abstractNum>
  <w:abstractNum w:abstractNumId="70">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1">
    <w:lvl w:ilvl="0">
      <w:start w:val="1"/>
      <w:numFmt w:val="russianLower"/>
      <w:lvlText w:val="%1)"/>
      <w:lvlJc w:val="left"/>
      <w:pPr>
        <w:tabs>
          <w:tab w:val="num" w:pos="0"/>
        </w:tabs>
        <w:ind w:left="709" w:hanging="709"/>
      </w:pPr>
      <w:rPr>
        <w:sz w:val="24"/>
        <w:b w:val="false"/>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72">
    <w:lvl w:ilvl="0">
      <w:start w:val="1"/>
      <w:numFmt w:val="decimal"/>
      <w:lvlText w:val="%1)"/>
      <w:lvlJc w:val="left"/>
      <w:pPr>
        <w:tabs>
          <w:tab w:val="num" w:pos="0"/>
        </w:tabs>
        <w:ind w:left="709" w:hanging="709"/>
      </w:pPr>
      <w:rPr>
        <w:sz w:val="24"/>
        <w:szCs w:val="24"/>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bering>
</file>

<file path=word/settings.xml><?xml version="1.0" encoding="utf-8"?>
<w:settings xmlns:w="http://schemas.openxmlformats.org/wordprocessingml/2006/main">
  <w:zoom w:percent="103"/>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Arial Unicode MS"/>
        <w:kern w:val="2"/>
        <w:sz w:val="24"/>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Arial Unicode MS"/>
      <w:color w:val="auto"/>
      <w:kern w:val="2"/>
      <w:sz w:val="24"/>
      <w:szCs w:val="24"/>
      <w:lang w:val="ru-RU" w:eastAsia="zh-CN" w:bidi="hi-IN"/>
    </w:rPr>
  </w:style>
  <w:style w:type="paragraph" w:styleId="Heading1">
    <w:name w:val="Heading 1"/>
    <w:basedOn w:val="Heading3"/>
    <w:next w:val="Normal"/>
    <w:qFormat/>
    <w:pPr>
      <w:numPr>
        <w:ilvl w:val="0"/>
        <w:numId w:val="1"/>
      </w:numPr>
      <w:outlineLvl w:val="0"/>
    </w:pPr>
    <w:rPr>
      <w:sz w:val="28"/>
      <w:szCs w:val="28"/>
    </w:rPr>
  </w:style>
  <w:style w:type="paragraph" w:styleId="Heading2">
    <w:name w:val="Heading 2"/>
    <w:basedOn w:val="Heading4"/>
    <w:next w:val="Normal"/>
    <w:qFormat/>
    <w:pPr>
      <w:outlineLvl w:val="1"/>
    </w:pPr>
    <w:rPr/>
  </w:style>
  <w:style w:type="paragraph" w:styleId="Heading3">
    <w:name w:val="Heading 3"/>
    <w:basedOn w:val="Normal"/>
    <w:next w:val="Normal"/>
    <w:qFormat/>
    <w:pPr>
      <w:keepNext w:val="true"/>
      <w:numPr>
        <w:ilvl w:val="2"/>
        <w:numId w:val="1"/>
      </w:numPr>
      <w:spacing w:before="120" w:after="60"/>
      <w:outlineLvl w:val="2"/>
    </w:pPr>
    <w:rPr>
      <w:rFonts w:eastAsia="Calibri"/>
      <w:b/>
      <w:lang w:val="x-none" w:eastAsia="x-none"/>
    </w:rPr>
  </w:style>
  <w:style w:type="paragraph" w:styleId="Heading4">
    <w:name w:val="Heading 4"/>
    <w:basedOn w:val="Heading3"/>
    <w:next w:val="Normal"/>
    <w:qFormat/>
    <w:pPr>
      <w:numPr>
        <w:ilvl w:val="0"/>
        <w:numId w:val="0"/>
      </w:numPr>
      <w:tabs>
        <w:tab w:val="left" w:pos="709" w:leader="none"/>
      </w:tabs>
      <w:ind w:hanging="709" w:left="709"/>
      <w:outlineLvl w:val="3"/>
    </w:pPr>
    <w:rPr>
      <w:bCs/>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Style5" w:customStyle="1">
    <w:name w:val="Символ сноски"/>
    <w:qFormat/>
    <w:rPr>
      <w:vertAlign w:val="superscript"/>
    </w:rPr>
  </w:style>
  <w:style w:type="character" w:styleId="FootnoteReference">
    <w:name w:val="Footnote Reference"/>
    <w:rPr>
      <w:vertAlign w:val="superscript"/>
    </w:rPr>
  </w:style>
  <w:style w:type="character" w:styleId="Style6" w:customStyle="1">
    <w:name w:val="Символ концевой сноски"/>
    <w:qFormat/>
    <w:rPr>
      <w:vertAlign w:val="superscript"/>
    </w:rPr>
  </w:style>
  <w:style w:type="character" w:styleId="EndnoteReference">
    <w:name w:val="Endnote Reference"/>
    <w:rPr>
      <w:vertAlign w:val="superscript"/>
    </w:rPr>
  </w:style>
  <w:style w:type="character" w:styleId="Style7" w:customStyle="1">
    <w:name w:val="Нижний колонтитул Знак"/>
    <w:basedOn w:val="DefaultParagraphFont"/>
    <w:uiPriority w:val="99"/>
    <w:qFormat/>
    <w:rsid w:val="008e5ba5"/>
    <w:rPr>
      <w:rFonts w:cs="Mangal"/>
      <w:szCs w:val="21"/>
    </w:rPr>
  </w:style>
  <w:style w:type="character" w:styleId="Annotationreference">
    <w:name w:val="annotation reference"/>
    <w:basedOn w:val="DefaultParagraphFont"/>
    <w:uiPriority w:val="99"/>
    <w:semiHidden/>
    <w:unhideWhenUsed/>
    <w:qFormat/>
    <w:rsid w:val="008e5ba5"/>
    <w:rPr>
      <w:sz w:val="16"/>
      <w:szCs w:val="16"/>
    </w:rPr>
  </w:style>
  <w:style w:type="character" w:styleId="Style8" w:customStyle="1">
    <w:name w:val="Текст примечания Знак"/>
    <w:basedOn w:val="DefaultParagraphFont"/>
    <w:link w:val="Annotationtext"/>
    <w:uiPriority w:val="99"/>
    <w:semiHidden/>
    <w:qFormat/>
    <w:rsid w:val="008e5ba5"/>
    <w:rPr>
      <w:rFonts w:cs="Mangal"/>
      <w:sz w:val="20"/>
      <w:szCs w:val="18"/>
    </w:rPr>
  </w:style>
  <w:style w:type="character" w:styleId="Style9" w:customStyle="1">
    <w:name w:val="Тема примечания Знак"/>
    <w:basedOn w:val="Style8"/>
    <w:link w:val="Annotationsubject"/>
    <w:uiPriority w:val="99"/>
    <w:semiHidden/>
    <w:qFormat/>
    <w:rsid w:val="008e5ba5"/>
    <w:rPr>
      <w:rFonts w:cs="Mangal"/>
      <w:b/>
      <w:bCs/>
      <w:sz w:val="20"/>
      <w:szCs w:val="18"/>
    </w:rPr>
  </w:style>
  <w:style w:type="character" w:styleId="Style10" w:customStyle="1">
    <w:name w:val="Текст выноски Знак"/>
    <w:basedOn w:val="DefaultParagraphFont"/>
    <w:link w:val="BalloonText"/>
    <w:uiPriority w:val="99"/>
    <w:semiHidden/>
    <w:qFormat/>
    <w:rsid w:val="008e5ba5"/>
    <w:rPr>
      <w:rFonts w:ascii="Segoe UI" w:hAnsi="Segoe UI" w:cs="Mangal"/>
      <w:sz w:val="18"/>
      <w:szCs w:val="16"/>
    </w:rPr>
  </w:style>
  <w:style w:type="character" w:styleId="LineNumber">
    <w:name w:val="Line Number"/>
    <w:rPr/>
  </w:style>
  <w:style w:type="paragraph" w:styleId="Style11">
    <w:name w:val="Заголовок"/>
    <w:basedOn w:val="Normal"/>
    <w:next w:val="BodyText"/>
    <w:qFormat/>
    <w:pPr>
      <w:keepNext w:val="true"/>
      <w:spacing w:before="240" w:after="120"/>
    </w:pPr>
    <w:rPr>
      <w:rFonts w:ascii="PT Sans" w:hAnsi="PT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2">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rPr>
  </w:style>
  <w:style w:type="paragraph" w:styleId="Style13" w:customStyle="1">
    <w:name w:val="Колонтитул"/>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TOC1">
    <w:name w:val="TOC 1"/>
    <w:basedOn w:val="Normal"/>
    <w:next w:val="Normal"/>
    <w:pPr>
      <w:spacing w:lineRule="auto" w:line="276"/>
    </w:pPr>
    <w:rPr>
      <w:rFonts w:cs="Calibri Light (Заголовки)"/>
      <w:b/>
      <w:bCs/>
    </w:rPr>
  </w:style>
  <w:style w:type="paragraph" w:styleId="TOC4">
    <w:name w:val="TOC 4"/>
    <w:basedOn w:val="Normal"/>
    <w:next w:val="Normal"/>
    <w:pPr>
      <w:ind w:left="560"/>
    </w:pPr>
    <w:rPr>
      <w:rFonts w:cs="Calibri" w:cstheme="minorHAnsi"/>
      <w:sz w:val="20"/>
      <w:szCs w:val="20"/>
    </w:rPr>
  </w:style>
  <w:style w:type="paragraph" w:styleId="TOC3">
    <w:name w:val="TOC 3"/>
    <w:basedOn w:val="Normal"/>
    <w:next w:val="Normal"/>
    <w:pPr>
      <w:ind w:left="280"/>
    </w:pPr>
    <w:rPr>
      <w:rFonts w:cs="Calibri" w:cstheme="minorHAnsi"/>
      <w:sz w:val="20"/>
      <w:szCs w:val="20"/>
    </w:rPr>
  </w:style>
  <w:style w:type="paragraph" w:styleId="ListParagraph">
    <w:name w:val="List Paragraph"/>
    <w:basedOn w:val="Normal"/>
    <w:qFormat/>
    <w:pPr>
      <w:spacing w:before="0" w:after="0"/>
      <w:ind w:left="720"/>
      <w:contextualSpacing/>
    </w:pPr>
    <w:rPr>
      <w:rFonts w:eastAsia="Calibri"/>
    </w:rPr>
  </w:style>
  <w:style w:type="paragraph" w:styleId="FootnoteText">
    <w:name w:val="Footnote Text"/>
    <w:basedOn w:val="Normal"/>
    <w:pPr>
      <w:suppressLineNumbers/>
      <w:ind w:hanging="340" w:left="340"/>
    </w:pPr>
    <w:rPr>
      <w:sz w:val="20"/>
      <w:szCs w:val="20"/>
    </w:rPr>
  </w:style>
  <w:style w:type="paragraph" w:styleId="TOC5">
    <w:name w:val="TOC 5"/>
    <w:basedOn w:val="Indexheading"/>
    <w:pPr/>
    <w:rPr/>
  </w:style>
  <w:style w:type="paragraph" w:styleId="TOC6">
    <w:name w:val="TOC 6"/>
    <w:basedOn w:val="Indexheading"/>
    <w:pPr/>
    <w:rPr/>
  </w:style>
  <w:style w:type="paragraph" w:styleId="TOC7">
    <w:name w:val="TOC 7"/>
    <w:basedOn w:val="Indexheading"/>
    <w:pPr/>
    <w:rPr/>
  </w:style>
  <w:style w:type="paragraph" w:styleId="TOC8">
    <w:name w:val="TOC 8"/>
    <w:basedOn w:val="Indexheading"/>
    <w:pPr/>
    <w:rPr/>
  </w:style>
  <w:style w:type="paragraph" w:styleId="TOC9">
    <w:name w:val="TOC 9"/>
    <w:basedOn w:val="Indexheading"/>
    <w:pPr/>
    <w:rPr/>
  </w:style>
  <w:style w:type="paragraph" w:styleId="Style14" w:customStyle="1">
    <w:name w:val="Содержимое таблицы"/>
    <w:basedOn w:val="Normal"/>
    <w:qFormat/>
    <w:pPr>
      <w:widowControl w:val="false"/>
      <w:suppressLineNumbers/>
    </w:pPr>
    <w:rPr/>
  </w:style>
  <w:style w:type="paragraph" w:styleId="Style15" w:customStyle="1">
    <w:name w:val="Заголовок таблицы"/>
    <w:basedOn w:val="Style14"/>
    <w:qFormat/>
    <w:pPr>
      <w:jc w:val="center"/>
    </w:pPr>
    <w:rPr>
      <w:b/>
      <w:bCs/>
    </w:rPr>
  </w:style>
  <w:style w:type="paragraph" w:styleId="Footer">
    <w:name w:val="Footer"/>
    <w:basedOn w:val="Normal"/>
    <w:link w:val="Style7"/>
    <w:uiPriority w:val="99"/>
    <w:unhideWhenUsed/>
    <w:rsid w:val="008e5ba5"/>
    <w:pPr>
      <w:tabs>
        <w:tab w:val="clear" w:pos="709"/>
        <w:tab w:val="center" w:pos="4677" w:leader="none"/>
        <w:tab w:val="right" w:pos="9355" w:leader="none"/>
      </w:tabs>
    </w:pPr>
    <w:rPr>
      <w:rFonts w:cs="Mangal"/>
      <w:szCs w:val="21"/>
    </w:rPr>
  </w:style>
  <w:style w:type="paragraph" w:styleId="Annotationtext">
    <w:name w:val="annotation text"/>
    <w:basedOn w:val="Normal"/>
    <w:link w:val="Style8"/>
    <w:uiPriority w:val="99"/>
    <w:semiHidden/>
    <w:unhideWhenUsed/>
    <w:qFormat/>
    <w:rsid w:val="008e5ba5"/>
    <w:pPr/>
    <w:rPr>
      <w:rFonts w:cs="Mangal"/>
      <w:sz w:val="20"/>
      <w:szCs w:val="18"/>
    </w:rPr>
  </w:style>
  <w:style w:type="paragraph" w:styleId="Annotationsubject">
    <w:name w:val="annotation subject"/>
    <w:basedOn w:val="Annotationtext"/>
    <w:next w:val="Annotationtext"/>
    <w:link w:val="Style9"/>
    <w:uiPriority w:val="99"/>
    <w:semiHidden/>
    <w:unhideWhenUsed/>
    <w:qFormat/>
    <w:rsid w:val="008e5ba5"/>
    <w:pPr/>
    <w:rPr>
      <w:b/>
      <w:bCs/>
    </w:rPr>
  </w:style>
  <w:style w:type="paragraph" w:styleId="BalloonText">
    <w:name w:val="Balloon Text"/>
    <w:basedOn w:val="Normal"/>
    <w:link w:val="Style10"/>
    <w:uiPriority w:val="99"/>
    <w:semiHidden/>
    <w:unhideWhenUsed/>
    <w:qFormat/>
    <w:rsid w:val="008e5ba5"/>
    <w:pPr/>
    <w:rPr>
      <w:rFonts w:ascii="Segoe UI" w:hAnsi="Segoe UI" w:cs="Mangal"/>
      <w:sz w:val="18"/>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41">
    <w:name w:val="Сетка таблицы4"/>
    <w:basedOn w:val="a1"/>
    <w:uiPriority w:val="39"/>
    <w:rsid w:val="005e31e7"/>
    <w:pPr>
      <w:spacing w:before="120" w:after="120"/>
      <w:jc w:val="both"/>
    </w:pPr>
    <w:rPr>
      <w:lang w:eastAsia="ru-RU" w:bidi="ar-S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c">
    <w:name w:val="Table Grid"/>
    <w:basedOn w:val="a1"/>
    <w:uiPriority w:val="39"/>
    <w:rsid w:val="005e31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consultantplus://offline/ref=F166A2A7929EA2C3C9815E93C0B983A884457D134322588CD24E22E877A2C5C61633D90028D047DB684F7E4B933554DB6DE1B04A30B61479aFTBI" TargetMode="External"/><Relationship Id="rId9" Type="http://schemas.openxmlformats.org/officeDocument/2006/relationships/image" Target="media/image1.jpeg"/><Relationship Id="rId10" Type="http://schemas.openxmlformats.org/officeDocument/2006/relationships/image" Target="media/image1.jpeg"/><Relationship Id="rId11" Type="http://schemas.openxmlformats.org/officeDocument/2006/relationships/image" Target="media/image1.jpeg"/><Relationship Id="rId12" Type="http://schemas.openxmlformats.org/officeDocument/2006/relationships/image" Target="media/image1.jpeg"/><Relationship Id="rId13" Type="http://schemas.openxmlformats.org/officeDocument/2006/relationships/image" Target="media/image2.jpeg"/><Relationship Id="rId14" Type="http://schemas.openxmlformats.org/officeDocument/2006/relationships/image" Target="media/image3.jpe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oleObject" Target="embeddings/oleObject1.bin"/><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wmf"/><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jpeg"/><Relationship Id="rId33" Type="http://schemas.openxmlformats.org/officeDocument/2006/relationships/image" Target="media/image21.jpeg"/><Relationship Id="rId34" Type="http://schemas.openxmlformats.org/officeDocument/2006/relationships/image" Target="media/image22.jpeg"/><Relationship Id="rId35" Type="http://schemas.openxmlformats.org/officeDocument/2006/relationships/image" Target="media/image23.jpeg"/><Relationship Id="rId36" Type="http://schemas.openxmlformats.org/officeDocument/2006/relationships/header" Target="header4.xml"/><Relationship Id="rId37" Type="http://schemas.openxmlformats.org/officeDocument/2006/relationships/header" Target="header5.xml"/><Relationship Id="rId38" Type="http://schemas.openxmlformats.org/officeDocument/2006/relationships/footer" Target="footer4.xml"/><Relationship Id="rId39" Type="http://schemas.openxmlformats.org/officeDocument/2006/relationships/footer" Target="footer5.xml"/><Relationship Id="rId40" Type="http://schemas.openxmlformats.org/officeDocument/2006/relationships/package" Target="embeddings/oleObject2.docx"/><Relationship Id="rId41" Type="http://schemas.openxmlformats.org/officeDocument/2006/relationships/image" Target="media/image24.wmf"/><Relationship Id="rId42" Type="http://schemas.openxmlformats.org/officeDocument/2006/relationships/package" Target="embeddings/oleObject3.docx"/><Relationship Id="rId43" Type="http://schemas.openxmlformats.org/officeDocument/2006/relationships/image" Target="media/image25.wmf"/><Relationship Id="rId44" Type="http://schemas.openxmlformats.org/officeDocument/2006/relationships/package" Target="embeddings/oleObject4.docx"/><Relationship Id="rId45" Type="http://schemas.openxmlformats.org/officeDocument/2006/relationships/image" Target="media/image26.wmf"/><Relationship Id="rId46" Type="http://schemas.openxmlformats.org/officeDocument/2006/relationships/package" Target="embeddings/oleObject5.xlsx"/><Relationship Id="rId47" Type="http://schemas.openxmlformats.org/officeDocument/2006/relationships/image" Target="media/image27.wmf"/><Relationship Id="rId48" Type="http://schemas.openxmlformats.org/officeDocument/2006/relationships/package" Target="embeddings/oleObject6.docx"/><Relationship Id="rId49" Type="http://schemas.openxmlformats.org/officeDocument/2006/relationships/image" Target="media/image28.wmf"/><Relationship Id="rId50" Type="http://schemas.openxmlformats.org/officeDocument/2006/relationships/package" Target="embeddings/oleObject7.docx"/><Relationship Id="rId51" Type="http://schemas.openxmlformats.org/officeDocument/2006/relationships/image" Target="media/image29.wmf"/><Relationship Id="rId52" Type="http://schemas.openxmlformats.org/officeDocument/2006/relationships/package" Target="embeddings/oleObject8.docx"/><Relationship Id="rId53" Type="http://schemas.openxmlformats.org/officeDocument/2006/relationships/image" Target="media/image30.wmf"/><Relationship Id="rId54" Type="http://schemas.openxmlformats.org/officeDocument/2006/relationships/package" Target="embeddings/oleObject9.docx"/><Relationship Id="rId55" Type="http://schemas.openxmlformats.org/officeDocument/2006/relationships/image" Target="media/image31.wmf"/><Relationship Id="rId56" Type="http://schemas.openxmlformats.org/officeDocument/2006/relationships/header" Target="header6.xml"/><Relationship Id="rId57" Type="http://schemas.openxmlformats.org/officeDocument/2006/relationships/header" Target="header7.xml"/><Relationship Id="rId58" Type="http://schemas.openxmlformats.org/officeDocument/2006/relationships/header" Target="header8.xml"/><Relationship Id="rId59" Type="http://schemas.openxmlformats.org/officeDocument/2006/relationships/footer" Target="footer6.xml"/><Relationship Id="rId60" Type="http://schemas.openxmlformats.org/officeDocument/2006/relationships/footer" Target="footer7.xml"/><Relationship Id="rId61" Type="http://schemas.openxmlformats.org/officeDocument/2006/relationships/footnotes" Target="footnotes.xml"/><Relationship Id="rId62" Type="http://schemas.openxmlformats.org/officeDocument/2006/relationships/numbering" Target="numbering.xml"/><Relationship Id="rId63" Type="http://schemas.openxmlformats.org/officeDocument/2006/relationships/fontTable" Target="fontTable.xml"/><Relationship Id="rId64" Type="http://schemas.openxmlformats.org/officeDocument/2006/relationships/settings" Target="settings.xml"/><Relationship Id="rId65" Type="http://schemas.openxmlformats.org/officeDocument/2006/relationships/theme" Target="theme/theme1.xml"/><Relationship Id="rId6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1731E-EC39-49E6-9791-A42E0F728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Application>AlterOffice/2026.2.0.0$Linux_X86_64 LibreOffice_project/bc4ef1adf80b36c7a6365f8ed6cbf29021361edd</Application>
  <AppVersion>15.0000</AppVersion>
  <Pages>39</Pages>
  <Words>9204</Words>
  <Characters>61361</Characters>
  <CharactersWithSpaces>69378</CharactersWithSpaces>
  <Paragraphs>887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2026-09-11T07:23:00Z</dcterms:created>
  <dc:creator>petrushinia@corp.gidroogk.com</dc:creator>
  <dc:description/>
  <dc:language>ru-RU</dc:language>
  <cp:lastModifiedBy>petrushinia@corp.gidroogk.com</cp:lastModifiedBy>
  <dcterms:modified xsi:type="dcterms:W3CDTF">2026-09-14T14:19:35Z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