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Heading1"/>
        <w:widowControl w:val="false"/>
        <w:numPr>
          <w:ilvl w:val="0"/>
          <w:numId w:val="0"/>
        </w:numPr>
        <w:ind w:hanging="0" w:left="851"/>
        <w:jc w:val="center"/>
        <w:rPr>
          <w:bCs/>
          <w:sz w:val="24"/>
          <w:szCs w:val="24"/>
        </w:rPr>
      </w:pPr>
      <w:bookmarkStart w:id="0" w:name="_Toc240279196"/>
      <w:r>
        <w:rPr>
          <w:bCs/>
          <w:sz w:val="24"/>
          <w:szCs w:val="24"/>
        </w:rPr>
        <w:t>ОКПД 2: 42.21.Поставка дренажного колодца из двухслойной спиральновитой трубы в сборе для оснащения лаборатории глубокой переработки и утилизации золошлаковых отходов АО «ВНИИГ им.  Б.Е. Веденеева».</w:t>
      </w:r>
      <w:bookmarkEnd w:id="0"/>
    </w:p>
    <w:p>
      <w:pPr>
        <w:pStyle w:val="Normal"/>
        <w:widowControl w:val="fals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i/>
          <w:i/>
          <w:strike/>
          <w:sz w:val="26"/>
          <w:szCs w:val="26"/>
        </w:rPr>
      </w:pPr>
      <w:r>
        <w:rPr/>
      </w:r>
    </w:p>
    <w:p>
      <w:pPr>
        <w:pStyle w:val="Normal"/>
        <w:widowControl w:val="false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  <w:t>СОДЕРЖАНИЕ</w:t>
      </w:r>
      <w:bookmarkStart w:id="1" w:name="_GoBack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rFonts w:eastAsia="Arial"/>
            </w:rPr>
            <w:instrText xml:space="preserve"> TOC \z \o "1-4" \u \h</w:instrText>
          </w:r>
          <w:r>
            <w:rPr>
              <w:webHidden/>
              <w:rStyle w:val="Style15"/>
              <w:rFonts w:eastAsia="Arial"/>
            </w:rPr>
            <w:fldChar w:fldCharType="separate"/>
          </w:r>
          <w:hyperlink w:anchor="_Toc240279196">
            <w:bookmarkEnd w:id="1"/>
            <w:r>
              <w:rPr>
                <w:webHidden/>
                <w:rStyle w:val="Style15"/>
                <w:rFonts w:eastAsia="Arial"/>
              </w:rPr>
              <w:t>ОКПД 2: 42.21.Поставка дренажного колодца из двухслойной спиральновитой трубы в сборе 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_Toc240279196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79197">
            <w:r>
              <w:rPr>
                <w:webHidden/>
                <w:rStyle w:val="Style15"/>
                <w:rFonts w:eastAsia="Arial"/>
              </w:rPr>
              <w:t>1.</w:t>
            </w:r>
            <w:r>
              <w:rPr>
                <w:rStyle w:val="Style15"/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_Toc240279197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198">
            <w:r>
              <w:rPr>
                <w:webHidden/>
                <w:rStyle w:val="Style15"/>
                <w:rFonts w:eastAsia="Arial"/>
                <w:i/>
                <w:iCs/>
              </w:rPr>
              <w:t>1.1.</w:t>
            </w:r>
            <w:r>
              <w:rPr>
                <w:rStyle w:val="Style15"/>
                <w:rFonts w:eastAsia="Arial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_Toc240279198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199">
            <w:r>
              <w:rPr>
                <w:webHidden/>
                <w:rStyle w:val="Style15"/>
                <w:rFonts w:eastAsia="Arial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_Toc240279199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200">
            <w:r>
              <w:rPr>
                <w:webHidden/>
                <w:rStyle w:val="Style15"/>
                <w:rFonts w:eastAsia="Arial"/>
              </w:rPr>
              <w:t>1.3. 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201">
            <w:r>
              <w:rPr>
                <w:webHidden/>
                <w:rStyle w:val="Style15"/>
                <w:rFonts w:eastAsia="Arial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79202">
            <w:r>
              <w:rPr>
                <w:webHidden/>
                <w:rStyle w:val="Style15"/>
                <w:rFonts w:eastAsia="Arial"/>
              </w:rPr>
              <w:t>2.</w:t>
            </w:r>
            <w:r>
              <w:rPr>
                <w:rStyle w:val="Style15"/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203">
            <w:r>
              <w:rPr>
                <w:webHidden/>
                <w:rStyle w:val="Style15"/>
                <w:rFonts w:eastAsia="Arial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204">
            <w:r>
              <w:rPr>
                <w:webHidden/>
                <w:rStyle w:val="Style15"/>
                <w:rFonts w:eastAsia="Arial"/>
              </w:rPr>
              <w:t>2.1.1.</w:t>
            </w:r>
            <w:r>
              <w:rPr>
                <w:rStyle w:val="Style15"/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79205">
            <w:r>
              <w:rPr>
                <w:webHidden/>
                <w:rStyle w:val="Style15"/>
                <w:rFonts w:eastAsia="Arial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206">
            <w:r>
              <w:rPr>
                <w:webHidden/>
                <w:rStyle w:val="Style15"/>
                <w:rFonts w:eastAsia="Arial"/>
              </w:rPr>
              <w:t>2.1.2.</w:t>
            </w:r>
            <w:r>
              <w:rPr>
                <w:rStyle w:val="Style15"/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79207">
            <w:r>
              <w:rPr>
                <w:webHidden/>
                <w:rStyle w:val="Style15"/>
                <w:rFonts w:eastAsia="Arial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40279208">
            <w:r>
              <w:rPr>
                <w:webHidden/>
                <w:rStyle w:val="Style15"/>
                <w:rFonts w:eastAsia="Arial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79209">
            <w:r>
              <w:rPr>
                <w:webHidden/>
                <w:rStyle w:val="Style15"/>
                <w:rFonts w:eastAsia="Arial"/>
              </w:rPr>
              <w:t>Таблица 3.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40279210">
            <w:r>
              <w:rPr>
                <w:webHidden/>
                <w:rStyle w:val="Style15"/>
                <w:rFonts w:eastAsia="Arial"/>
                <w:i/>
                <w:iCs/>
              </w:rPr>
              <w:t xml:space="preserve">Наименование продукции: </w:t>
            </w:r>
            <w:r>
              <w:rPr>
                <w:rStyle w:val="Style15"/>
                <w:rFonts w:eastAsia="Arial"/>
              </w:rPr>
              <w:t>дренажный колодец из двухслойной спиральновитой трубы в сборе Dn800 H1000 мм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_Toc240279210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keepNext w:val="false"/>
        <w:widowControl w:val="false"/>
        <w:numPr>
          <w:ilvl w:val="0"/>
        </w:numPr>
        <w:tabs>
          <w:tab w:val="clear" w:pos="0"/>
        </w:tabs>
        <w:ind w:hanging="0" w:left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Next w:val="false"/>
        <w:widowControl w:val="false"/>
        <w:ind w:hanging="357" w:left="357"/>
        <w:jc w:val="center"/>
        <w:rPr>
          <w:caps/>
        </w:rPr>
      </w:pPr>
      <w:bookmarkStart w:id="2" w:name="_Toc240279197"/>
      <w:bookmarkStart w:id="3" w:name="_Toc51339692"/>
      <w:r>
        <w:rPr/>
        <w:t>Общие сведения</w:t>
      </w:r>
      <w:bookmarkEnd w:id="2"/>
      <w:bookmarkEnd w:id="3"/>
    </w:p>
    <w:p>
      <w:pPr>
        <w:pStyle w:val="Heading4"/>
        <w:keepNext w:val="false"/>
        <w:widowControl w:val="false"/>
        <w:numPr>
          <w:ilvl w:val="1"/>
          <w:numId w:val="13"/>
        </w:numPr>
        <w:ind w:firstLine="567" w:left="0"/>
        <w:rPr>
          <w:rStyle w:val="Style9"/>
          <w:iCs/>
          <w:sz w:val="26"/>
          <w:szCs w:val="26"/>
        </w:rPr>
      </w:pPr>
      <w:bookmarkStart w:id="4" w:name="_Toc240279198"/>
      <w:bookmarkStart w:id="5" w:name="_Toc46743505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4"/>
        <w:keepNext w:val="false"/>
        <w:widowControl w:val="false"/>
        <w:numPr>
          <w:ilvl w:val="1"/>
          <w:numId w:val="14"/>
        </w:numPr>
        <w:ind w:firstLine="567" w:left="0"/>
        <w:rPr/>
      </w:pPr>
      <w:bookmarkStart w:id="6" w:name="_Toc240279199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 дренажного колодца из двухслойной спиральновитой трубы в сборе 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Heading4"/>
        <w:keepNext w:val="false"/>
        <w:widowControl w:val="false"/>
        <w:numPr>
          <w:ilvl w:val="1"/>
          <w:numId w:val="15"/>
        </w:numPr>
        <w:ind w:firstLine="567" w:left="0"/>
        <w:rPr/>
      </w:pPr>
      <w:bookmarkStart w:id="7" w:name="_Toc240279200"/>
      <w:r>
        <w:rPr/>
        <w:t>Цель поставки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Heading4"/>
        <w:keepNext w:val="false"/>
        <w:widowControl w:val="false"/>
        <w:numPr>
          <w:ilvl w:val="1"/>
          <w:numId w:val="16"/>
        </w:numPr>
        <w:ind w:firstLine="567" w:left="0"/>
        <w:rPr/>
      </w:pPr>
      <w:bookmarkStart w:id="8" w:name="_Toc240279201"/>
      <w:bookmarkStart w:id="9" w:name="_Toc46743508"/>
      <w:r>
        <w:rPr/>
        <w:t>Существующее положение</w:t>
      </w:r>
      <w:bookmarkEnd w:id="8"/>
      <w:bookmarkEnd w:id="9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0" w:name="_Toc46743509"/>
      <w:bookmarkStart w:id="11" w:name="_Hlk49857604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Next w:val="false"/>
        <w:widowControl w:val="false"/>
        <w:ind w:firstLine="567" w:left="0"/>
        <w:jc w:val="center"/>
        <w:rPr>
          <w:iCs/>
          <w:caps/>
        </w:rPr>
      </w:pPr>
      <w:bookmarkStart w:id="12" w:name="_Toc51339693"/>
      <w:bookmarkStart w:id="13" w:name="_Toc50125126"/>
      <w:bookmarkStart w:id="14" w:name="_Toc240279202"/>
      <w:bookmarkStart w:id="15" w:name="_Toc46743509_Копия_1"/>
      <w:bookmarkStart w:id="16" w:name="_Hlk49857604_Копия_1"/>
      <w:bookmarkStart w:id="17" w:name="_Toc46743510"/>
      <w:bookmarkEnd w:id="15"/>
      <w:bookmarkEnd w:id="16"/>
      <w:bookmarkEnd w:id="17"/>
      <w:r>
        <w:rPr>
          <w:iCs/>
        </w:rPr>
        <w:t>Требования к продукции</w:t>
      </w:r>
      <w:bookmarkEnd w:id="12"/>
      <w:bookmarkEnd w:id="14"/>
    </w:p>
    <w:p>
      <w:pPr>
        <w:pStyle w:val="Heading4"/>
        <w:keepNext w:val="false"/>
        <w:widowControl w:val="false"/>
        <w:numPr>
          <w:ilvl w:val="1"/>
          <w:numId w:val="17"/>
        </w:numPr>
        <w:ind w:firstLine="567" w:left="0"/>
        <w:rPr/>
      </w:pPr>
      <w:bookmarkStart w:id="18" w:name="_Toc240279203"/>
      <w:r>
        <w:rPr/>
        <w:t>Требования к объемам и срокам поставки</w:t>
      </w:r>
      <w:bookmarkEnd w:id="18"/>
    </w:p>
    <w:p>
      <w:pPr>
        <w:pStyle w:val="Heading3"/>
        <w:keepNext w:val="false"/>
        <w:widowControl w:val="false"/>
        <w:numPr>
          <w:ilvl w:val="2"/>
          <w:numId w:val="18"/>
        </w:numPr>
        <w:ind w:firstLine="567" w:left="0"/>
        <w:rPr/>
      </w:pPr>
      <w:bookmarkStart w:id="19" w:name="_Toc240279204"/>
      <w:r>
        <w:rPr/>
        <w:t>Перечень и объем закупаемой продукции</w:t>
      </w:r>
      <w:bookmarkEnd w:id="19"/>
    </w:p>
    <w:p>
      <w:pPr>
        <w:pStyle w:val="Heading1"/>
        <w:keepNext w:val="false"/>
        <w:widowControl w:val="false"/>
        <w:numPr>
          <w:ilvl w:val="0"/>
          <w:numId w:val="0"/>
        </w:numPr>
        <w:spacing w:before="240" w:after="60"/>
        <w:ind w:firstLine="567" w:left="0"/>
        <w:rPr>
          <w:bCs/>
          <w:i/>
          <w:i/>
          <w:sz w:val="24"/>
          <w:szCs w:val="24"/>
          <w:shd w:fill="FFFF99" w:val="clear"/>
        </w:rPr>
      </w:pPr>
      <w:bookmarkStart w:id="20" w:name="_Toc240279205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6135"/>
        <w:gridCol w:w="1420"/>
        <w:gridCol w:w="1413"/>
      </w:tblGrid>
      <w:tr>
        <w:trPr>
          <w:tblHeader w:val="true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дренажный колодец из двухслойной спиральновитой трубы в сборе Dn800 H1000 мм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Heading3"/>
        <w:keepNext w:val="false"/>
        <w:widowControl w:val="false"/>
        <w:numPr>
          <w:ilvl w:val="2"/>
          <w:numId w:val="19"/>
        </w:numPr>
        <w:rPr/>
      </w:pPr>
      <w:bookmarkStart w:id="22" w:name="_Toc240279206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 и оказания сопутствующих услуг</w:t>
      </w:r>
      <w:bookmarkStart w:id="24" w:name="_Toc50125127"/>
      <w:bookmarkStart w:id="25" w:name="_Toc51339697"/>
      <w:bookmarkEnd w:id="13"/>
      <w:bookmarkEnd w:id="22"/>
    </w:p>
    <w:p>
      <w:pPr>
        <w:pStyle w:val="Heading1"/>
        <w:keepNext w:val="false"/>
        <w:widowControl w:val="false"/>
        <w:numPr>
          <w:ilvl w:val="0"/>
          <w:numId w:val="0"/>
        </w:numPr>
        <w:spacing w:before="0" w:after="0"/>
        <w:ind w:hanging="0" w:left="0"/>
        <w:rPr>
          <w:sz w:val="24"/>
          <w:szCs w:val="24"/>
        </w:rPr>
      </w:pPr>
      <w:bookmarkStart w:id="26" w:name="_Toc240279207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vertAnchor="text" w:horzAnchor="text" w:leftFromText="180" w:rightFromText="180" w:tblpX="108" w:tblpY="1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дренажный колодец из двухслойной спиральновитой трубы в сборе Dn800 H1000 мм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20 рабочих дней с даты заключения договора</w:t>
            </w:r>
          </w:p>
        </w:tc>
      </w:tr>
    </w:tbl>
    <w:p>
      <w:pPr>
        <w:pStyle w:val="Heading4"/>
        <w:keepNext w:val="false"/>
        <w:widowControl w:val="false"/>
        <w:numPr>
          <w:ilvl w:val="1"/>
          <w:numId w:val="20"/>
        </w:numPr>
        <w:ind w:hanging="0" w:left="432"/>
        <w:rPr/>
      </w:pPr>
      <w:bookmarkStart w:id="28" w:name="_Toc240279208"/>
      <w:bookmarkStart w:id="29" w:name="_Toc46743511"/>
      <w:r/>
      <w:r>
        <w:rPr/>
        <w:t xml:space="preserve">Требования к </w:t>
      </w:r>
      <w:bookmarkEnd w:id="29"/>
      <w:r>
        <w:rPr/>
        <w:t>качеству продукции</w:t>
      </w:r>
      <w:bookmarkEnd w:id="28"/>
    </w:p>
    <w:p>
      <w:pPr>
        <w:pStyle w:val="Heading1"/>
        <w:keepNext w:val="false"/>
        <w:widowControl w:val="false"/>
        <w:numPr>
          <w:ilvl w:val="0"/>
          <w:numId w:val="0"/>
        </w:numPr>
        <w:spacing w:before="0" w:after="0"/>
        <w:ind w:hanging="0" w:left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40279209"/>
      <w:r>
        <w:rPr>
          <w:sz w:val="24"/>
          <w:szCs w:val="24"/>
        </w:rPr>
        <w:t>Таблица 3. Требования к качеству продукции</w:t>
      </w:r>
      <w:bookmarkEnd w:id="30"/>
    </w:p>
    <w:p>
      <w:pPr>
        <w:pStyle w:val="Heading1"/>
        <w:keepNext w:val="false"/>
        <w:widowControl w:val="false"/>
        <w:numPr>
          <w:ilvl w:val="0"/>
          <w:numId w:val="0"/>
        </w:numPr>
        <w:spacing w:before="0" w:after="0"/>
        <w:ind w:hanging="0" w:left="0"/>
        <w:rPr>
          <w:rStyle w:val="Style9"/>
          <w:b/>
          <w:i w:val="false"/>
          <w:i w:val="false"/>
          <w:sz w:val="24"/>
          <w:szCs w:val="24"/>
        </w:rPr>
      </w:pPr>
      <w:bookmarkStart w:id="31" w:name="_Toc240279210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sz w:val="26"/>
          <w:szCs w:val="26"/>
        </w:rPr>
        <w:t>дренажный колодец из двухслойной спиральновитой трубы в сборе Dn800 H1000 мм</w:t>
      </w:r>
      <w:bookmarkEnd w:id="31"/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1"/>
        <w:gridCol w:w="2883"/>
        <w:gridCol w:w="6321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шахта смотрового колодца по внутреннему диаметру мм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800</w:t>
            </w:r>
          </w:p>
        </w:tc>
      </w:tr>
      <w:tr>
        <w:trPr>
          <w:trHeight w:val="544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шахта смотрового колодца по высоте  мм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1000</w:t>
            </w:r>
          </w:p>
        </w:tc>
      </w:tr>
      <w:tr>
        <w:trPr>
          <w:trHeight w:val="613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Толщина стенки не менее мм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15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кольцевая жесткость шахты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SN MIN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Конструкция стен колодца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двухслойная спиральновитая  труба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12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 с момента поставки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комплектации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крышка люка из композитного материала на основе полиэтилена, цвет черный/зеленый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герметично приваренное дно (для предотвращения попадания в грунт стоков)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851" w:right="851" w:gutter="0" w:header="680" w:top="992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14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15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16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17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18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19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0">
    <w:abstractNumId w:val="1"/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  <w:rPr/>
      </w:lvl>
    </w:lvlOverride>
    <w:lvlOverride w:ilvl="1">
      <w:startOverride w:val="1"/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  <w:rPr/>
      </w:lvl>
    </w:lvlOverride>
    <w:lvlOverride w:ilvl="3">
      <w:startOverride w:val="1"/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  <w:rPr/>
      </w:lvl>
    </w:lvlOverride>
    <w:lvlOverride w:ilvl="4">
      <w:startOverride w:val="1"/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  <w:rPr/>
      </w:lvl>
    </w:lvlOverride>
    <w:lvlOverride w:ilvl="6">
      <w:startOverride w:val="1"/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  <w:rPr/>
      </w:lvl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pPr>
      <w:outlineLvl w:val="1"/>
    </w:pPr>
    <w:rPr/>
  </w:style>
  <w:style w:type="paragraph" w:styleId="Heading3">
    <w:name w:val="Heading 3"/>
    <w:basedOn w:val="Normal"/>
    <w:next w:val="Normal"/>
    <w:link w:val="31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tabs>
        <w:tab w:val="clear" w:pos="708"/>
        <w:tab w:val="left" w:pos="0" w:leader="none"/>
      </w:tabs>
      <w:ind w:hanging="432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" w:customStyle="1">
    <w:name w:val="Название Знак1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1" w:customStyle="1">
    <w:name w:val="Символ сноски"/>
    <w:qFormat/>
    <w:rPr>
      <w:vertAlign w:val="superscript"/>
    </w:rPr>
  </w:style>
  <w:style w:type="character" w:styleId="FootnoteReference" w:customStyle="1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sid w:val="00714b9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2" w:customStyle="1">
    <w:name w:val="Название Знак"/>
    <w:uiPriority w:val="10"/>
    <w:qFormat/>
    <w:rPr>
      <w:sz w:val="28"/>
    </w:rPr>
  </w:style>
  <w:style w:type="character" w:styleId="Style3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4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5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rPr>
      <w:sz w:val="28"/>
    </w:rPr>
  </w:style>
  <w:style w:type="character" w:styleId="Style6" w:customStyle="1">
    <w:name w:val="Текст сноски Знак"/>
    <w:uiPriority w:val="99"/>
    <w:qFormat/>
    <w:rPr/>
  </w:style>
  <w:style w:type="character" w:styleId="Style7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8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Style10" w:customStyle="1">
    <w:name w:val="Подподпункт Знак"/>
    <w:qFormat/>
    <w:rPr>
      <w:sz w:val="26"/>
      <w:szCs w:val="26"/>
    </w:rPr>
  </w:style>
  <w:style w:type="character" w:styleId="31" w:customStyle="1">
    <w:name w:val="Заголовок 3 Знак1"/>
    <w:qFormat/>
    <w:rPr>
      <w:rFonts w:eastAsia="Calibri"/>
      <w:sz w:val="26"/>
      <w:szCs w:val="28"/>
      <w:lang w:eastAsia="en-US"/>
    </w:rPr>
  </w:style>
  <w:style w:type="character" w:styleId="Style11" w:customStyle="1">
    <w:name w:val="Верхний колонтитул Знак"/>
    <w:uiPriority w:val="99"/>
    <w:qFormat/>
    <w:rPr>
      <w:sz w:val="24"/>
      <w:szCs w:val="24"/>
    </w:rPr>
  </w:style>
  <w:style w:type="character" w:styleId="Style12" w:customStyle="1">
    <w:name w:val="Текст примечания Знак"/>
    <w:semiHidden/>
    <w:qFormat/>
    <w:rPr/>
  </w:style>
  <w:style w:type="character" w:styleId="Style13" w:customStyle="1">
    <w:name w:val="Текст концевой сноски Знак"/>
    <w:basedOn w:val="DefaultParagraphFont"/>
    <w:qFormat/>
    <w:rPr/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FollowedHyperlink" w:customStyle="1">
    <w:name w:val="FollowedHyperlink"/>
    <w:basedOn w:val="DefaultParagraphFont"/>
    <w:semiHidden/>
    <w:unhideWhenUsed/>
    <w:rPr>
      <w:color w:val="954F72" w:themeColor="followedHyperlink"/>
      <w:u w:val="single"/>
    </w:rPr>
  </w:style>
  <w:style w:type="character" w:styleId="Style15" w:customStyle="1">
    <w:name w:val="Ссылка указателя"/>
    <w:qFormat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15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15"/>
    <w:qFormat/>
    <w:pPr/>
    <w:rPr/>
  </w:style>
  <w:style w:type="paragraph" w:styleId="Title">
    <w:name w:val="Title"/>
    <w:basedOn w:val="Normal"/>
    <w:next w:val="Normal"/>
    <w:link w:val="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18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hanging="360" w:left="36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hanging="360" w:left="360"/>
      <w:jc w:val="both"/>
    </w:pPr>
    <w:rPr/>
  </w:style>
  <w:style w:type="paragraph" w:styleId="FootnoteText">
    <w:name w:val="Footnote Text"/>
    <w:basedOn w:val="Normal"/>
    <w:uiPriority w:val="99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Основной текст с отступом 3 Знак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hanging="1134" w:left="1134"/>
      <w:jc w:val="both"/>
    </w:pPr>
    <w:rPr>
      <w:szCs w:val="20"/>
    </w:rPr>
  </w:style>
  <w:style w:type="paragraph" w:styleId="23" w:customStyle="1">
    <w:name w:val="Оглавление 2 Знак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link w:val="32"/>
    <w:uiPriority w:val="39"/>
    <w:pPr>
      <w:ind w:left="28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link w:val="22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hanging="360" w:left="-207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hanging="360" w:left="-207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hanging="360" w:left="-207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qFormat/>
    <w:pPr>
      <w:tabs>
        <w:tab w:val="clear" w:pos="1134"/>
        <w:tab w:val="left" w:pos="5104" w:leader="none"/>
      </w:tabs>
      <w:spacing w:lineRule="auto" w:line="240" w:before="120" w:after="0"/>
      <w:ind w:hanging="567" w:left="5104"/>
    </w:pPr>
    <w:rPr>
      <w:sz w:val="26"/>
      <w:szCs w:val="26"/>
    </w:rPr>
  </w:style>
  <w:style w:type="paragraph" w:styleId="Style31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hanging="1134" w:left="1134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hanging="1134" w:left="1134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sz w:val="4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7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Default" w:customStyle="1">
    <w:name w:val="Default"/>
    <w:qFormat/>
    <w:rsid w:val="000d45d1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</w:style>
  <w:style w:type="numbering" w:styleId="28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8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Application>AlterOffice/2026.2.1.0$Linux_X86_64 LibreOffice_project/f008988ffacaa0b2bf57911c2759d08ca79831df</Application>
  <AppVersion>15.0000</AppVersion>
  <Pages>5</Pages>
  <Words>649</Words>
  <Characters>4219</Characters>
  <CharactersWithSpaces>4736</CharactersWithSpaces>
  <Paragraphs>131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2026-09-14T12:02:12Z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