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keepNext w:val="true"/>
        <w:widowControl/>
        <w:numPr>
          <w:ilvl w:val="0"/>
          <w:numId w:val="0"/>
        </w:numPr>
        <w:spacing w:lineRule="auto" w:line="240" w:before="0" w:after="120"/>
        <w:ind w:hanging="0" w:start="0"/>
        <w:jc w:val="end"/>
        <w:outlineLvl w:val="0"/>
        <w:rPr>
          <w:rFonts w:ascii="Times New Roman" w:hAnsi="Times New Roman"/>
          <w:i/>
          <w:sz w:val="24"/>
        </w:rPr>
      </w:pPr>
      <w:r>
        <w:rPr>
          <w:rFonts w:ascii="Times New Roman" w:hAnsi="Times New Roman"/>
          <w:b/>
          <w:i/>
          <w:sz w:val="24"/>
        </w:rPr>
      </w:r>
    </w:p>
    <w:p>
      <w:pPr>
        <w:pStyle w:val="Normal"/>
        <w:keepNext w:val="true"/>
        <w:widowControl/>
        <w:numPr>
          <w:ilvl w:val="0"/>
          <w:numId w:val="0"/>
        </w:numPr>
        <w:spacing w:lineRule="auto" w:line="240" w:before="0" w:after="120"/>
        <w:ind w:hanging="0" w:start="0"/>
        <w:jc w:val="both"/>
        <w:outlineLvl w:val="0"/>
        <w:rPr>
          <w:rFonts w:ascii="Times New Roman" w:hAnsi="Times New Roman"/>
          <w:b/>
          <w:sz w:val="28"/>
        </w:rPr>
      </w:pPr>
      <w:r>
        <w:rPr>
          <w:rFonts w:ascii="Times New Roman" w:hAnsi="Times New Roman"/>
          <w:b/>
          <w:sz w:val="28"/>
        </w:rPr>
      </w:r>
    </w:p>
    <w:p>
      <w:pPr>
        <w:pStyle w:val="Normal"/>
        <w:keepNext w:val="true"/>
        <w:widowControl/>
        <w:numPr>
          <w:ilvl w:val="0"/>
          <w:numId w:val="0"/>
        </w:numPr>
        <w:spacing w:lineRule="auto" w:line="240" w:before="0" w:after="120"/>
        <w:ind w:hanging="0" w:start="0"/>
        <w:jc w:val="both"/>
        <w:outlineLvl w:val="0"/>
        <w:rPr>
          <w:rFonts w:ascii="Times New Roman" w:hAnsi="Times New Roman"/>
          <w:b/>
          <w:sz w:val="28"/>
        </w:rPr>
      </w:pPr>
      <w:r>
        <w:rPr>
          <w:rFonts w:ascii="Times New Roman" w:hAnsi="Times New Roman"/>
          <w:b/>
          <w:sz w:val="28"/>
        </w:rPr>
      </w:r>
    </w:p>
    <w:p>
      <w:pPr>
        <w:pStyle w:val="Normal"/>
        <w:keepNext w:val="true"/>
        <w:widowControl/>
        <w:numPr>
          <w:ilvl w:val="0"/>
          <w:numId w:val="0"/>
        </w:numPr>
        <w:spacing w:lineRule="auto" w:line="240" w:before="0" w:after="120"/>
        <w:ind w:hanging="0" w:start="0"/>
        <w:jc w:val="both"/>
        <w:outlineLvl w:val="0"/>
        <w:rPr>
          <w:rFonts w:ascii="Times New Roman" w:hAnsi="Times New Roman"/>
          <w:b/>
          <w:sz w:val="28"/>
        </w:rPr>
      </w:pPr>
      <w:r>
        <w:rPr>
          <w:rFonts w:ascii="Times New Roman" w:hAnsi="Times New Roman"/>
          <w:b/>
          <w:sz w:val="28"/>
        </w:rPr>
      </w:r>
    </w:p>
    <w:p>
      <w:pPr>
        <w:pStyle w:val="Normal"/>
        <w:keepNext w:val="true"/>
        <w:widowControl/>
        <w:numPr>
          <w:ilvl w:val="0"/>
          <w:numId w:val="0"/>
        </w:numPr>
        <w:spacing w:lineRule="auto" w:line="240" w:before="0" w:after="120"/>
        <w:ind w:hanging="0" w:start="0"/>
        <w:jc w:val="both"/>
        <w:outlineLvl w:val="0"/>
        <w:rPr>
          <w:rFonts w:ascii="Times New Roman" w:hAnsi="Times New Roman"/>
          <w:b/>
          <w:sz w:val="28"/>
        </w:rPr>
      </w:pPr>
      <w:r>
        <w:rPr>
          <w:rFonts w:ascii="Times New Roman" w:hAnsi="Times New Roman"/>
          <w:b/>
          <w:sz w:val="28"/>
        </w:rPr>
      </w:r>
    </w:p>
    <w:p>
      <w:pPr>
        <w:pStyle w:val="Normal"/>
        <w:keepNext w:val="true"/>
        <w:widowControl/>
        <w:numPr>
          <w:ilvl w:val="0"/>
          <w:numId w:val="0"/>
        </w:numPr>
        <w:spacing w:lineRule="auto" w:line="240" w:before="0" w:after="120"/>
        <w:ind w:hanging="0" w:start="0"/>
        <w:jc w:val="both"/>
        <w:outlineLvl w:val="0"/>
        <w:rPr>
          <w:rFonts w:ascii="Times New Roman" w:hAnsi="Times New Roman"/>
          <w:b/>
          <w:sz w:val="28"/>
        </w:rPr>
      </w:pPr>
      <w:r>
        <w:rPr>
          <w:rFonts w:ascii="Times New Roman" w:hAnsi="Times New Roman"/>
          <w:b/>
          <w:sz w:val="28"/>
        </w:rPr>
      </w:r>
    </w:p>
    <w:p>
      <w:pPr>
        <w:pStyle w:val="Normal"/>
        <w:keepNext w:val="true"/>
        <w:widowControl/>
        <w:numPr>
          <w:ilvl w:val="0"/>
          <w:numId w:val="0"/>
        </w:numPr>
        <w:spacing w:lineRule="auto" w:line="240" w:before="0" w:after="120"/>
        <w:ind w:hanging="0" w:start="0"/>
        <w:jc w:val="both"/>
        <w:outlineLvl w:val="0"/>
        <w:rPr>
          <w:rFonts w:ascii="Times New Roman" w:hAnsi="Times New Roman"/>
          <w:b/>
          <w:sz w:val="28"/>
        </w:rPr>
      </w:pPr>
      <w:r>
        <w:rPr>
          <w:rFonts w:ascii="Times New Roman" w:hAnsi="Times New Roman"/>
          <w:b/>
          <w:sz w:val="28"/>
        </w:rPr>
      </w:r>
    </w:p>
    <w:p>
      <w:pPr>
        <w:pStyle w:val="Normal"/>
        <w:keepNext w:val="true"/>
        <w:widowControl/>
        <w:numPr>
          <w:ilvl w:val="0"/>
          <w:numId w:val="0"/>
        </w:numPr>
        <w:spacing w:lineRule="auto" w:line="240" w:before="0" w:after="120"/>
        <w:ind w:hanging="0" w:start="0"/>
        <w:jc w:val="both"/>
        <w:outlineLvl w:val="0"/>
        <w:rPr>
          <w:rFonts w:ascii="Times New Roman" w:hAnsi="Times New Roman"/>
          <w:b/>
          <w:sz w:val="28"/>
        </w:rPr>
      </w:pPr>
      <w:r>
        <w:rPr>
          <w:rFonts w:ascii="Times New Roman" w:hAnsi="Times New Roman"/>
          <w:b/>
          <w:sz w:val="28"/>
        </w:rPr>
      </w:r>
    </w:p>
    <w:p>
      <w:pPr>
        <w:pStyle w:val="Normal"/>
        <w:keepNext w:val="true"/>
        <w:widowControl/>
        <w:numPr>
          <w:ilvl w:val="0"/>
          <w:numId w:val="0"/>
        </w:numPr>
        <w:spacing w:lineRule="auto" w:line="240" w:before="0" w:after="120"/>
        <w:ind w:hanging="0" w:start="0"/>
        <w:jc w:val="both"/>
        <w:outlineLvl w:val="0"/>
        <w:rPr>
          <w:rFonts w:ascii="Times New Roman" w:hAnsi="Times New Roman"/>
          <w:b/>
          <w:sz w:val="28"/>
        </w:rPr>
      </w:pPr>
      <w:r>
        <w:rPr>
          <w:rFonts w:ascii="Times New Roman" w:hAnsi="Times New Roman"/>
          <w:b/>
          <w:sz w:val="28"/>
        </w:rPr>
      </w:r>
    </w:p>
    <w:p>
      <w:pPr>
        <w:pStyle w:val="Normal"/>
        <w:keepNext w:val="true"/>
        <w:widowControl/>
        <w:numPr>
          <w:ilvl w:val="0"/>
          <w:numId w:val="0"/>
        </w:numPr>
        <w:spacing w:lineRule="auto" w:line="240" w:before="0" w:after="120"/>
        <w:ind w:hanging="0" w:start="0"/>
        <w:jc w:val="both"/>
        <w:outlineLvl w:val="0"/>
        <w:rPr>
          <w:rFonts w:ascii="Times New Roman" w:hAnsi="Times New Roman"/>
          <w:b/>
          <w:sz w:val="28"/>
        </w:rPr>
      </w:pPr>
      <w:r>
        <w:rPr>
          <w:rFonts w:ascii="Times New Roman" w:hAnsi="Times New Roman"/>
          <w:b/>
          <w:sz w:val="28"/>
        </w:rPr>
      </w:r>
    </w:p>
    <w:p>
      <w:pPr>
        <w:pStyle w:val="Normal"/>
        <w:keepNext w:val="true"/>
        <w:widowControl/>
        <w:numPr>
          <w:ilvl w:val="0"/>
          <w:numId w:val="0"/>
        </w:numPr>
        <w:spacing w:lineRule="auto" w:line="360" w:before="0" w:after="0"/>
        <w:ind w:hanging="0" w:start="0"/>
        <w:jc w:val="center"/>
        <w:outlineLvl w:val="0"/>
        <w:rPr>
          <w:rFonts w:ascii="Times New Roman" w:hAnsi="Times New Roman"/>
          <w:sz w:val="28"/>
        </w:rPr>
      </w:pPr>
      <w:r>
        <w:rPr>
          <w:rFonts w:ascii="Times New Roman" w:hAnsi="Times New Roman"/>
          <w:sz w:val="28"/>
        </w:rPr>
        <w:t>ТЕХНИЧЕСКОЕ ЗАДАНИЕ</w:t>
      </w:r>
    </w:p>
    <w:p>
      <w:pPr>
        <w:pStyle w:val="Normal"/>
        <w:keepNext w:val="true"/>
        <w:widowControl/>
        <w:numPr>
          <w:ilvl w:val="0"/>
          <w:numId w:val="0"/>
        </w:numPr>
        <w:spacing w:lineRule="auto" w:line="360" w:before="0" w:after="0"/>
        <w:ind w:hanging="0" w:start="0"/>
        <w:jc w:val="center"/>
        <w:outlineLvl w:val="0"/>
        <w:rPr>
          <w:rFonts w:ascii="Times New Roman" w:hAnsi="Times New Roman"/>
          <w:sz w:val="28"/>
        </w:rPr>
      </w:pPr>
      <w:r>
        <w:rPr>
          <w:rFonts w:ascii="Times New Roman" w:hAnsi="Times New Roman"/>
          <w:sz w:val="28"/>
        </w:rPr>
        <w:t xml:space="preserve">НА ОРГАНИЗАЦИЮ ИНТЕЛЛЕКТУАЛЬНОЙ СИСТЕМЫ УЧЕТА ЭЛЕКТРИЧЕСКОЙ ЭНЕРГИИ </w:t>
      </w:r>
    </w:p>
    <w:p>
      <w:pPr>
        <w:pStyle w:val="Normal"/>
        <w:keepNext w:val="true"/>
        <w:widowControl/>
        <w:numPr>
          <w:ilvl w:val="0"/>
          <w:numId w:val="0"/>
        </w:numPr>
        <w:spacing w:lineRule="auto" w:line="360" w:before="0" w:after="0"/>
        <w:ind w:hanging="0" w:start="0"/>
        <w:jc w:val="center"/>
        <w:outlineLvl w:val="0"/>
        <w:rPr>
          <w:rFonts w:ascii="Times New Roman" w:hAnsi="Times New Roman"/>
          <w:sz w:val="28"/>
        </w:rPr>
      </w:pPr>
      <w:r>
        <w:rPr>
          <w:rFonts w:ascii="Times New Roman" w:hAnsi="Times New Roman"/>
          <w:sz w:val="28"/>
        </w:rPr>
        <w:t>В МНОГОКВАРТИРНЫХ ДОМАХ</w:t>
      </w:r>
    </w:p>
    <w:p>
      <w:pPr>
        <w:pStyle w:val="Normal"/>
        <w:keepNext w:val="true"/>
        <w:widowControl/>
        <w:numPr>
          <w:ilvl w:val="0"/>
          <w:numId w:val="0"/>
        </w:numPr>
        <w:spacing w:lineRule="auto" w:line="360" w:before="0" w:after="0"/>
        <w:ind w:hanging="0" w:start="0"/>
        <w:jc w:val="center"/>
        <w:outlineLvl w:val="0"/>
        <w:rPr>
          <w:rFonts w:ascii="Times New Roman" w:hAnsi="Times New Roman"/>
          <w:sz w:val="28"/>
        </w:rPr>
      </w:pPr>
      <w:r>
        <w:rPr>
          <w:rFonts w:ascii="Times New Roman" w:hAnsi="Times New Roman"/>
          <w:sz w:val="28"/>
        </w:rPr>
        <w:t>РЕСПУБЛИКИ БУРЯТИЯ</w:t>
      </w:r>
    </w:p>
    <w:p>
      <w:pPr>
        <w:pStyle w:val="Normal"/>
        <w:keepNext w:val="true"/>
        <w:widowControl/>
        <w:numPr>
          <w:ilvl w:val="0"/>
          <w:numId w:val="0"/>
        </w:numPr>
        <w:spacing w:lineRule="atLeast" w:line="27" w:before="0" w:after="120"/>
        <w:ind w:hanging="0" w:start="0"/>
        <w:jc w:val="both"/>
        <w:outlineLvl w:val="0"/>
        <w:rPr>
          <w:rFonts w:ascii="Times New Roman" w:hAnsi="Times New Roman"/>
          <w:b/>
          <w:sz w:val="28"/>
        </w:rPr>
      </w:pPr>
      <w:r>
        <w:rPr>
          <w:rFonts w:ascii="Times New Roman" w:hAnsi="Times New Roman"/>
          <w:b/>
          <w:sz w:val="28"/>
        </w:rPr>
      </w:r>
    </w:p>
    <w:p>
      <w:pPr>
        <w:pStyle w:val="Normal"/>
        <w:keepNext w:val="true"/>
        <w:widowControl/>
        <w:numPr>
          <w:ilvl w:val="0"/>
          <w:numId w:val="0"/>
        </w:numPr>
        <w:spacing w:lineRule="auto" w:line="240" w:before="0" w:after="120"/>
        <w:ind w:hanging="0" w:start="0"/>
        <w:jc w:val="both"/>
        <w:outlineLvl w:val="0"/>
        <w:rPr>
          <w:rFonts w:ascii="Times New Roman" w:hAnsi="Times New Roman"/>
          <w:b/>
          <w:sz w:val="28"/>
        </w:rPr>
      </w:pPr>
      <w:r>
        <w:rPr>
          <w:rFonts w:ascii="Times New Roman" w:hAnsi="Times New Roman"/>
          <w:b/>
          <w:sz w:val="28"/>
        </w:rPr>
      </w:r>
    </w:p>
    <w:p>
      <w:pPr>
        <w:pStyle w:val="Normal"/>
        <w:keepNext w:val="true"/>
        <w:widowControl/>
        <w:numPr>
          <w:ilvl w:val="0"/>
          <w:numId w:val="0"/>
        </w:numPr>
        <w:spacing w:lineRule="auto" w:line="240" w:before="0" w:after="120"/>
        <w:ind w:hanging="0" w:start="0"/>
        <w:jc w:val="both"/>
        <w:outlineLvl w:val="0"/>
        <w:rPr>
          <w:rFonts w:ascii="Times New Roman" w:hAnsi="Times New Roman"/>
          <w:b/>
          <w:sz w:val="28"/>
        </w:rPr>
      </w:pPr>
      <w:r>
        <w:rPr>
          <w:rFonts w:ascii="Times New Roman" w:hAnsi="Times New Roman"/>
          <w:b/>
          <w:sz w:val="28"/>
        </w:rPr>
      </w:r>
    </w:p>
    <w:p>
      <w:pPr>
        <w:pStyle w:val="Normal"/>
        <w:keepNext w:val="true"/>
        <w:widowControl/>
        <w:numPr>
          <w:ilvl w:val="0"/>
          <w:numId w:val="0"/>
        </w:numPr>
        <w:spacing w:lineRule="auto" w:line="240" w:before="0" w:after="120"/>
        <w:ind w:hanging="0" w:start="0"/>
        <w:jc w:val="both"/>
        <w:outlineLvl w:val="0"/>
        <w:rPr>
          <w:rFonts w:ascii="Times New Roman" w:hAnsi="Times New Roman"/>
          <w:b/>
          <w:sz w:val="28"/>
        </w:rPr>
      </w:pPr>
      <w:r>
        <w:rPr>
          <w:rFonts w:ascii="Times New Roman" w:hAnsi="Times New Roman"/>
          <w:b/>
          <w:sz w:val="28"/>
        </w:rPr>
      </w:r>
    </w:p>
    <w:p>
      <w:pPr>
        <w:pStyle w:val="Normal"/>
        <w:keepNext w:val="true"/>
        <w:widowControl/>
        <w:numPr>
          <w:ilvl w:val="0"/>
          <w:numId w:val="0"/>
        </w:numPr>
        <w:spacing w:lineRule="auto" w:line="240" w:before="0" w:after="120"/>
        <w:ind w:hanging="0" w:start="0"/>
        <w:jc w:val="both"/>
        <w:outlineLvl w:val="0"/>
        <w:rPr>
          <w:rFonts w:ascii="Times New Roman" w:hAnsi="Times New Roman"/>
          <w:b/>
          <w:sz w:val="28"/>
        </w:rPr>
      </w:pPr>
      <w:r>
        <w:rPr>
          <w:rFonts w:ascii="Times New Roman" w:hAnsi="Times New Roman"/>
          <w:b/>
          <w:sz w:val="28"/>
        </w:rPr>
      </w:r>
    </w:p>
    <w:p>
      <w:pPr>
        <w:pStyle w:val="Normal"/>
        <w:keepNext w:val="true"/>
        <w:widowControl/>
        <w:numPr>
          <w:ilvl w:val="0"/>
          <w:numId w:val="0"/>
        </w:numPr>
        <w:spacing w:lineRule="auto" w:line="240" w:before="0" w:after="120"/>
        <w:ind w:hanging="0" w:start="0"/>
        <w:jc w:val="both"/>
        <w:outlineLvl w:val="0"/>
        <w:rPr>
          <w:rFonts w:ascii="Times New Roman" w:hAnsi="Times New Roman"/>
          <w:b/>
          <w:sz w:val="28"/>
        </w:rPr>
      </w:pPr>
      <w:r>
        <w:rPr>
          <w:rFonts w:ascii="Times New Roman" w:hAnsi="Times New Roman"/>
          <w:b/>
          <w:sz w:val="28"/>
        </w:rPr>
      </w:r>
    </w:p>
    <w:p>
      <w:pPr>
        <w:pStyle w:val="Normal"/>
        <w:keepNext w:val="true"/>
        <w:widowControl/>
        <w:numPr>
          <w:ilvl w:val="0"/>
          <w:numId w:val="0"/>
        </w:numPr>
        <w:spacing w:lineRule="auto" w:line="240" w:before="0" w:after="120"/>
        <w:ind w:hanging="0" w:start="0"/>
        <w:jc w:val="both"/>
        <w:outlineLvl w:val="0"/>
        <w:rPr>
          <w:rFonts w:ascii="Times New Roman" w:hAnsi="Times New Roman"/>
          <w:b/>
          <w:sz w:val="28"/>
        </w:rPr>
      </w:pPr>
      <w:r>
        <w:rPr>
          <w:rFonts w:ascii="Times New Roman" w:hAnsi="Times New Roman"/>
          <w:b/>
          <w:sz w:val="28"/>
        </w:rPr>
      </w:r>
    </w:p>
    <w:p>
      <w:pPr>
        <w:pStyle w:val="Normal"/>
        <w:keepNext w:val="true"/>
        <w:widowControl/>
        <w:numPr>
          <w:ilvl w:val="0"/>
          <w:numId w:val="0"/>
        </w:numPr>
        <w:spacing w:lineRule="auto" w:line="240" w:before="0" w:after="120"/>
        <w:ind w:hanging="0" w:start="0"/>
        <w:jc w:val="both"/>
        <w:outlineLvl w:val="0"/>
        <w:rPr>
          <w:rFonts w:ascii="Times New Roman" w:hAnsi="Times New Roman"/>
          <w:b/>
          <w:sz w:val="28"/>
        </w:rPr>
      </w:pPr>
      <w:r>
        <w:rPr>
          <w:rFonts w:ascii="Times New Roman" w:hAnsi="Times New Roman"/>
          <w:b/>
          <w:sz w:val="28"/>
        </w:rPr>
      </w:r>
    </w:p>
    <w:p>
      <w:pPr>
        <w:pStyle w:val="Normal"/>
        <w:keepNext w:val="true"/>
        <w:widowControl/>
        <w:numPr>
          <w:ilvl w:val="0"/>
          <w:numId w:val="0"/>
        </w:numPr>
        <w:spacing w:lineRule="auto" w:line="240" w:before="0" w:after="120"/>
        <w:ind w:hanging="0" w:start="0"/>
        <w:jc w:val="both"/>
        <w:outlineLvl w:val="0"/>
        <w:rPr>
          <w:rFonts w:ascii="Times New Roman" w:hAnsi="Times New Roman"/>
          <w:b/>
          <w:sz w:val="28"/>
        </w:rPr>
      </w:pPr>
      <w:r>
        <w:rPr>
          <w:rFonts w:ascii="Times New Roman" w:hAnsi="Times New Roman"/>
          <w:b/>
          <w:sz w:val="28"/>
        </w:rPr>
      </w:r>
    </w:p>
    <w:p>
      <w:pPr>
        <w:pStyle w:val="Normal"/>
        <w:keepNext w:val="true"/>
        <w:widowControl/>
        <w:numPr>
          <w:ilvl w:val="0"/>
          <w:numId w:val="0"/>
        </w:numPr>
        <w:spacing w:lineRule="auto" w:line="240" w:before="0" w:after="120"/>
        <w:ind w:hanging="0" w:start="0"/>
        <w:jc w:val="both"/>
        <w:outlineLvl w:val="0"/>
        <w:rPr>
          <w:rFonts w:ascii="Times New Roman" w:hAnsi="Times New Roman"/>
          <w:b/>
          <w:sz w:val="28"/>
        </w:rPr>
      </w:pPr>
      <w:r>
        <w:rPr>
          <w:rFonts w:ascii="Times New Roman" w:hAnsi="Times New Roman"/>
          <w:b/>
          <w:sz w:val="28"/>
        </w:rPr>
      </w:r>
    </w:p>
    <w:p>
      <w:pPr>
        <w:pStyle w:val="Normal"/>
        <w:keepNext w:val="true"/>
        <w:widowControl/>
        <w:numPr>
          <w:ilvl w:val="0"/>
          <w:numId w:val="0"/>
        </w:numPr>
        <w:spacing w:lineRule="auto" w:line="240" w:before="0" w:after="120"/>
        <w:ind w:hanging="0" w:start="0"/>
        <w:jc w:val="both"/>
        <w:outlineLvl w:val="0"/>
        <w:rPr>
          <w:rFonts w:ascii="Times New Roman" w:hAnsi="Times New Roman"/>
          <w:b/>
          <w:sz w:val="28"/>
        </w:rPr>
      </w:pPr>
      <w:r>
        <w:rPr>
          <w:rFonts w:ascii="Times New Roman" w:hAnsi="Times New Roman"/>
          <w:b/>
          <w:sz w:val="28"/>
        </w:rPr>
      </w:r>
    </w:p>
    <w:p>
      <w:pPr>
        <w:pStyle w:val="Normal"/>
        <w:keepNext w:val="true"/>
        <w:widowControl/>
        <w:numPr>
          <w:ilvl w:val="0"/>
          <w:numId w:val="0"/>
        </w:numPr>
        <w:spacing w:lineRule="auto" w:line="240" w:before="0" w:after="120"/>
        <w:ind w:hanging="0" w:start="0"/>
        <w:jc w:val="both"/>
        <w:outlineLvl w:val="0"/>
        <w:rPr>
          <w:rFonts w:ascii="Times New Roman" w:hAnsi="Times New Roman"/>
          <w:b/>
          <w:sz w:val="28"/>
        </w:rPr>
      </w:pPr>
      <w:r>
        <w:rPr>
          <w:rFonts w:ascii="Times New Roman" w:hAnsi="Times New Roman"/>
          <w:b/>
          <w:sz w:val="28"/>
        </w:rPr>
      </w:r>
    </w:p>
    <w:p>
      <w:pPr>
        <w:pStyle w:val="Normal"/>
        <w:keepNext w:val="true"/>
        <w:widowControl/>
        <w:numPr>
          <w:ilvl w:val="0"/>
          <w:numId w:val="0"/>
        </w:numPr>
        <w:spacing w:lineRule="auto" w:line="240" w:before="0" w:after="120"/>
        <w:ind w:hanging="0" w:start="0"/>
        <w:jc w:val="center"/>
        <w:outlineLvl w:val="0"/>
        <w:rPr>
          <w:rFonts w:ascii="Times New Roman" w:hAnsi="Times New Roman"/>
          <w:sz w:val="24"/>
        </w:rPr>
      </w:pPr>
      <w:r>
        <w:rPr>
          <w:rFonts w:ascii="Times New Roman" w:hAnsi="Times New Roman"/>
          <w:sz w:val="24"/>
        </w:rPr>
        <w:t>г. Улан-Удэ 2026 год</w:t>
      </w:r>
    </w:p>
    <w:p>
      <w:pPr>
        <w:pStyle w:val="Normal"/>
        <w:keepNext w:val="true"/>
        <w:widowControl/>
        <w:numPr>
          <w:ilvl w:val="0"/>
          <w:numId w:val="0"/>
        </w:numPr>
        <w:spacing w:lineRule="auto" w:line="240" w:before="0" w:after="120"/>
        <w:ind w:hanging="0" w:start="284" w:end="0"/>
        <w:jc w:val="both"/>
        <w:outlineLvl w:val="0"/>
        <w:rPr>
          <w:rFonts w:ascii="Times New Roman" w:hAnsi="Times New Roman"/>
          <w:b/>
          <w:sz w:val="24"/>
        </w:rPr>
      </w:pPr>
      <w:r>
        <w:rPr>
          <w:rFonts w:ascii="Times New Roman" w:hAnsi="Times New Roman"/>
          <w:b/>
          <w:sz w:val="24"/>
        </w:rPr>
      </w:r>
    </w:p>
    <w:p>
      <w:pPr>
        <w:pStyle w:val="Normal"/>
        <w:widowControl/>
        <w:numPr>
          <w:ilvl w:val="0"/>
          <w:numId w:val="0"/>
        </w:numPr>
        <w:spacing w:lineRule="auto" w:line="240" w:before="0" w:after="120"/>
        <w:ind w:hanging="0" w:start="284" w:end="0"/>
        <w:jc w:val="both"/>
        <w:outlineLvl w:val="0"/>
        <w:rPr>
          <w:rFonts w:ascii="Times New Roman" w:hAnsi="Times New Roman"/>
          <w:b/>
          <w:sz w:val="24"/>
        </w:rPr>
      </w:pPr>
      <w:r>
        <w:rPr>
          <w:rFonts w:ascii="Times New Roman" w:hAnsi="Times New Roman"/>
          <w:b/>
          <w:sz w:val="24"/>
        </w:rPr>
      </w:r>
    </w:p>
    <w:p>
      <w:pPr>
        <w:pStyle w:val="Normal"/>
        <w:keepNext w:val="true"/>
        <w:widowControl/>
        <w:numPr>
          <w:ilvl w:val="0"/>
          <w:numId w:val="0"/>
        </w:numPr>
        <w:spacing w:lineRule="auto" w:line="240" w:before="0" w:after="120"/>
        <w:ind w:hanging="0" w:start="284" w:end="0"/>
        <w:jc w:val="both"/>
        <w:outlineLvl w:val="0"/>
        <w:rPr>
          <w:rFonts w:ascii="Times New Roman" w:hAnsi="Times New Roman"/>
          <w:sz w:val="24"/>
        </w:rPr>
      </w:pPr>
      <w:r>
        <w:rPr>
          <w:rFonts w:ascii="Times New Roman" w:hAnsi="Times New Roman"/>
          <w:sz w:val="24"/>
        </w:rPr>
      </w:r>
    </w:p>
    <w:p>
      <w:pPr>
        <w:pStyle w:val="Normal"/>
        <w:widowControl/>
        <w:numPr>
          <w:ilvl w:val="0"/>
          <w:numId w:val="0"/>
        </w:numPr>
        <w:spacing w:lineRule="auto" w:line="240" w:before="0" w:after="120"/>
        <w:ind w:hanging="0" w:start="284" w:end="0"/>
        <w:jc w:val="both"/>
        <w:outlineLvl w:val="0"/>
        <w:rPr>
          <w:rFonts w:ascii="Times New Roman" w:hAnsi="Times New Roman"/>
          <w:sz w:val="24"/>
        </w:rPr>
      </w:pPr>
      <w:r>
        <w:rPr>
          <w:rFonts w:ascii="Times New Roman" w:hAnsi="Times New Roman"/>
          <w:sz w:val="24"/>
        </w:rPr>
      </w:r>
    </w:p>
    <w:p>
      <w:pPr>
        <w:pStyle w:val="Normal"/>
        <w:widowControl/>
        <w:numPr>
          <w:ilvl w:val="0"/>
          <w:numId w:val="0"/>
        </w:numPr>
        <w:spacing w:lineRule="auto" w:line="240" w:before="0" w:after="120"/>
        <w:ind w:hanging="0" w:start="284" w:end="0"/>
        <w:jc w:val="both"/>
        <w:outlineLvl w:val="0"/>
        <w:rPr>
          <w:rFonts w:ascii="Times New Roman" w:hAnsi="Times New Roman"/>
          <w:sz w:val="24"/>
        </w:rPr>
      </w:pPr>
      <w:r>
        <w:rPr>
          <w:rFonts w:ascii="Times New Roman" w:hAnsi="Times New Roman"/>
          <w:sz w:val="24"/>
        </w:rPr>
      </w:r>
    </w:p>
    <w:p>
      <w:pPr>
        <w:pStyle w:val="Normal"/>
        <w:widowControl/>
        <w:numPr>
          <w:ilvl w:val="0"/>
          <w:numId w:val="0"/>
        </w:numPr>
        <w:spacing w:lineRule="auto" w:line="240" w:before="0" w:after="120"/>
        <w:ind w:hanging="0" w:start="284" w:end="0"/>
        <w:jc w:val="both"/>
        <w:outlineLvl w:val="0"/>
        <w:rPr>
          <w:rFonts w:ascii="Times New Roman" w:hAnsi="Times New Roman"/>
          <w:sz w:val="24"/>
        </w:rPr>
      </w:pPr>
      <w:r>
        <w:rPr>
          <w:rFonts w:ascii="Times New Roman" w:hAnsi="Times New Roman"/>
          <w:sz w:val="24"/>
        </w:rPr>
      </w:r>
    </w:p>
    <w:p>
      <w:pPr>
        <w:pStyle w:val="Normal"/>
        <w:keepNext w:val="true"/>
        <w:widowControl/>
        <w:numPr>
          <w:ilvl w:val="0"/>
          <w:numId w:val="0"/>
        </w:numPr>
        <w:spacing w:lineRule="auto" w:line="324" w:before="0" w:after="0"/>
        <w:ind w:hanging="0" w:start="284" w:end="0"/>
        <w:jc w:val="both"/>
        <w:outlineLvl w:val="0"/>
        <w:rPr>
          <w:rFonts w:ascii="Times New Roman" w:hAnsi="Times New Roman"/>
          <w:sz w:val="24"/>
        </w:rPr>
      </w:pPr>
      <w:r>
        <w:rPr>
          <w:rFonts w:ascii="Times New Roman" w:hAnsi="Times New Roman"/>
          <w:b/>
          <w:sz w:val="24"/>
        </w:rPr>
        <w:t>Условные обозначения и сокращения</w:t>
      </w:r>
    </w:p>
    <w:p>
      <w:pPr>
        <w:pStyle w:val="Normal"/>
        <w:widowControl/>
        <w:numPr>
          <w:ilvl w:val="0"/>
          <w:numId w:val="0"/>
        </w:numPr>
        <w:spacing w:lineRule="auto" w:line="324" w:before="0" w:after="0"/>
        <w:ind w:hanging="0" w:start="284" w:end="0"/>
        <w:jc w:val="both"/>
        <w:outlineLvl w:val="0"/>
        <w:rPr>
          <w:rFonts w:ascii="Times New Roman" w:hAnsi="Times New Roman"/>
          <w:sz w:val="24"/>
        </w:rPr>
      </w:pPr>
      <w:r>
        <w:rPr>
          <w:rFonts w:ascii="Times New Roman" w:hAnsi="Times New Roman"/>
          <w:b/>
          <w:sz w:val="24"/>
        </w:rPr>
        <w:t>ИСУ</w:t>
      </w:r>
      <w:r>
        <w:rPr>
          <w:rFonts w:ascii="Times New Roman" w:hAnsi="Times New Roman"/>
          <w:b/>
          <w:sz w:val="24"/>
        </w:rPr>
        <w:t xml:space="preserve"> - интеллектуальная система учета электрической энергии;</w:t>
      </w:r>
    </w:p>
    <w:p>
      <w:pPr>
        <w:pStyle w:val="Normal"/>
        <w:keepNext w:val="true"/>
        <w:widowControl/>
        <w:numPr>
          <w:ilvl w:val="0"/>
          <w:numId w:val="0"/>
        </w:numPr>
        <w:spacing w:lineRule="auto" w:line="324" w:before="0" w:after="0"/>
        <w:ind w:hanging="0" w:start="284" w:end="0"/>
        <w:jc w:val="both"/>
        <w:outlineLvl w:val="0"/>
        <w:rPr>
          <w:rFonts w:ascii="Times New Roman" w:hAnsi="Times New Roman"/>
          <w:sz w:val="24"/>
        </w:rPr>
      </w:pPr>
      <w:r>
        <w:rPr>
          <w:rFonts w:ascii="Times New Roman" w:hAnsi="Times New Roman"/>
          <w:b/>
          <w:sz w:val="24"/>
        </w:rPr>
        <w:t>ЗИП</w:t>
      </w:r>
      <w:r>
        <w:rPr>
          <w:rFonts w:ascii="Times New Roman" w:hAnsi="Times New Roman"/>
          <w:sz w:val="24"/>
        </w:rPr>
        <w:t xml:space="preserve"> - запасные части, инструменты, принадлежности;</w:t>
      </w:r>
    </w:p>
    <w:p>
      <w:pPr>
        <w:pStyle w:val="Normal"/>
        <w:keepNext w:val="true"/>
        <w:widowControl/>
        <w:numPr>
          <w:ilvl w:val="0"/>
          <w:numId w:val="0"/>
        </w:numPr>
        <w:spacing w:lineRule="auto" w:line="324" w:before="0" w:after="0"/>
        <w:ind w:hanging="0" w:start="284" w:end="0"/>
        <w:jc w:val="both"/>
        <w:outlineLvl w:val="0"/>
        <w:rPr>
          <w:rFonts w:ascii="Times New Roman" w:hAnsi="Times New Roman"/>
          <w:sz w:val="24"/>
        </w:rPr>
      </w:pPr>
      <w:r>
        <w:rPr>
          <w:rFonts w:ascii="Times New Roman" w:hAnsi="Times New Roman"/>
          <w:b/>
          <w:sz w:val="24"/>
        </w:rPr>
        <w:t xml:space="preserve">МКД – </w:t>
      </w:r>
      <w:r>
        <w:rPr>
          <w:rFonts w:ascii="Times New Roman" w:hAnsi="Times New Roman"/>
          <w:sz w:val="24"/>
        </w:rPr>
        <w:t>многоквартирный дом;</w:t>
      </w:r>
    </w:p>
    <w:p>
      <w:pPr>
        <w:pStyle w:val="Normal"/>
        <w:keepNext w:val="true"/>
        <w:widowControl/>
        <w:numPr>
          <w:ilvl w:val="0"/>
          <w:numId w:val="0"/>
        </w:numPr>
        <w:spacing w:lineRule="auto" w:line="324" w:before="0" w:after="0"/>
        <w:ind w:hanging="0" w:start="284" w:end="0"/>
        <w:jc w:val="both"/>
        <w:outlineLvl w:val="0"/>
        <w:rPr>
          <w:rFonts w:ascii="Times New Roman" w:hAnsi="Times New Roman"/>
          <w:sz w:val="24"/>
        </w:rPr>
      </w:pPr>
      <w:r>
        <w:rPr>
          <w:rFonts w:ascii="Times New Roman" w:hAnsi="Times New Roman"/>
          <w:b/>
          <w:sz w:val="24"/>
        </w:rPr>
        <w:t xml:space="preserve">ВРУ </w:t>
      </w:r>
      <w:r>
        <w:rPr>
          <w:rFonts w:ascii="Times New Roman" w:hAnsi="Times New Roman"/>
          <w:sz w:val="24"/>
        </w:rPr>
        <w:t>– вводно-распределительное устройство;</w:t>
      </w:r>
    </w:p>
    <w:p>
      <w:pPr>
        <w:pStyle w:val="Normal"/>
        <w:keepNext w:val="true"/>
        <w:widowControl/>
        <w:numPr>
          <w:ilvl w:val="0"/>
          <w:numId w:val="0"/>
        </w:numPr>
        <w:spacing w:lineRule="auto" w:line="324" w:before="0" w:after="0"/>
        <w:ind w:hanging="0" w:start="284" w:end="0"/>
        <w:jc w:val="both"/>
        <w:outlineLvl w:val="0"/>
        <w:rPr>
          <w:rFonts w:ascii="Times New Roman" w:hAnsi="Times New Roman"/>
          <w:sz w:val="24"/>
        </w:rPr>
      </w:pPr>
      <w:r>
        <w:rPr>
          <w:rFonts w:ascii="Times New Roman" w:hAnsi="Times New Roman"/>
          <w:b/>
          <w:sz w:val="24"/>
        </w:rPr>
        <w:t>ИВК</w:t>
      </w:r>
      <w:r>
        <w:rPr>
          <w:rFonts w:ascii="Times New Roman" w:hAnsi="Times New Roman"/>
          <w:sz w:val="24"/>
        </w:rPr>
        <w:t xml:space="preserve"> - информационно - вычислительный комплекс;</w:t>
      </w:r>
    </w:p>
    <w:p>
      <w:pPr>
        <w:pStyle w:val="Normal"/>
        <w:keepNext w:val="true"/>
        <w:widowControl/>
        <w:numPr>
          <w:ilvl w:val="0"/>
          <w:numId w:val="0"/>
        </w:numPr>
        <w:spacing w:lineRule="auto" w:line="324" w:before="0" w:after="0"/>
        <w:ind w:hanging="0" w:start="284" w:end="0"/>
        <w:jc w:val="both"/>
        <w:outlineLvl w:val="0"/>
        <w:rPr>
          <w:rFonts w:ascii="Times New Roman" w:hAnsi="Times New Roman"/>
          <w:sz w:val="24"/>
        </w:rPr>
      </w:pPr>
      <w:r>
        <w:rPr>
          <w:rFonts w:ascii="Times New Roman" w:hAnsi="Times New Roman"/>
          <w:b/>
          <w:sz w:val="24"/>
        </w:rPr>
        <w:t>ИВКЭ</w:t>
      </w:r>
      <w:r>
        <w:rPr>
          <w:rFonts w:ascii="Times New Roman" w:hAnsi="Times New Roman"/>
          <w:sz w:val="24"/>
        </w:rPr>
        <w:t xml:space="preserve"> - информационно - вычислительный комплекс электроустановки (УСПД, концентратор базовая станция, ТТ);</w:t>
      </w:r>
    </w:p>
    <w:p>
      <w:pPr>
        <w:pStyle w:val="Normal"/>
        <w:keepNext w:val="true"/>
        <w:widowControl/>
        <w:numPr>
          <w:ilvl w:val="0"/>
          <w:numId w:val="0"/>
        </w:numPr>
        <w:spacing w:lineRule="auto" w:line="324" w:before="0" w:after="0"/>
        <w:ind w:hanging="0" w:start="284" w:end="0"/>
        <w:jc w:val="both"/>
        <w:outlineLvl w:val="0"/>
        <w:rPr>
          <w:rFonts w:ascii="Times New Roman" w:hAnsi="Times New Roman"/>
          <w:sz w:val="24"/>
        </w:rPr>
      </w:pPr>
      <w:r>
        <w:rPr>
          <w:rFonts w:ascii="Times New Roman" w:hAnsi="Times New Roman"/>
          <w:b/>
          <w:sz w:val="24"/>
        </w:rPr>
        <w:t>ИИК</w:t>
      </w:r>
      <w:r>
        <w:rPr>
          <w:rFonts w:ascii="Times New Roman" w:hAnsi="Times New Roman"/>
          <w:sz w:val="24"/>
        </w:rPr>
        <w:t xml:space="preserve"> - измерительно-информационный комплекс точки учёта;</w:t>
      </w:r>
    </w:p>
    <w:p>
      <w:pPr>
        <w:pStyle w:val="Normal"/>
        <w:keepNext w:val="true"/>
        <w:widowControl/>
        <w:numPr>
          <w:ilvl w:val="0"/>
          <w:numId w:val="0"/>
        </w:numPr>
        <w:spacing w:lineRule="auto" w:line="324" w:before="0" w:after="0"/>
        <w:ind w:hanging="0" w:start="284" w:end="0"/>
        <w:jc w:val="both"/>
        <w:outlineLvl w:val="0"/>
        <w:rPr>
          <w:rFonts w:ascii="Times New Roman" w:hAnsi="Times New Roman"/>
          <w:sz w:val="24"/>
        </w:rPr>
      </w:pPr>
      <w:r>
        <w:rPr>
          <w:rFonts w:ascii="Times New Roman" w:hAnsi="Times New Roman"/>
          <w:b/>
          <w:sz w:val="24"/>
        </w:rPr>
        <w:t>МЭК</w:t>
      </w:r>
      <w:r>
        <w:rPr>
          <w:rFonts w:ascii="Times New Roman" w:hAnsi="Times New Roman"/>
          <w:sz w:val="24"/>
        </w:rPr>
        <w:t xml:space="preserve"> - международная электротехническая комиссия;</w:t>
      </w:r>
    </w:p>
    <w:p>
      <w:pPr>
        <w:pStyle w:val="Normal"/>
        <w:keepNext w:val="true"/>
        <w:widowControl/>
        <w:numPr>
          <w:ilvl w:val="0"/>
          <w:numId w:val="0"/>
        </w:numPr>
        <w:spacing w:lineRule="auto" w:line="324" w:before="0" w:after="0"/>
        <w:ind w:hanging="0" w:start="284" w:end="0"/>
        <w:jc w:val="both"/>
        <w:outlineLvl w:val="0"/>
        <w:rPr>
          <w:rFonts w:ascii="Times New Roman" w:hAnsi="Times New Roman"/>
          <w:sz w:val="24"/>
        </w:rPr>
      </w:pPr>
      <w:r>
        <w:rPr>
          <w:rFonts w:ascii="Times New Roman" w:hAnsi="Times New Roman"/>
          <w:b/>
          <w:sz w:val="24"/>
        </w:rPr>
        <w:t xml:space="preserve">ПУЭ </w:t>
      </w:r>
      <w:r>
        <w:rPr>
          <w:rFonts w:ascii="Times New Roman" w:hAnsi="Times New Roman"/>
          <w:sz w:val="24"/>
        </w:rPr>
        <w:t>– Правила устройства электроустановок;</w:t>
      </w:r>
    </w:p>
    <w:p>
      <w:pPr>
        <w:pStyle w:val="Normal"/>
        <w:keepNext w:val="true"/>
        <w:widowControl/>
        <w:numPr>
          <w:ilvl w:val="0"/>
          <w:numId w:val="0"/>
        </w:numPr>
        <w:spacing w:lineRule="auto" w:line="324" w:before="0" w:after="0"/>
        <w:ind w:hanging="0" w:start="284" w:end="0"/>
        <w:jc w:val="both"/>
        <w:outlineLvl w:val="0"/>
        <w:rPr>
          <w:rFonts w:ascii="Times New Roman" w:hAnsi="Times New Roman"/>
          <w:b/>
          <w:sz w:val="24"/>
        </w:rPr>
      </w:pPr>
      <w:r>
        <w:rPr>
          <w:rFonts w:ascii="Times New Roman" w:hAnsi="Times New Roman"/>
          <w:b/>
          <w:sz w:val="24"/>
        </w:rPr>
        <w:t xml:space="preserve">СОЕВ </w:t>
      </w:r>
      <w:r>
        <w:rPr>
          <w:rFonts w:ascii="Times New Roman" w:hAnsi="Times New Roman"/>
          <w:sz w:val="24"/>
        </w:rPr>
        <w:t>- система обеспечения единого времени;</w:t>
      </w:r>
    </w:p>
    <w:p>
      <w:pPr>
        <w:pStyle w:val="Normal"/>
        <w:keepNext w:val="true"/>
        <w:widowControl/>
        <w:numPr>
          <w:ilvl w:val="0"/>
          <w:numId w:val="0"/>
        </w:numPr>
        <w:spacing w:lineRule="auto" w:line="324" w:before="0" w:after="0"/>
        <w:ind w:hanging="0" w:start="284" w:end="0"/>
        <w:jc w:val="both"/>
        <w:outlineLvl w:val="0"/>
        <w:rPr>
          <w:rFonts w:ascii="Times New Roman" w:hAnsi="Times New Roman"/>
          <w:sz w:val="24"/>
        </w:rPr>
      </w:pPr>
      <w:r>
        <w:rPr>
          <w:rFonts w:ascii="Times New Roman" w:hAnsi="Times New Roman"/>
          <w:b/>
          <w:sz w:val="24"/>
        </w:rPr>
        <w:t>ТТ</w:t>
      </w:r>
      <w:r>
        <w:rPr>
          <w:rFonts w:ascii="Times New Roman" w:hAnsi="Times New Roman"/>
          <w:sz w:val="24"/>
        </w:rPr>
        <w:t xml:space="preserve"> - трансформатор тока;</w:t>
      </w:r>
    </w:p>
    <w:p>
      <w:pPr>
        <w:pStyle w:val="Normal"/>
        <w:keepNext w:val="true"/>
        <w:widowControl/>
        <w:numPr>
          <w:ilvl w:val="0"/>
          <w:numId w:val="0"/>
        </w:numPr>
        <w:spacing w:lineRule="auto" w:line="324" w:before="0" w:after="0"/>
        <w:ind w:hanging="0" w:start="284" w:end="0"/>
        <w:jc w:val="both"/>
        <w:outlineLvl w:val="0"/>
        <w:rPr>
          <w:rFonts w:ascii="Times New Roman" w:hAnsi="Times New Roman"/>
          <w:sz w:val="24"/>
        </w:rPr>
      </w:pPr>
      <w:r>
        <w:rPr>
          <w:rFonts w:ascii="Times New Roman" w:hAnsi="Times New Roman"/>
          <w:b/>
          <w:sz w:val="24"/>
        </w:rPr>
        <w:t>Ethernet</w:t>
      </w:r>
      <w:r>
        <w:rPr>
          <w:rFonts w:ascii="Times New Roman" w:hAnsi="Times New Roman"/>
          <w:sz w:val="24"/>
        </w:rPr>
        <w:t xml:space="preserve"> - пакетная технология передачи данных преимущественно локальных компьютерных сетей;</w:t>
      </w:r>
    </w:p>
    <w:p>
      <w:pPr>
        <w:pStyle w:val="Normal"/>
        <w:keepNext w:val="true"/>
        <w:widowControl/>
        <w:numPr>
          <w:ilvl w:val="0"/>
          <w:numId w:val="0"/>
        </w:numPr>
        <w:spacing w:lineRule="auto" w:line="324" w:before="0" w:after="0"/>
        <w:ind w:hanging="0" w:start="284" w:end="0"/>
        <w:jc w:val="both"/>
        <w:outlineLvl w:val="0"/>
        <w:rPr>
          <w:rFonts w:ascii="Times New Roman" w:hAnsi="Times New Roman"/>
          <w:sz w:val="24"/>
        </w:rPr>
      </w:pPr>
      <w:r>
        <w:rPr>
          <w:rFonts w:ascii="Times New Roman" w:hAnsi="Times New Roman"/>
          <w:b/>
          <w:sz w:val="24"/>
        </w:rPr>
        <w:t>GSM</w:t>
      </w:r>
      <w:r>
        <w:rPr>
          <w:rFonts w:ascii="Times New Roman" w:hAnsi="Times New Roman"/>
          <w:sz w:val="24"/>
        </w:rPr>
        <w:t xml:space="preserve"> - глобальный цифровой стандарт для мобильной сотовой связи;</w:t>
      </w:r>
    </w:p>
    <w:p>
      <w:pPr>
        <w:pStyle w:val="Normal"/>
        <w:keepNext w:val="true"/>
        <w:widowControl/>
        <w:numPr>
          <w:ilvl w:val="0"/>
          <w:numId w:val="0"/>
        </w:numPr>
        <w:spacing w:lineRule="auto" w:line="324" w:before="0" w:after="0"/>
        <w:ind w:hanging="0" w:start="284" w:end="0"/>
        <w:jc w:val="both"/>
        <w:outlineLvl w:val="0"/>
        <w:rPr>
          <w:rFonts w:ascii="Times New Roman" w:hAnsi="Times New Roman"/>
          <w:sz w:val="24"/>
        </w:rPr>
      </w:pPr>
      <w:r>
        <w:rPr>
          <w:rFonts w:ascii="Times New Roman" w:hAnsi="Times New Roman"/>
          <w:b/>
          <w:sz w:val="24"/>
        </w:rPr>
        <w:t>GPRS</w:t>
      </w:r>
      <w:r>
        <w:rPr>
          <w:rFonts w:ascii="Times New Roman" w:hAnsi="Times New Roman"/>
          <w:sz w:val="24"/>
        </w:rPr>
        <w:t xml:space="preserve"> - надстройка над технологией мобильной связи GSM, осуществляющая пакетную передачу данных;</w:t>
      </w:r>
    </w:p>
    <w:p>
      <w:pPr>
        <w:pStyle w:val="Normal"/>
        <w:keepNext w:val="true"/>
        <w:widowControl/>
        <w:numPr>
          <w:ilvl w:val="0"/>
          <w:numId w:val="0"/>
        </w:numPr>
        <w:spacing w:lineRule="auto" w:line="324" w:before="0" w:after="0"/>
        <w:ind w:hanging="0" w:start="284" w:end="0"/>
        <w:jc w:val="both"/>
        <w:outlineLvl w:val="0"/>
        <w:rPr>
          <w:rFonts w:ascii="Times New Roman" w:hAnsi="Times New Roman"/>
          <w:sz w:val="24"/>
        </w:rPr>
      </w:pPr>
      <w:r>
        <w:rPr>
          <w:rFonts w:ascii="Times New Roman" w:hAnsi="Times New Roman"/>
          <w:b/>
          <w:sz w:val="24"/>
        </w:rPr>
        <w:t>XML</w:t>
      </w:r>
      <w:r>
        <w:rPr>
          <w:rFonts w:ascii="Times New Roman" w:hAnsi="Times New Roman"/>
          <w:sz w:val="24"/>
        </w:rPr>
        <w:t xml:space="preserve"> – расширяемый язык программирования для разметки данных</w:t>
      </w:r>
    </w:p>
    <w:p>
      <w:pPr>
        <w:pStyle w:val="Normal"/>
        <w:keepNext w:val="true"/>
        <w:widowControl/>
        <w:numPr>
          <w:ilvl w:val="0"/>
          <w:numId w:val="0"/>
        </w:numPr>
        <w:spacing w:lineRule="auto" w:line="240" w:before="0" w:after="120"/>
        <w:ind w:hanging="0" w:start="284" w:end="0"/>
        <w:jc w:val="both"/>
        <w:outlineLvl w:val="0"/>
        <w:rPr>
          <w:rFonts w:ascii="Times New Roman" w:hAnsi="Times New Roman"/>
          <w:sz w:val="24"/>
        </w:rPr>
      </w:pPr>
      <w:r>
        <w:rPr>
          <w:rFonts w:ascii="Times New Roman" w:hAnsi="Times New Roman"/>
          <w:sz w:val="24"/>
        </w:rPr>
      </w:r>
    </w:p>
    <w:p>
      <w:pPr>
        <w:pStyle w:val="ListParagraph1"/>
        <w:keepNext w:val="true"/>
        <w:widowControl/>
        <w:numPr>
          <w:ilvl w:val="0"/>
          <w:numId w:val="1"/>
        </w:numPr>
        <w:spacing w:lineRule="auto" w:line="360" w:before="0" w:after="120"/>
        <w:ind w:firstLine="567" w:start="0" w:end="0"/>
        <w:contextualSpacing/>
        <w:jc w:val="both"/>
        <w:outlineLvl w:val="0"/>
        <w:rPr>
          <w:b/>
          <w:sz w:val="26"/>
        </w:rPr>
      </w:pPr>
      <w:r>
        <w:rPr>
          <w:b/>
          <w:sz w:val="26"/>
        </w:rPr>
        <w:t>Общие сведения.</w:t>
      </w:r>
    </w:p>
    <w:p>
      <w:pPr>
        <w:pStyle w:val="Normal"/>
        <w:keepNext w:val="true"/>
        <w:widowControl/>
        <w:numPr>
          <w:ilvl w:val="0"/>
          <w:numId w:val="0"/>
        </w:numPr>
        <w:spacing w:lineRule="auto" w:line="360" w:before="0" w:after="120"/>
        <w:ind w:firstLine="567" w:start="0" w:end="0"/>
        <w:jc w:val="both"/>
        <w:outlineLvl w:val="0"/>
        <w:rPr>
          <w:rFonts w:ascii="Times New Roman" w:hAnsi="Times New Roman"/>
          <w:sz w:val="24"/>
        </w:rPr>
      </w:pPr>
      <w:r>
        <w:rPr>
          <w:rFonts w:ascii="Times New Roman" w:hAnsi="Times New Roman"/>
          <w:sz w:val="24"/>
        </w:rPr>
        <w:t>1.1. Предмет Договора: выполнение работ, предусмотренных настоящим Техническим</w:t>
      </w:r>
      <w:r>
        <w:rPr>
          <w:rFonts w:ascii="Times New Roman" w:hAnsi="Times New Roman"/>
          <w:b/>
          <w:sz w:val="24"/>
        </w:rPr>
        <w:t xml:space="preserve"> </w:t>
      </w:r>
      <w:r>
        <w:rPr>
          <w:rFonts w:ascii="Times New Roman" w:hAnsi="Times New Roman"/>
          <w:sz w:val="24"/>
        </w:rPr>
        <w:t>заданием, работы по монтажу приборов учета электрической энергии (созданию интеллектуальной системы учета электроэнергии) в многоквартирных домах Республики Бурятия с возможностью предоставления субъектам электроэнергетики доступа к минимальному набору функций ИСУ, в соответствии с настоящим Техническим заданием и заявкой от Заказчика</w:t>
      </w:r>
    </w:p>
    <w:p>
      <w:pPr>
        <w:pStyle w:val="Normal"/>
        <w:keepNext w:val="true"/>
        <w:widowControl/>
        <w:numPr>
          <w:ilvl w:val="0"/>
          <w:numId w:val="0"/>
        </w:numPr>
        <w:spacing w:lineRule="auto" w:line="360" w:before="0" w:after="120"/>
        <w:ind w:firstLine="567" w:start="0" w:end="0"/>
        <w:jc w:val="both"/>
        <w:outlineLvl w:val="0"/>
        <w:rPr>
          <w:rFonts w:ascii="Times New Roman" w:hAnsi="Times New Roman"/>
          <w:sz w:val="24"/>
        </w:rPr>
      </w:pPr>
      <w:r>
        <w:rPr>
          <w:rFonts w:ascii="Times New Roman" w:hAnsi="Times New Roman"/>
          <w:sz w:val="24"/>
        </w:rPr>
        <w:t>1.2. Основание для проведения работ: Федеральный закон № 522 от 27.12.2018 года.</w:t>
      </w:r>
    </w:p>
    <w:p>
      <w:pPr>
        <w:pStyle w:val="ListParagraph1"/>
        <w:keepNext w:val="true"/>
        <w:widowControl/>
        <w:numPr>
          <w:ilvl w:val="0"/>
          <w:numId w:val="0"/>
        </w:numPr>
        <w:spacing w:lineRule="auto" w:line="360" w:before="0" w:after="120"/>
        <w:ind w:firstLine="567" w:start="0" w:end="0"/>
        <w:contextualSpacing/>
        <w:jc w:val="both"/>
        <w:outlineLvl w:val="0"/>
        <w:rPr/>
      </w:pPr>
      <w:r>
        <w:rPr/>
        <w:t>1.3. Этапы выполнения, форма и сроки оплаты выполненных работ определяются договором.</w:t>
      </w:r>
    </w:p>
    <w:p>
      <w:pPr>
        <w:pStyle w:val="ListParagraph1"/>
        <w:keepNext w:val="true"/>
        <w:widowControl/>
        <w:numPr>
          <w:ilvl w:val="0"/>
          <w:numId w:val="0"/>
        </w:numPr>
        <w:spacing w:lineRule="auto" w:line="360" w:before="0" w:after="120"/>
        <w:ind w:hanging="0" w:start="567" w:end="0"/>
        <w:contextualSpacing/>
        <w:jc w:val="both"/>
        <w:outlineLvl w:val="0"/>
        <w:rPr/>
      </w:pPr>
      <w:r>
        <w:rPr/>
        <w:t xml:space="preserve">1.4. Срок окончания работ не позднее </w:t>
      </w:r>
      <w:r>
        <w:rPr>
          <w:highlight w:val="yellow"/>
        </w:rPr>
        <w:t>29.11.2026</w:t>
      </w:r>
      <w:r>
        <w:rPr/>
        <w:t xml:space="preserve"> г.</w:t>
      </w:r>
    </w:p>
    <w:p>
      <w:pPr>
        <w:pStyle w:val="ListParagraph1"/>
        <w:keepNext w:val="true"/>
        <w:widowControl/>
        <w:numPr>
          <w:ilvl w:val="0"/>
          <w:numId w:val="0"/>
        </w:numPr>
        <w:spacing w:lineRule="auto" w:line="360" w:before="0" w:after="120"/>
        <w:ind w:firstLine="567" w:start="0" w:end="0"/>
        <w:contextualSpacing/>
        <w:jc w:val="both"/>
        <w:outlineLvl w:val="0"/>
        <w:rPr/>
      </w:pPr>
      <w:r>
        <w:rPr/>
        <w:t>1.5. Срок проведения предпроектного обследования – не позднее 15 (пятнадцати) календарных дней с даты заключения Договора. Результатом предпроектного обследования является согласованный Сторонами план выполнения работ.</w:t>
      </w:r>
    </w:p>
    <w:p>
      <w:pPr>
        <w:pStyle w:val="ListParagraph1"/>
        <w:keepNext w:val="true"/>
        <w:widowControl/>
        <w:numPr>
          <w:ilvl w:val="0"/>
          <w:numId w:val="0"/>
        </w:numPr>
        <w:spacing w:lineRule="auto" w:line="360" w:before="0" w:after="120"/>
        <w:ind w:firstLine="567" w:start="0" w:end="0"/>
        <w:contextualSpacing/>
        <w:jc w:val="both"/>
        <w:outlineLvl w:val="0"/>
        <w:rPr/>
      </w:pPr>
      <w:r>
        <w:rPr/>
        <w:t>1.6. В стоимость работ должны входить все расходы и затраты, связанные с выполнением работ, обязательные платежи и материалы. Форма и сроки оплаты выполненных                                             работ определяется договором.</w:t>
      </w:r>
    </w:p>
    <w:p>
      <w:pPr>
        <w:pStyle w:val="ListParagraph1"/>
        <w:keepNext w:val="true"/>
        <w:widowControl/>
        <w:numPr>
          <w:ilvl w:val="0"/>
          <w:numId w:val="0"/>
        </w:numPr>
        <w:spacing w:lineRule="auto" w:line="360" w:before="0" w:after="120"/>
        <w:ind w:hanging="0" w:start="567" w:end="0"/>
        <w:contextualSpacing/>
        <w:jc w:val="both"/>
        <w:outlineLvl w:val="0"/>
        <w:rPr/>
      </w:pPr>
      <w:r>
        <w:rPr/>
        <w:t>1.7. Источник финансирования: собственные средства АО «Читаэнергосбыт».</w:t>
      </w:r>
    </w:p>
    <w:p>
      <w:pPr>
        <w:pStyle w:val="ListParagraph1"/>
        <w:keepNext w:val="true"/>
        <w:widowControl/>
        <w:numPr>
          <w:ilvl w:val="0"/>
          <w:numId w:val="0"/>
        </w:numPr>
        <w:spacing w:lineRule="auto" w:line="360" w:before="0" w:after="120"/>
        <w:ind w:hanging="0" w:start="567" w:end="0"/>
        <w:contextualSpacing/>
        <w:jc w:val="both"/>
        <w:outlineLvl w:val="0"/>
        <w:rPr/>
      </w:pPr>
      <w:r>
        <w:rPr/>
        <w:t>1.8. Объем и виды работ включают в себя:</w:t>
      </w:r>
    </w:p>
    <w:p>
      <w:pPr>
        <w:pStyle w:val="ListParagraph1"/>
        <w:keepNext w:val="true"/>
        <w:widowControl/>
        <w:numPr>
          <w:ilvl w:val="0"/>
          <w:numId w:val="0"/>
        </w:numPr>
        <w:spacing w:lineRule="auto" w:line="360" w:before="0" w:after="120"/>
        <w:ind w:hanging="0" w:start="567" w:end="0"/>
        <w:contextualSpacing/>
        <w:jc w:val="both"/>
        <w:outlineLvl w:val="0"/>
        <w:rPr/>
      </w:pPr>
      <w:r>
        <w:rPr/>
        <w:t xml:space="preserve">●  </w:t>
      </w:r>
      <w:r>
        <w:rPr/>
        <w:t>Проведение предпроектного обследования;</w:t>
      </w:r>
    </w:p>
    <w:p>
      <w:pPr>
        <w:pStyle w:val="ListParagraph1"/>
        <w:keepNext w:val="true"/>
        <w:widowControl/>
        <w:numPr>
          <w:ilvl w:val="0"/>
          <w:numId w:val="0"/>
        </w:numPr>
        <w:spacing w:lineRule="auto" w:line="360" w:before="0" w:after="120"/>
        <w:ind w:firstLine="567" w:start="0" w:end="0"/>
        <w:contextualSpacing/>
        <w:jc w:val="both"/>
        <w:outlineLvl w:val="0"/>
        <w:rPr/>
      </w:pPr>
      <w:r>
        <w:rPr/>
        <w:t xml:space="preserve">● </w:t>
      </w:r>
      <w:r>
        <w:rPr/>
        <w:t>Производство монтажных работ, включая закупку оборудования и материалов, необходимых для установки ИСУЭ;</w:t>
      </w:r>
    </w:p>
    <w:p>
      <w:pPr>
        <w:pStyle w:val="ListParagraph1"/>
        <w:keepNext w:val="true"/>
        <w:widowControl/>
        <w:numPr>
          <w:ilvl w:val="0"/>
          <w:numId w:val="0"/>
        </w:numPr>
        <w:spacing w:lineRule="auto" w:line="360" w:before="0" w:after="120"/>
        <w:ind w:firstLine="567" w:start="0" w:end="0"/>
        <w:contextualSpacing/>
        <w:jc w:val="both"/>
        <w:outlineLvl w:val="0"/>
        <w:rPr/>
      </w:pPr>
      <w:r>
        <w:rPr/>
        <w:t xml:space="preserve">●  </w:t>
      </w:r>
      <w:r>
        <w:rPr/>
        <w:t xml:space="preserve">Замена/установка приборов учета электроэнергии бытовых потребителей, проживающих в многоквартирных жилых домах, в количестве </w:t>
      </w:r>
      <w:r>
        <w:rPr>
          <w:highlight w:val="yellow"/>
        </w:rPr>
        <w:t>1 316 шт.</w:t>
      </w:r>
    </w:p>
    <w:p>
      <w:pPr>
        <w:pStyle w:val="ListParagraph1"/>
        <w:keepNext w:val="true"/>
        <w:widowControl/>
        <w:numPr>
          <w:ilvl w:val="0"/>
          <w:numId w:val="0"/>
        </w:numPr>
        <w:spacing w:lineRule="auto" w:line="360" w:before="0" w:after="120"/>
        <w:ind w:firstLine="567" w:start="0" w:end="0"/>
        <w:contextualSpacing/>
        <w:jc w:val="both"/>
        <w:outlineLvl w:val="0"/>
        <w:rPr/>
      </w:pPr>
      <w:r>
        <w:rPr/>
        <w:t xml:space="preserve">● </w:t>
      </w:r>
      <w:r>
        <w:rPr/>
        <w:t xml:space="preserve">Замена/установка общедомовых приборов и шкафов учета электроэнергии во ВРУ многоквартирных домов и организация передачи данных в центр сбора данных в количестве </w:t>
      </w:r>
      <w:r>
        <w:rPr>
          <w:highlight w:val="yellow"/>
        </w:rPr>
        <w:t>386</w:t>
      </w:r>
      <w:r>
        <w:rPr/>
        <w:t xml:space="preserve"> шт.</w:t>
      </w:r>
    </w:p>
    <w:p>
      <w:pPr>
        <w:pStyle w:val="ListParagraph1"/>
        <w:keepNext w:val="true"/>
        <w:widowControl/>
        <w:numPr>
          <w:ilvl w:val="0"/>
          <w:numId w:val="0"/>
        </w:numPr>
        <w:spacing w:lineRule="auto" w:line="360" w:before="0" w:after="120"/>
        <w:ind w:hanging="0" w:start="567" w:end="0"/>
        <w:contextualSpacing/>
        <w:jc w:val="both"/>
        <w:outlineLvl w:val="0"/>
        <w:rPr/>
      </w:pPr>
      <w:r>
        <w:rPr/>
        <w:t xml:space="preserve">● </w:t>
      </w:r>
      <w:r>
        <w:rPr/>
        <w:t>Установка Базовых станций с внешней антенной для передачи данных с приборов</w:t>
      </w:r>
    </w:p>
    <w:p>
      <w:pPr>
        <w:pStyle w:val="ListParagraph1"/>
        <w:keepNext w:val="true"/>
        <w:widowControl/>
        <w:numPr>
          <w:ilvl w:val="0"/>
          <w:numId w:val="0"/>
        </w:numPr>
        <w:spacing w:lineRule="auto" w:line="360" w:before="0" w:after="120"/>
        <w:ind w:hanging="0" w:start="0" w:end="0"/>
        <w:contextualSpacing/>
        <w:jc w:val="both"/>
        <w:outlineLvl w:val="0"/>
        <w:rPr/>
      </w:pPr>
      <w:r>
        <w:rPr/>
        <w:t xml:space="preserve">учета электроэнергии в количестве </w:t>
      </w:r>
      <w:r>
        <w:rPr>
          <w:highlight w:val="yellow"/>
        </w:rPr>
        <w:t>105</w:t>
      </w:r>
      <w:r>
        <w:rPr/>
        <w:t xml:space="preserve"> шт.;</w:t>
      </w:r>
    </w:p>
    <w:p>
      <w:pPr>
        <w:pStyle w:val="ListParagraph1"/>
        <w:keepNext w:val="true"/>
        <w:widowControl/>
        <w:numPr>
          <w:ilvl w:val="0"/>
          <w:numId w:val="0"/>
        </w:numPr>
        <w:spacing w:lineRule="auto" w:line="360" w:before="0" w:after="120"/>
        <w:ind w:firstLine="567" w:start="0" w:end="0"/>
        <w:contextualSpacing/>
        <w:jc w:val="both"/>
        <w:outlineLvl w:val="0"/>
        <w:rPr/>
      </w:pPr>
      <w:r>
        <w:rPr/>
        <w:t xml:space="preserve">● </w:t>
      </w:r>
      <w:r>
        <w:rPr/>
        <w:t>Место установки приборов учета электроэнергии у бытовых потребителей, подлежащих замене/установке и необходимые работы по монтажу устройств для сбора и передачи данных, определяется по результатам предпроектного обследования.</w:t>
      </w:r>
    </w:p>
    <w:p>
      <w:pPr>
        <w:pStyle w:val="ListParagraph1"/>
        <w:keepNext w:val="true"/>
        <w:widowControl/>
        <w:numPr>
          <w:ilvl w:val="0"/>
          <w:numId w:val="0"/>
        </w:numPr>
        <w:spacing w:lineRule="auto" w:line="360" w:before="0" w:after="120"/>
        <w:ind w:firstLine="567" w:start="0" w:end="0"/>
        <w:contextualSpacing/>
        <w:jc w:val="both"/>
        <w:outlineLvl w:val="0"/>
        <w:rPr/>
      </w:pPr>
      <w:r>
        <w:rPr/>
        <w:t xml:space="preserve">● </w:t>
      </w:r>
      <w:r>
        <w:rPr/>
        <w:t>Количество приборов учета подлежащих замене/установке может быть скорректировано по результатам предпроектного обследования;</w:t>
      </w:r>
    </w:p>
    <w:p>
      <w:pPr>
        <w:pStyle w:val="ListParagraph1"/>
        <w:keepNext w:val="true"/>
        <w:widowControl/>
        <w:numPr>
          <w:ilvl w:val="0"/>
          <w:numId w:val="0"/>
        </w:numPr>
        <w:spacing w:lineRule="auto" w:line="360" w:before="0" w:after="120"/>
        <w:ind w:firstLine="567" w:start="0" w:end="0"/>
        <w:contextualSpacing/>
        <w:jc w:val="both"/>
        <w:outlineLvl w:val="0"/>
        <w:rPr/>
      </w:pPr>
      <w:r>
        <w:rPr/>
        <w:t xml:space="preserve">● </w:t>
      </w:r>
      <w:r>
        <w:rPr/>
        <w:t>Производство приемосдаточных испытаний смонтированного оборудования в соответствии с требованием главы 1.8 ПУЭ-7 с оформлением документации;</w:t>
      </w:r>
    </w:p>
    <w:p>
      <w:pPr>
        <w:pStyle w:val="ListParagraph1"/>
        <w:keepNext w:val="true"/>
        <w:widowControl/>
        <w:numPr>
          <w:ilvl w:val="0"/>
          <w:numId w:val="0"/>
        </w:numPr>
        <w:spacing w:lineRule="auto" w:line="360" w:before="0" w:after="120"/>
        <w:ind w:hanging="0" w:start="567" w:end="0"/>
        <w:contextualSpacing/>
        <w:jc w:val="both"/>
        <w:outlineLvl w:val="0"/>
        <w:rPr/>
      </w:pPr>
      <w:r>
        <w:rPr/>
        <w:t xml:space="preserve">● </w:t>
      </w:r>
      <w:r>
        <w:rPr/>
        <w:t>Производство пуско-наладочных работ;</w:t>
      </w:r>
    </w:p>
    <w:p>
      <w:pPr>
        <w:pStyle w:val="ListParagraph1"/>
        <w:keepNext w:val="true"/>
        <w:widowControl/>
        <w:numPr>
          <w:ilvl w:val="0"/>
          <w:numId w:val="0"/>
        </w:numPr>
        <w:spacing w:lineRule="auto" w:line="360" w:before="0" w:after="120"/>
        <w:ind w:firstLine="567" w:start="0" w:end="0"/>
        <w:contextualSpacing/>
        <w:jc w:val="both"/>
        <w:outlineLvl w:val="0"/>
        <w:rPr/>
      </w:pPr>
      <w:r>
        <w:rPr/>
        <w:t xml:space="preserve">● </w:t>
      </w:r>
      <w:r>
        <w:rPr/>
        <w:t>Оформление паспортов-протоколов измерительных комплексов общедомовых приборов учета;</w:t>
      </w:r>
    </w:p>
    <w:p>
      <w:pPr>
        <w:pStyle w:val="ListParagraph1"/>
        <w:keepNext w:val="true"/>
        <w:widowControl/>
        <w:numPr>
          <w:ilvl w:val="0"/>
          <w:numId w:val="0"/>
        </w:numPr>
        <w:spacing w:lineRule="auto" w:line="360" w:before="0" w:after="120"/>
        <w:ind w:hanging="0" w:start="567" w:end="0"/>
        <w:contextualSpacing/>
        <w:jc w:val="both"/>
        <w:outlineLvl w:val="0"/>
        <w:rPr/>
      </w:pPr>
      <w:r>
        <w:rPr/>
        <w:t xml:space="preserve">● </w:t>
      </w:r>
      <w:r>
        <w:rPr/>
        <w:t>Производство сопутствующих и дополнительных работ, определенных проектом;</w:t>
      </w:r>
    </w:p>
    <w:p>
      <w:pPr>
        <w:pStyle w:val="ListParagraph1"/>
        <w:keepNext w:val="true"/>
        <w:widowControl/>
        <w:numPr>
          <w:ilvl w:val="0"/>
          <w:numId w:val="0"/>
        </w:numPr>
        <w:spacing w:lineRule="auto" w:line="360" w:before="0" w:after="120"/>
        <w:ind w:hanging="0" w:start="567" w:end="0"/>
        <w:contextualSpacing/>
        <w:jc w:val="both"/>
        <w:outlineLvl w:val="0"/>
        <w:rPr/>
      </w:pPr>
      <w:r>
        <w:rPr/>
        <w:t xml:space="preserve">● </w:t>
      </w:r>
      <w:r>
        <w:rPr/>
        <w:t>Тестирование и ввод ИСУ в опытную эксплуатацию;</w:t>
      </w:r>
    </w:p>
    <w:p>
      <w:pPr>
        <w:pStyle w:val="ListParagraph1"/>
        <w:keepNext w:val="true"/>
        <w:widowControl/>
        <w:numPr>
          <w:ilvl w:val="0"/>
          <w:numId w:val="0"/>
        </w:numPr>
        <w:spacing w:lineRule="auto" w:line="360" w:before="0" w:after="120"/>
        <w:ind w:hanging="0" w:start="567" w:end="0"/>
        <w:contextualSpacing/>
        <w:jc w:val="both"/>
        <w:outlineLvl w:val="0"/>
        <w:rPr/>
      </w:pPr>
      <w:r>
        <w:rPr/>
        <w:t xml:space="preserve">● </w:t>
      </w:r>
      <w:r>
        <w:rPr/>
        <w:t>Ввод в промышленную эксплуатацию ИСУ (сдача-приемка выполненных работ);</w:t>
      </w:r>
    </w:p>
    <w:p>
      <w:pPr>
        <w:pStyle w:val="ListParagraph1"/>
        <w:keepNext w:val="true"/>
        <w:widowControl/>
        <w:numPr>
          <w:ilvl w:val="0"/>
          <w:numId w:val="0"/>
        </w:numPr>
        <w:spacing w:lineRule="auto" w:line="360" w:before="0" w:after="120"/>
        <w:ind w:hanging="0" w:start="567" w:end="0"/>
        <w:contextualSpacing/>
        <w:jc w:val="both"/>
        <w:outlineLvl w:val="0"/>
        <w:rPr/>
      </w:pPr>
      <w:r>
        <w:rPr/>
        <w:t xml:space="preserve">● </w:t>
      </w:r>
      <w:r>
        <w:rPr/>
        <w:t>Гарантийное обслуживание.</w:t>
      </w:r>
    </w:p>
    <w:p>
      <w:pPr>
        <w:pStyle w:val="ListParagraph1"/>
        <w:keepNext w:val="true"/>
        <w:widowControl/>
        <w:numPr>
          <w:ilvl w:val="0"/>
          <w:numId w:val="0"/>
        </w:numPr>
        <w:spacing w:lineRule="auto" w:line="360" w:before="0" w:after="120"/>
        <w:ind w:firstLine="567" w:start="0" w:end="0"/>
        <w:contextualSpacing/>
        <w:jc w:val="both"/>
        <w:outlineLvl w:val="0"/>
        <w:rPr/>
      </w:pPr>
      <w:r>
        <w:rPr/>
        <w:t>1.9. Необходимость проведения работ по монтажу общедомовых приборов учета электрической энергии в отдельных шкафах общедомового учета, определяется предпроектным обследованием.</w:t>
      </w:r>
    </w:p>
    <w:p>
      <w:pPr>
        <w:pStyle w:val="ListParagraph1"/>
        <w:keepNext w:val="true"/>
        <w:widowControl/>
        <w:numPr>
          <w:ilvl w:val="0"/>
          <w:numId w:val="0"/>
        </w:numPr>
        <w:spacing w:lineRule="auto" w:line="360" w:before="0" w:after="120"/>
        <w:ind w:firstLine="567" w:start="0" w:end="0"/>
        <w:contextualSpacing/>
        <w:jc w:val="both"/>
        <w:outlineLvl w:val="0"/>
        <w:rPr/>
      </w:pPr>
      <w:r>
        <w:rPr/>
        <w:t>1.10. Установка интеллектуальных систем учета электроэнергии производится на объектах в соответствии с заявкой от Заказчика.</w:t>
      </w:r>
    </w:p>
    <w:p>
      <w:pPr>
        <w:pStyle w:val="ListParagraph1"/>
        <w:keepNext w:val="true"/>
        <w:widowControl/>
        <w:numPr>
          <w:ilvl w:val="0"/>
          <w:numId w:val="0"/>
        </w:numPr>
        <w:spacing w:lineRule="auto" w:line="360" w:before="0" w:after="120"/>
        <w:ind w:firstLine="567" w:start="0" w:end="0"/>
        <w:contextualSpacing/>
        <w:jc w:val="both"/>
        <w:outlineLvl w:val="0"/>
        <w:rPr/>
      </w:pPr>
      <w:r>
        <w:rPr/>
        <w:t>1.11. Заказчик вправе расторгнуть Договор в одностороннем порядке в случае неисполнения работ в сроки, указанные в пунктах 1.4, 1.5 настоящего Технического задания.</w:t>
      </w:r>
    </w:p>
    <w:p>
      <w:pPr>
        <w:pStyle w:val="ListParagraph1"/>
        <w:keepNext w:val="true"/>
        <w:widowControl/>
        <w:numPr>
          <w:ilvl w:val="0"/>
          <w:numId w:val="1"/>
        </w:numPr>
        <w:spacing w:lineRule="auto" w:line="324" w:before="0" w:after="120"/>
        <w:ind w:firstLine="567" w:start="0" w:end="0"/>
        <w:contextualSpacing w:val="false"/>
        <w:jc w:val="both"/>
        <w:outlineLvl w:val="0"/>
        <w:rPr>
          <w:b/>
          <w:sz w:val="26"/>
        </w:rPr>
      </w:pPr>
      <w:r>
        <w:rPr>
          <w:b/>
          <w:sz w:val="26"/>
        </w:rPr>
        <w:t>Общие технические требования.</w:t>
      </w:r>
    </w:p>
    <w:p>
      <w:pPr>
        <w:pStyle w:val="ListParagraph1"/>
        <w:widowControl/>
        <w:numPr>
          <w:ilvl w:val="1"/>
          <w:numId w:val="1"/>
        </w:numPr>
        <w:spacing w:lineRule="auto" w:line="324" w:before="0" w:after="60"/>
        <w:ind w:firstLine="709" w:start="0" w:end="0"/>
        <w:contextualSpacing w:val="false"/>
        <w:jc w:val="both"/>
        <w:rPr>
          <w:b/>
        </w:rPr>
      </w:pPr>
      <w:r>
        <w:rPr>
          <w:b/>
        </w:rPr>
        <w:t>Общие требования к компонентам системы учета.</w:t>
      </w:r>
    </w:p>
    <w:p>
      <w:pPr>
        <w:pStyle w:val="ListParagraph1"/>
        <w:widowControl/>
        <w:numPr>
          <w:ilvl w:val="2"/>
          <w:numId w:val="1"/>
        </w:numPr>
        <w:spacing w:lineRule="auto" w:line="324"/>
        <w:ind w:firstLine="1134" w:start="0" w:end="0"/>
        <w:jc w:val="both"/>
        <w:rPr/>
      </w:pPr>
      <w:r>
        <w:rPr/>
        <w:t xml:space="preserve">Приборы учета электрической энергии, средства измерения, входящие в ИИК должны входить в перечень средств измерений, внесенных в Федеральный информационный фонд по обеспечению единства измерений и допущенных к применению в Российской Федерации, соответствовать требованиям Правил предоставления доступа к минимальному набору функций интеллектуальных систем учета электрической энергии (мощности), утвержденных постановлением Правительства РФ № 890 от 19.06.2020 и иметь действующие свидетельства о поверке и установленные пломбы лица, имеющего аккредитацию на право поверки средств измерений. </w:t>
      </w:r>
    </w:p>
    <w:p>
      <w:pPr>
        <w:pStyle w:val="ListParagraph1"/>
        <w:widowControl/>
        <w:numPr>
          <w:ilvl w:val="2"/>
          <w:numId w:val="1"/>
        </w:numPr>
        <w:spacing w:lineRule="auto" w:line="324"/>
        <w:ind w:firstLine="1134" w:start="0" w:end="0"/>
        <w:jc w:val="both"/>
        <w:rPr/>
      </w:pPr>
      <w:r>
        <w:rPr/>
        <w:t>Возможность дистанционного управления (с рабочего места оператора) потребления электрической энергии по каждому присоединению, оборудованному приборами учета, входящими в автоматизированную систему со следующими функциональными возможностями: контроль электропотребления, возможность отключения и включения нагрузки при помощи встроенного в счетчики реле управления нагрузкой дистанционно по команде с рабочего места оператора, а также при превышении установленных лимитов, с возможностью предоставления субъектам электроэнергетики доступа к минимальному набору функций ИСУ.</w:t>
      </w:r>
    </w:p>
    <w:p>
      <w:pPr>
        <w:pStyle w:val="ListParagraph1"/>
        <w:widowControl/>
        <w:numPr>
          <w:ilvl w:val="2"/>
          <w:numId w:val="1"/>
        </w:numPr>
        <w:spacing w:lineRule="auto" w:line="324"/>
        <w:ind w:firstLine="1134" w:start="0" w:end="0"/>
        <w:jc w:val="both"/>
        <w:rPr/>
      </w:pPr>
      <w:r>
        <w:rPr/>
        <w:t>Конструкция элементов ИИК должна предусматривать возможность установки контрольных пломб и (или) знаков визуального контроля.</w:t>
      </w:r>
    </w:p>
    <w:p>
      <w:pPr>
        <w:pStyle w:val="ListParagraph1"/>
        <w:widowControl/>
        <w:numPr>
          <w:ilvl w:val="2"/>
          <w:numId w:val="1"/>
        </w:numPr>
        <w:spacing w:lineRule="auto" w:line="324"/>
        <w:ind w:firstLine="1134" w:start="0" w:end="0"/>
        <w:jc w:val="both"/>
        <w:rPr/>
      </w:pPr>
      <w:r>
        <w:rPr/>
        <w:t>Продукция должна быть новой, ранее не использованной, датой выпуска на момент установки для однофазных приборов учета электроэнергии не более 12 месяцев и датой выпуска на момент установки для трехфазных приборов учета электроэнергии не более 6 месяцев.</w:t>
      </w:r>
    </w:p>
    <w:p>
      <w:pPr>
        <w:pStyle w:val="ListParagraph1"/>
        <w:widowControl/>
        <w:numPr>
          <w:ilvl w:val="2"/>
          <w:numId w:val="1"/>
        </w:numPr>
        <w:spacing w:lineRule="auto" w:line="324"/>
        <w:ind w:firstLine="1134" w:start="0" w:end="0"/>
        <w:jc w:val="both"/>
        <w:rPr/>
      </w:pPr>
      <w:r>
        <w:rPr/>
        <w:t>Все используемое оборудование должно соответствовать условиям эксплуатации, конструктивное исполнение соответствовать требованиям климатического исполнения по ГОСТ 15150-69 и удовлетворяющее требованиям к рабочему диапазону температур от -40 ºС до +60 °С.</w:t>
      </w:r>
    </w:p>
    <w:p>
      <w:pPr>
        <w:pStyle w:val="ListParagraph1"/>
        <w:widowControl/>
        <w:numPr>
          <w:ilvl w:val="2"/>
          <w:numId w:val="1"/>
        </w:numPr>
        <w:spacing w:lineRule="auto" w:line="324"/>
        <w:ind w:firstLine="1134" w:start="0" w:end="0"/>
        <w:jc w:val="both"/>
        <w:rPr/>
      </w:pPr>
      <w:r>
        <w:rPr/>
        <w:t xml:space="preserve">На каждую единицу оборудования должен быть предоставлен паспорт, комплектность по спецификации, руководство по эксплуатации. </w:t>
      </w:r>
    </w:p>
    <w:p>
      <w:pPr>
        <w:pStyle w:val="ListParagraph1"/>
        <w:widowControl/>
        <w:numPr>
          <w:ilvl w:val="2"/>
          <w:numId w:val="1"/>
        </w:numPr>
        <w:spacing w:lineRule="auto" w:line="324"/>
        <w:ind w:firstLine="1134" w:start="0" w:end="0"/>
        <w:jc w:val="both"/>
        <w:rPr/>
      </w:pPr>
      <w:r>
        <w:rPr/>
        <w:t>На каждую единицу оборудования должен быть предоставлен сертификат качества.</w:t>
      </w:r>
    </w:p>
    <w:p>
      <w:pPr>
        <w:pStyle w:val="ListParagraph1"/>
        <w:widowControl/>
        <w:numPr>
          <w:ilvl w:val="2"/>
          <w:numId w:val="1"/>
        </w:numPr>
        <w:spacing w:lineRule="auto" w:line="324"/>
        <w:ind w:firstLine="1134" w:start="0" w:end="0"/>
        <w:jc w:val="both"/>
        <w:rPr/>
      </w:pPr>
      <w:r>
        <w:rPr/>
        <w:t>Трансформаторы тока по техническим характеристикам должны соответствовать ГОСТ 7746-2015. Коэффициенты трансформаторов тока должны быть выбраны по условиям фактической нагрузки и требованиям Правил устройства электроустановок и определены по результатам предпроектного обследования. Значения допустимых классов точности трансформаторов тока определяются исходя из объекта измерений.</w:t>
      </w:r>
    </w:p>
    <w:p>
      <w:pPr>
        <w:pStyle w:val="ListParagraph1"/>
        <w:widowControl/>
        <w:numPr>
          <w:ilvl w:val="2"/>
          <w:numId w:val="1"/>
        </w:numPr>
        <w:spacing w:lineRule="auto" w:line="324"/>
        <w:ind w:firstLine="1134" w:start="0" w:end="0"/>
        <w:jc w:val="both"/>
        <w:rPr/>
      </w:pPr>
      <w:r>
        <w:rPr/>
        <w:t xml:space="preserve">Технические параметры и метрологические характеристики приборов учета должны соответствовать требованиям: </w:t>
      </w:r>
    </w:p>
    <w:p>
      <w:pPr>
        <w:pStyle w:val="ListParagraph1"/>
        <w:widowControl/>
        <w:numPr>
          <w:ilvl w:val="1"/>
          <w:numId w:val="2"/>
        </w:numPr>
        <w:spacing w:lineRule="auto" w:line="324"/>
        <w:ind w:firstLine="1134" w:start="0" w:end="0"/>
        <w:jc w:val="both"/>
        <w:rPr/>
      </w:pPr>
      <w:r>
        <w:rPr/>
        <w:t>Правила предоставления доступа к минимальному набору функций интеллектуальных систем учета электрической энергии (мощности), утвержденные постановлением Правительства РФ № 890 от 19.06.2020 (далее по тексту– Правила предоставления доступа к минимальному набору функций);</w:t>
      </w:r>
    </w:p>
    <w:p>
      <w:pPr>
        <w:pStyle w:val="ListParagraph1"/>
        <w:widowControl/>
        <w:numPr>
          <w:ilvl w:val="1"/>
          <w:numId w:val="2"/>
        </w:numPr>
        <w:spacing w:lineRule="auto" w:line="324"/>
        <w:ind w:firstLine="1134" w:start="0" w:end="0"/>
        <w:jc w:val="both"/>
        <w:rPr/>
      </w:pPr>
      <w:r>
        <w:rPr/>
        <w:t>ГОСТ 31818.11-2012 Аппаратура для измерения электрической энергии переменного тока. Частные требования. Часть 11. Счётчики электрической энергии;</w:t>
      </w:r>
    </w:p>
    <w:p>
      <w:pPr>
        <w:pStyle w:val="ListParagraph1"/>
        <w:widowControl/>
        <w:numPr>
          <w:ilvl w:val="1"/>
          <w:numId w:val="2"/>
        </w:numPr>
        <w:spacing w:lineRule="auto" w:line="324"/>
        <w:ind w:firstLine="1134" w:start="0" w:end="0"/>
        <w:jc w:val="both"/>
        <w:rPr/>
      </w:pPr>
      <w:r>
        <w:rPr/>
        <w:t>ГОСТ 31819.11-2012 Аппаратура для измерения электрической энергии переменного тока. Общие требования. Часть 11. Счётчики электрической энергии классов точности 0.5; 1 и 2;</w:t>
      </w:r>
    </w:p>
    <w:p>
      <w:pPr>
        <w:pStyle w:val="ListParagraph1"/>
        <w:widowControl/>
        <w:numPr>
          <w:ilvl w:val="1"/>
          <w:numId w:val="2"/>
        </w:numPr>
        <w:spacing w:lineRule="auto" w:line="324"/>
        <w:ind w:firstLine="1134" w:start="0" w:end="0"/>
        <w:jc w:val="both"/>
        <w:rPr/>
      </w:pPr>
      <w:r>
        <w:rPr/>
        <w:t>ГОСТ 31819.21-2012 Аппаратура для измерения электрической энергии переменного тока. Частные требования. Часть 21. Статические счетчики активной энергии классов точности 1 и 2;</w:t>
      </w:r>
    </w:p>
    <w:p>
      <w:pPr>
        <w:pStyle w:val="ListParagraph1"/>
        <w:widowControl/>
        <w:numPr>
          <w:ilvl w:val="1"/>
          <w:numId w:val="2"/>
        </w:numPr>
        <w:spacing w:lineRule="auto" w:line="324"/>
        <w:ind w:firstLine="1134" w:start="0" w:end="0"/>
        <w:jc w:val="both"/>
        <w:rPr/>
      </w:pPr>
      <w:r>
        <w:rPr/>
        <w:t>ГОСТ 31819.22-2012 Аппаратура для измерения электрической энергии переменного тока. Частные требования. Часть 22. Статические счетчики активной энергии классов точности 0.2S и 0.5S;</w:t>
      </w:r>
    </w:p>
    <w:p>
      <w:pPr>
        <w:pStyle w:val="ListParagraph1"/>
        <w:widowControl/>
        <w:numPr>
          <w:ilvl w:val="1"/>
          <w:numId w:val="2"/>
        </w:numPr>
        <w:spacing w:lineRule="auto" w:line="324"/>
        <w:ind w:firstLine="1134" w:start="0" w:end="0"/>
        <w:jc w:val="both"/>
        <w:rPr/>
      </w:pPr>
      <w:r>
        <w:rPr/>
        <w:t>ГОСТ 31819.23-2012 Аппаратура для измерения электрической энергии переменного тока. Частные требования. Часть 23. Статические счетчики реактивной энергии;</w:t>
      </w:r>
    </w:p>
    <w:p>
      <w:pPr>
        <w:pStyle w:val="ListParagraph1"/>
        <w:widowControl/>
        <w:numPr>
          <w:ilvl w:val="2"/>
          <w:numId w:val="1"/>
        </w:numPr>
        <w:spacing w:lineRule="auto" w:line="324"/>
        <w:ind w:firstLine="1134" w:start="0" w:end="0"/>
        <w:jc w:val="both"/>
        <w:rPr/>
      </w:pPr>
      <w:r>
        <w:rPr/>
        <w:t>Состав оборудования ИСУ и его технические характеристики должны быть определены в результате обследования объектов, а также при составлении спецификации оборудования и работ.</w:t>
      </w:r>
    </w:p>
    <w:p>
      <w:pPr>
        <w:pStyle w:val="ListParagraph1"/>
        <w:widowControl w:val="false"/>
        <w:numPr>
          <w:ilvl w:val="1"/>
          <w:numId w:val="1"/>
        </w:numPr>
        <w:spacing w:lineRule="auto" w:line="324" w:before="120" w:after="60"/>
        <w:ind w:firstLine="709" w:start="0" w:end="0"/>
        <w:contextualSpacing w:val="false"/>
        <w:outlineLvl w:val="1"/>
        <w:rPr>
          <w:b/>
        </w:rPr>
      </w:pPr>
      <w:r>
        <w:rPr>
          <w:b/>
        </w:rPr>
        <w:t>Общие требования к системе учета с удаленным сбором данных</w:t>
      </w:r>
    </w:p>
    <w:p>
      <w:pPr>
        <w:pStyle w:val="ListParagraph1"/>
        <w:widowControl w:val="false"/>
        <w:numPr>
          <w:ilvl w:val="2"/>
          <w:numId w:val="1"/>
        </w:numPr>
        <w:tabs>
          <w:tab w:val="clear" w:pos="708"/>
          <w:tab w:val="left" w:pos="567" w:leader="none"/>
        </w:tabs>
        <w:spacing w:lineRule="auto" w:line="324" w:before="120" w:after="0"/>
        <w:ind w:firstLine="1134" w:start="0" w:end="0"/>
        <w:contextualSpacing/>
        <w:jc w:val="both"/>
        <w:rPr/>
      </w:pPr>
      <w:r>
        <w:rPr/>
        <w:t>Технические средства создаваемой системы учета с удаленным сбором данных должны быть изготовлены производителем в виде законченных укомплектованных изделий, для установки которых на месте эксплуатации достаточно указаний, приведенных в эксплуатационной документации, в которой нормированы метрологические характеристики измерительных каналов ИСУ.</w:t>
      </w:r>
    </w:p>
    <w:p>
      <w:pPr>
        <w:pStyle w:val="ListParagraph1"/>
        <w:widowControl w:val="false"/>
        <w:numPr>
          <w:ilvl w:val="2"/>
          <w:numId w:val="1"/>
        </w:numPr>
        <w:tabs>
          <w:tab w:val="clear" w:pos="708"/>
          <w:tab w:val="left" w:pos="567" w:leader="none"/>
        </w:tabs>
        <w:spacing w:lineRule="auto" w:line="324" w:before="120" w:after="0"/>
        <w:ind w:firstLine="1134" w:start="0" w:end="0"/>
        <w:contextualSpacing/>
        <w:jc w:val="both"/>
        <w:rPr/>
      </w:pPr>
      <w:r>
        <w:rPr/>
        <w:t>Состав оборудования на уровне ИВКЭ определяется в проектной документации.</w:t>
      </w:r>
    </w:p>
    <w:p>
      <w:pPr>
        <w:pStyle w:val="ListParagraph1"/>
        <w:widowControl w:val="false"/>
        <w:numPr>
          <w:ilvl w:val="2"/>
          <w:numId w:val="1"/>
        </w:numPr>
        <w:tabs>
          <w:tab w:val="clear" w:pos="708"/>
          <w:tab w:val="left" w:pos="567" w:leader="none"/>
        </w:tabs>
        <w:spacing w:lineRule="auto" w:line="324" w:before="120" w:after="0"/>
        <w:ind w:firstLine="1134" w:start="0" w:end="0"/>
        <w:contextualSpacing/>
        <w:jc w:val="both"/>
        <w:rPr/>
      </w:pPr>
      <w:r>
        <w:rPr/>
        <w:t>Программное обеспечение, применяемые протоколы ИИК и коды ИВКЭ системы должны быть стандартизированными.</w:t>
      </w:r>
    </w:p>
    <w:p>
      <w:pPr>
        <w:pStyle w:val="ListParagraph1"/>
        <w:widowControl w:val="false"/>
        <w:numPr>
          <w:ilvl w:val="2"/>
          <w:numId w:val="1"/>
        </w:numPr>
        <w:spacing w:lineRule="auto" w:line="324" w:before="120" w:after="0"/>
        <w:ind w:firstLine="1134" w:start="0" w:end="0"/>
        <w:contextualSpacing/>
        <w:jc w:val="both"/>
        <w:rPr/>
      </w:pPr>
      <w:r>
        <w:rPr/>
        <w:t>Приборы учета должны быть интегрированы в программный комплекс «Энфорс», «SmartMetering», «SmartGrid».</w:t>
      </w:r>
    </w:p>
    <w:p>
      <w:pPr>
        <w:pStyle w:val="ListParagraph1"/>
        <w:widowControl w:val="false"/>
        <w:numPr>
          <w:ilvl w:val="2"/>
          <w:numId w:val="1"/>
        </w:numPr>
        <w:tabs>
          <w:tab w:val="clear" w:pos="708"/>
          <w:tab w:val="left" w:pos="567" w:leader="none"/>
        </w:tabs>
        <w:spacing w:lineRule="auto" w:line="324" w:before="120" w:after="0"/>
        <w:ind w:firstLine="1134" w:start="0" w:end="0"/>
        <w:contextualSpacing/>
        <w:jc w:val="both"/>
        <w:rPr/>
      </w:pPr>
      <w:r>
        <w:rPr/>
        <w:t xml:space="preserve">Дальнейшее расширение ИСУ путем добавления новых приборов учета электроэнергии и базовых станций или УСПД должно осуществляться без доработки существующей ИСУ. </w:t>
      </w:r>
    </w:p>
    <w:p>
      <w:pPr>
        <w:pStyle w:val="ListParagraph1"/>
        <w:widowControl w:val="false"/>
        <w:numPr>
          <w:ilvl w:val="2"/>
          <w:numId w:val="1"/>
        </w:numPr>
        <w:tabs>
          <w:tab w:val="clear" w:pos="708"/>
          <w:tab w:val="left" w:pos="567" w:leader="none"/>
        </w:tabs>
        <w:spacing w:lineRule="auto" w:line="324" w:before="120" w:after="0"/>
        <w:ind w:firstLine="1134" w:start="0" w:end="0"/>
        <w:contextualSpacing/>
        <w:jc w:val="both"/>
        <w:rPr/>
      </w:pPr>
      <w:r>
        <w:rPr/>
        <w:t xml:space="preserve">Периодичность автоматической отправки данных с ИИК на сервер определяется Правилами предоставления доступа к минимальному набору функций. </w:t>
      </w:r>
    </w:p>
    <w:p>
      <w:pPr>
        <w:pStyle w:val="ListParagraph1"/>
        <w:widowControl w:val="false"/>
        <w:numPr>
          <w:ilvl w:val="2"/>
          <w:numId w:val="1"/>
        </w:numPr>
        <w:tabs>
          <w:tab w:val="clear" w:pos="708"/>
          <w:tab w:val="left" w:pos="567" w:leader="none"/>
        </w:tabs>
        <w:spacing w:lineRule="auto" w:line="324" w:before="120" w:after="0"/>
        <w:ind w:firstLine="1134" w:start="0" w:end="0"/>
        <w:contextualSpacing/>
        <w:jc w:val="both"/>
        <w:rPr/>
      </w:pPr>
      <w:r>
        <w:rPr/>
        <w:t>ИСУ должна обеспечить хранение в базе данных не менее 3 лет, но не ранее даты присоединения прибора учета электрической энергии к ИСУ, с регулярным резервированием на внешних носителях информации.</w:t>
      </w:r>
    </w:p>
    <w:p>
      <w:pPr>
        <w:pStyle w:val="ListParagraph1"/>
        <w:widowControl w:val="false"/>
        <w:numPr>
          <w:ilvl w:val="2"/>
          <w:numId w:val="1"/>
        </w:numPr>
        <w:tabs>
          <w:tab w:val="clear" w:pos="708"/>
          <w:tab w:val="left" w:pos="567" w:leader="none"/>
        </w:tabs>
        <w:spacing w:lineRule="auto" w:line="324" w:before="120" w:after="0"/>
        <w:ind w:firstLine="1134" w:start="0" w:end="0"/>
        <w:contextualSpacing/>
        <w:jc w:val="both"/>
        <w:rPr/>
      </w:pPr>
      <w:r>
        <w:rPr/>
        <w:t>ИСУ должна обеспечивать контроль полноты и объема собранной информации со всех контролируемых ИИК.</w:t>
      </w:r>
    </w:p>
    <w:p>
      <w:pPr>
        <w:pStyle w:val="ListParagraph1"/>
        <w:widowControl w:val="false"/>
        <w:numPr>
          <w:ilvl w:val="2"/>
          <w:numId w:val="1"/>
        </w:numPr>
        <w:tabs>
          <w:tab w:val="clear" w:pos="708"/>
          <w:tab w:val="left" w:pos="567" w:leader="none"/>
        </w:tabs>
        <w:spacing w:lineRule="auto" w:line="324" w:before="120" w:after="0"/>
        <w:ind w:firstLine="1134" w:start="0" w:end="0"/>
        <w:contextualSpacing/>
        <w:jc w:val="both"/>
        <w:rPr/>
      </w:pPr>
      <w:r>
        <w:rPr/>
        <w:t>ИСУ должна обеспечивать диагностику функционирования технических и программных средств.</w:t>
      </w:r>
    </w:p>
    <w:p>
      <w:pPr>
        <w:pStyle w:val="ListParagraph1"/>
        <w:widowControl w:val="false"/>
        <w:numPr>
          <w:ilvl w:val="2"/>
          <w:numId w:val="1"/>
        </w:numPr>
        <w:tabs>
          <w:tab w:val="clear" w:pos="708"/>
          <w:tab w:val="left" w:pos="567" w:leader="none"/>
        </w:tabs>
        <w:spacing w:lineRule="auto" w:line="324" w:before="120" w:after="0"/>
        <w:ind w:firstLine="1134" w:start="0" w:end="0"/>
        <w:contextualSpacing/>
        <w:jc w:val="both"/>
        <w:rPr/>
      </w:pPr>
      <w:r>
        <w:rPr/>
        <w:t>ИСУ должна обеспечивать дистанционное конфигурирование и настройку параметров выполнения измерений и иных действий.</w:t>
      </w:r>
    </w:p>
    <w:p>
      <w:pPr>
        <w:pStyle w:val="ListParagraph1"/>
        <w:widowControl w:val="false"/>
        <w:numPr>
          <w:ilvl w:val="2"/>
          <w:numId w:val="1"/>
        </w:numPr>
        <w:spacing w:lineRule="auto" w:line="324" w:before="120" w:after="0"/>
        <w:ind w:firstLine="1134" w:start="0" w:end="0"/>
        <w:contextualSpacing/>
        <w:jc w:val="both"/>
        <w:rPr/>
      </w:pPr>
      <w:r>
        <w:rPr/>
        <w:t>ИСУ должна обеспечивать ведение единого времени с точность не хуже ± 5.0 секунды в сутки с внешней автоматической коррекцией (синхронизацией), работающей в составе СОЕВ.</w:t>
      </w:r>
    </w:p>
    <w:p>
      <w:pPr>
        <w:pStyle w:val="ListParagraph1"/>
        <w:widowControl w:val="false"/>
        <w:numPr>
          <w:ilvl w:val="2"/>
          <w:numId w:val="1"/>
        </w:numPr>
        <w:tabs>
          <w:tab w:val="clear" w:pos="708"/>
          <w:tab w:val="left" w:pos="567" w:leader="none"/>
        </w:tabs>
        <w:spacing w:lineRule="auto" w:line="324" w:before="120" w:after="0"/>
        <w:ind w:firstLine="1134" w:start="0" w:end="0"/>
        <w:contextualSpacing/>
        <w:jc w:val="both"/>
        <w:rPr/>
      </w:pPr>
      <w:r>
        <w:rPr/>
        <w:t>ИСУ должна обеспечивать формирование балансов электрической энергии как по отдельным объектам, так и по группе, в автоматизированном и автоматическом режимах.</w:t>
      </w:r>
    </w:p>
    <w:p>
      <w:pPr>
        <w:pStyle w:val="ListParagraph1"/>
        <w:widowControl/>
        <w:numPr>
          <w:ilvl w:val="2"/>
          <w:numId w:val="1"/>
        </w:numPr>
        <w:spacing w:lineRule="auto" w:line="324" w:before="120" w:after="0"/>
        <w:ind w:firstLine="1134" w:start="0" w:end="0"/>
        <w:contextualSpacing/>
        <w:jc w:val="both"/>
        <w:rPr/>
      </w:pPr>
      <w:r>
        <w:rPr/>
        <w:t>ИСУ учета должна обеспечивать успешность автоматического опроса приборов учета не менее 95 %.</w:t>
      </w:r>
    </w:p>
    <w:p>
      <w:pPr>
        <w:pStyle w:val="ListParagraph1"/>
        <w:widowControl/>
        <w:numPr>
          <w:ilvl w:val="2"/>
          <w:numId w:val="1"/>
        </w:numPr>
        <w:spacing w:lineRule="auto" w:line="324" w:before="120" w:after="0"/>
        <w:ind w:firstLine="1134" w:start="0" w:end="0"/>
        <w:contextualSpacing/>
        <w:jc w:val="both"/>
        <w:rPr/>
      </w:pPr>
      <w:r>
        <w:rPr/>
        <w:t xml:space="preserve"> </w:t>
      </w:r>
      <w:r>
        <w:rPr/>
        <w:t>В ИСУ для пользователей интеллектуальной системы учета должны быть реализованы следующие функции:</w:t>
      </w:r>
    </w:p>
    <w:p>
      <w:pPr>
        <w:pStyle w:val="ListParagraph1"/>
        <w:widowControl w:val="false"/>
        <w:spacing w:lineRule="auto" w:line="324" w:before="120" w:after="0"/>
        <w:ind w:firstLine="1134" w:start="0" w:end="0"/>
        <w:contextualSpacing/>
        <w:jc w:val="both"/>
        <w:rPr/>
      </w:pPr>
      <w:r>
        <w:rPr/>
        <w:t>а) передача показаний и результатов измерений прибора учета электрической энергии, присоединенного к интеллектуальной системе учета;</w:t>
      </w:r>
    </w:p>
    <w:p>
      <w:pPr>
        <w:pStyle w:val="ListParagraph1"/>
        <w:widowControl w:val="false"/>
        <w:spacing w:lineRule="auto" w:line="324" w:before="120" w:after="0"/>
        <w:ind w:firstLine="1134" w:start="0" w:end="0"/>
        <w:contextualSpacing/>
        <w:jc w:val="both"/>
        <w:rPr/>
      </w:pPr>
      <w:r>
        <w:rPr/>
        <w:t>б) предоставление информации о количестве и иных параметрах электрической энергии;</w:t>
      </w:r>
    </w:p>
    <w:p>
      <w:pPr>
        <w:pStyle w:val="ListParagraph1"/>
        <w:widowControl w:val="false"/>
        <w:spacing w:lineRule="auto" w:line="324" w:before="120" w:after="0"/>
        <w:ind w:firstLine="1134" w:start="0" w:end="0"/>
        <w:contextualSpacing/>
        <w:jc w:val="both"/>
        <w:rPr/>
      </w:pPr>
      <w:r>
        <w:rPr/>
        <w:t>в) полное и (или) частичное ограничение режима потребления электрической энергии (приостановление или ограничение предоставления коммунальной услуги), а также возобновление подачи электрической энергии;</w:t>
      </w:r>
    </w:p>
    <w:p>
      <w:pPr>
        <w:pStyle w:val="ListParagraph1"/>
        <w:widowControl w:val="false"/>
        <w:spacing w:lineRule="auto" w:line="324" w:before="120" w:after="0"/>
        <w:ind w:firstLine="1134" w:start="0" w:end="0"/>
        <w:contextualSpacing/>
        <w:jc w:val="both"/>
        <w:rPr/>
      </w:pPr>
      <w:r>
        <w:rPr/>
        <w:t>г) установление и изменение зон суток (часов, дней недели, месяцев), по которым прибором учета электрической энергии, присоединенным к интеллектуальной системе учета, осуществляется суммирование объемов электрической энергии в соответствии с дифференциацией тарифов (цен), предусмотренной законодательством Российской Федерации (далее - тарифные зоны);</w:t>
      </w:r>
    </w:p>
    <w:p>
      <w:pPr>
        <w:pStyle w:val="ListParagraph1"/>
        <w:widowControl w:val="false"/>
        <w:spacing w:lineRule="auto" w:line="324" w:before="120" w:after="0"/>
        <w:ind w:firstLine="1134" w:start="0" w:end="0"/>
        <w:contextualSpacing/>
        <w:jc w:val="both"/>
        <w:rPr/>
      </w:pPr>
      <w:r>
        <w:rPr/>
        <w:t>д) передача данных о параметрах настройки и событиях, зафиксированных прибором учета электрической энергии, присоединенным к интеллектуальной системе учета;</w:t>
      </w:r>
    </w:p>
    <w:p>
      <w:pPr>
        <w:pStyle w:val="ListParagraph1"/>
        <w:widowControl w:val="false"/>
        <w:spacing w:lineRule="auto" w:line="324" w:before="120" w:after="0"/>
        <w:ind w:firstLine="1134" w:start="0" w:end="0"/>
        <w:contextualSpacing/>
        <w:jc w:val="both"/>
        <w:rPr/>
      </w:pPr>
      <w:r>
        <w:rPr/>
        <w:t>е) передача справочной информации;</w:t>
      </w:r>
    </w:p>
    <w:p>
      <w:pPr>
        <w:pStyle w:val="ListParagraph1"/>
        <w:widowControl w:val="false"/>
        <w:spacing w:lineRule="auto" w:line="324" w:before="120" w:after="0"/>
        <w:ind w:firstLine="1134" w:start="0" w:end="0"/>
        <w:contextualSpacing/>
        <w:jc w:val="both"/>
        <w:rPr/>
      </w:pPr>
      <w:r>
        <w:rPr/>
        <w:t>ж) передача архива данных;</w:t>
      </w:r>
    </w:p>
    <w:p>
      <w:pPr>
        <w:pStyle w:val="ListParagraph1"/>
        <w:widowControl w:val="false"/>
        <w:spacing w:lineRule="auto" w:line="324" w:before="120" w:after="0"/>
        <w:ind w:firstLine="1134" w:start="0" w:end="0"/>
        <w:contextualSpacing/>
        <w:jc w:val="both"/>
        <w:rPr/>
      </w:pPr>
      <w:r>
        <w:rPr/>
        <w:t>з) оповещение о возможных недостоверных данных, поступающих с приборов учета в случае срабатывания индикаторов вскрытия электронных пломб на корпусе и клеммной крышке прибора учета, воздействия магнитным полем на элементы прибора учета, неработоспособности прибора учета вследствие аппаратного или программного сбоя, его отключения (после повторного включения), перезагрузки;</w:t>
      </w:r>
    </w:p>
    <w:p>
      <w:pPr>
        <w:pStyle w:val="ListParagraph1"/>
        <w:widowControl w:val="false"/>
        <w:spacing w:lineRule="auto" w:line="324" w:before="120" w:after="0"/>
        <w:ind w:firstLine="1134" w:start="0" w:end="0"/>
        <w:contextualSpacing/>
        <w:jc w:val="both"/>
        <w:rPr/>
      </w:pPr>
      <w:r>
        <w:rPr/>
        <w:t>и) формирование и экспорт отчета в виде электронного документа, содержащего в том числе сведения, указанные в подпункте «в 1» пункта 2.2.25 настоящего Технического задания, а также автоматизированное подписание указанного отчета в момент его формирования усиленной квалифицированной электронной подписью владельца интеллектуальной системы учета, подтверждающей корректность сведений, содержащихся в интеллектуальной системе учета;</w:t>
      </w:r>
    </w:p>
    <w:p>
      <w:pPr>
        <w:pStyle w:val="ListParagraph1"/>
        <w:widowControl w:val="false"/>
        <w:spacing w:lineRule="auto" w:line="324" w:before="120" w:after="0"/>
        <w:ind w:firstLine="1134" w:start="0" w:end="0"/>
        <w:contextualSpacing/>
        <w:jc w:val="both"/>
        <w:rPr/>
      </w:pPr>
      <w:r>
        <w:rPr/>
        <w:t>к) формирование и экспорт не чаще одного раза в месяц по запросу, направляемому организациями, указанными в подпункте «ж» пункта 6 Правил предоставления доступа к минимальному набору функций, профиля мощности в получасовой разбивке, полученного с прибора учета, определяющего объемы потребленной (произведенной) электрической энергии в отношении точек поставки розничного рынка, совпадающих с точками поставки, входящими в состав групп точек поставки на оптовом рынке электрической энергии и мощности.</w:t>
      </w:r>
    </w:p>
    <w:p>
      <w:pPr>
        <w:pStyle w:val="ListParagraph1"/>
        <w:widowControl w:val="false"/>
        <w:numPr>
          <w:ilvl w:val="2"/>
          <w:numId w:val="1"/>
        </w:numPr>
        <w:spacing w:lineRule="auto" w:line="324" w:before="120" w:after="0"/>
        <w:ind w:firstLine="1134" w:start="0" w:end="0"/>
        <w:contextualSpacing/>
        <w:jc w:val="both"/>
        <w:rPr/>
      </w:pPr>
      <w:r>
        <w:rPr/>
        <w:t>В состав передаваемых показаний и результатов измерений прибора учета электрической энергии, присоединенного к ИСУ, входят все показания и результаты измерений прибора учета электрической энергии, которые были использованы для формирования предоставляемой в соответствии с Правилами предоставления доступа к минимальному набору функций информации о количестве и иных параметрах электрической энергии.</w:t>
      </w:r>
    </w:p>
    <w:p>
      <w:pPr>
        <w:pStyle w:val="ListParagraph1"/>
        <w:widowControl w:val="false"/>
        <w:numPr>
          <w:ilvl w:val="2"/>
          <w:numId w:val="1"/>
        </w:numPr>
        <w:spacing w:lineRule="auto" w:line="324" w:before="120" w:after="0"/>
        <w:ind w:firstLine="1134" w:start="0" w:end="0"/>
        <w:contextualSpacing/>
        <w:jc w:val="both"/>
        <w:rPr/>
      </w:pPr>
      <w:r>
        <w:rPr/>
        <w:t>В состав информации о количестве и иных параметрах электрической энергии входят:</w:t>
      </w:r>
    </w:p>
    <w:p>
      <w:pPr>
        <w:pStyle w:val="ListParagraph1"/>
        <w:widowControl w:val="false"/>
        <w:spacing w:lineRule="auto" w:line="324" w:before="120" w:after="0"/>
        <w:ind w:firstLine="1134" w:start="0" w:end="0"/>
        <w:contextualSpacing/>
        <w:jc w:val="both"/>
        <w:rPr/>
      </w:pPr>
      <w:r>
        <w:rPr/>
        <w:t>а) объем принятой и отданной электрической энергии, учтенный по точке поставки, в том числе по тарифным зонам и в случаях, предусмотренных Правилами предоставления доступа к минимальному набору функций, в почасовой или получасовой разбивке;</w:t>
      </w:r>
    </w:p>
    <w:p>
      <w:pPr>
        <w:pStyle w:val="ListParagraph1"/>
        <w:widowControl w:val="false"/>
        <w:spacing w:lineRule="auto" w:line="324" w:before="120" w:after="0"/>
        <w:ind w:firstLine="1134" w:start="0" w:end="0"/>
        <w:contextualSpacing/>
        <w:jc w:val="both"/>
        <w:rPr/>
      </w:pPr>
      <w:r>
        <w:rPr/>
        <w:t>б) объем принятой и отданной реактивной энергии, учтенный по точке поставки, в том числе по тарифным зонам;</w:t>
      </w:r>
    </w:p>
    <w:p>
      <w:pPr>
        <w:pStyle w:val="ListParagraph1"/>
        <w:widowControl w:val="false"/>
        <w:spacing w:lineRule="auto" w:line="324" w:before="120" w:after="0"/>
        <w:ind w:firstLine="1134" w:start="0" w:end="0"/>
        <w:contextualSpacing/>
        <w:jc w:val="both"/>
        <w:rPr/>
      </w:pPr>
      <w:r>
        <w:rPr/>
        <w:t>в) порог превышения соотношения величин потребления активной и реактивной мощности, а также длительность отклонения соотношения потребления активной и реактивной мощности от предельного значения, установленного в соответствии с нормативными правовыми актами Российской Федерации в сфере электроэнергетики, и максимального значения отклонения в расчетном периоде по точке поставки;</w:t>
      </w:r>
    </w:p>
    <w:p>
      <w:pPr>
        <w:pStyle w:val="ListParagraph1"/>
        <w:widowControl w:val="false"/>
        <w:spacing w:lineRule="auto" w:line="324" w:before="120" w:after="0"/>
        <w:ind w:firstLine="1134" w:start="0" w:end="0"/>
        <w:contextualSpacing/>
        <w:jc w:val="both"/>
        <w:rPr/>
      </w:pPr>
      <w:r>
        <w:rPr/>
        <w:t>г) значения максимальных в каждые рабочие сутки расчетного периода почасовых объемов электрической энергии, учтенные по точке поставки в установленные системным оператором плановые часы пиковой нагрузки, и среднее арифметическое из данных значений за расчетный период;</w:t>
      </w:r>
    </w:p>
    <w:p>
      <w:pPr>
        <w:pStyle w:val="ListParagraph1"/>
        <w:widowControl w:val="false"/>
        <w:spacing w:lineRule="auto" w:line="324" w:before="120" w:after="0"/>
        <w:ind w:firstLine="1134" w:start="0" w:end="0"/>
        <w:contextualSpacing/>
        <w:jc w:val="both"/>
        <w:rPr/>
      </w:pPr>
      <w:r>
        <w:rPr/>
        <w:t>д) значения максимальной и минимальной фактической активной, реактивной и полной мощности по точке поставки;</w:t>
      </w:r>
    </w:p>
    <w:p>
      <w:pPr>
        <w:pStyle w:val="ListParagraph1"/>
        <w:widowControl w:val="false"/>
        <w:spacing w:lineRule="auto" w:line="324" w:before="120" w:after="0"/>
        <w:ind w:firstLine="1134" w:start="0" w:end="0"/>
        <w:contextualSpacing/>
        <w:jc w:val="both"/>
        <w:rPr/>
      </w:pPr>
      <w:r>
        <w:rPr/>
        <w:t>е) информация о величине резервируемой максимальной мощности;</w:t>
      </w:r>
    </w:p>
    <w:p>
      <w:pPr>
        <w:pStyle w:val="ListParagraph1"/>
        <w:widowControl w:val="false"/>
        <w:spacing w:lineRule="auto" w:line="324" w:before="120" w:after="0"/>
        <w:ind w:firstLine="1134" w:start="0" w:end="0"/>
        <w:contextualSpacing/>
        <w:jc w:val="both"/>
        <w:rPr/>
      </w:pPr>
      <w:r>
        <w:rPr/>
        <w:t>ж) величина потерь электрической энергии в объектах электросетевого хозяйства на участке сети от физического места установки прибора учета (далее - точка учета) до точки поставки;</w:t>
      </w:r>
    </w:p>
    <w:p>
      <w:pPr>
        <w:pStyle w:val="ListParagraph1"/>
        <w:widowControl w:val="false"/>
        <w:spacing w:lineRule="auto" w:line="324" w:before="120" w:after="0"/>
        <w:ind w:firstLine="1134" w:start="0" w:end="0"/>
        <w:contextualSpacing/>
        <w:jc w:val="both"/>
        <w:rPr/>
      </w:pPr>
      <w:r>
        <w:rPr/>
        <w:t>з) информация о нарушении индивидуальных параметров качества электроснабжения по точке учета;</w:t>
      </w:r>
    </w:p>
    <w:p>
      <w:pPr>
        <w:pStyle w:val="ListParagraph1"/>
        <w:widowControl w:val="false"/>
        <w:spacing w:lineRule="auto" w:line="324" w:before="120" w:after="0"/>
        <w:ind w:firstLine="1134" w:start="0" w:end="0"/>
        <w:contextualSpacing/>
        <w:jc w:val="both"/>
        <w:rPr/>
      </w:pPr>
      <w:r>
        <w:rPr/>
        <w:t>и) алгоритм определения объема принятой и отданной электрической энергии по точке поставки на основании результатов измерений приборов учета.</w:t>
      </w:r>
    </w:p>
    <w:p>
      <w:pPr>
        <w:pStyle w:val="ListParagraph1"/>
        <w:widowControl w:val="false"/>
        <w:numPr>
          <w:ilvl w:val="2"/>
          <w:numId w:val="1"/>
        </w:numPr>
        <w:spacing w:lineRule="auto" w:line="324" w:before="120" w:after="0"/>
        <w:ind w:firstLine="1134" w:start="0" w:end="0"/>
        <w:contextualSpacing/>
        <w:jc w:val="both"/>
        <w:rPr/>
      </w:pPr>
      <w:r>
        <w:rPr/>
        <w:t>Информация о принятом и отданном объеме электрической энергии и объеме реактивной энергии, учтенных по точке поставки, определяется на основании показаний приборов учета электрической энергии, присоединенных к интеллектуальной системе учета, и предоставляется пользователям интеллектуальной системы учета:</w:t>
      </w:r>
    </w:p>
    <w:p>
      <w:pPr>
        <w:pStyle w:val="ListParagraph1"/>
        <w:widowControl w:val="false"/>
        <w:spacing w:lineRule="auto" w:line="324" w:before="120" w:after="0"/>
        <w:ind w:firstLine="1134" w:start="0" w:end="0"/>
        <w:contextualSpacing/>
        <w:jc w:val="both"/>
        <w:rPr/>
      </w:pPr>
      <w:r>
        <w:rPr/>
        <w:t>в отношении точек поставки потребителей электрической энергии, относящихся к населению и приравненным к населению потребителям, иных потребителей электрической энергии - физических лиц, а также потребителей электрической энергии - юридических лиц - в почасовой разбивке;</w:t>
      </w:r>
    </w:p>
    <w:p>
      <w:pPr>
        <w:pStyle w:val="ListParagraph1"/>
        <w:widowControl w:val="false"/>
        <w:spacing w:lineRule="auto" w:line="324" w:before="120" w:after="0"/>
        <w:ind w:firstLine="1134" w:start="0" w:end="0"/>
        <w:contextualSpacing/>
        <w:jc w:val="both"/>
        <w:rPr/>
      </w:pPr>
      <w:r>
        <w:rPr/>
        <w:t>в отношении точек поставки потребителей электрической энергии - юридических лиц, используемых при расчете обязательств по продаже и покупке электрической энергии (мощности) на оптовом рынке электрической энергии (мощности), - в получасовой разбивке.</w:t>
      </w:r>
    </w:p>
    <w:p>
      <w:pPr>
        <w:pStyle w:val="ListParagraph1"/>
        <w:widowControl w:val="false"/>
        <w:numPr>
          <w:ilvl w:val="2"/>
          <w:numId w:val="1"/>
        </w:numPr>
        <w:spacing w:lineRule="auto" w:line="324" w:before="120" w:after="0"/>
        <w:ind w:firstLine="1134" w:start="0" w:end="0"/>
        <w:contextualSpacing/>
        <w:jc w:val="both"/>
        <w:rPr/>
      </w:pPr>
      <w:r>
        <w:rPr/>
        <w:t>Информация об объеме электрической энергии, учтенном по точке поставки, в том числе по тарифным зонам, определяется на основании показаний приборов учета электрической энергии, присоединенных к интеллектуальной системе учета, и предоставляется пользователям интеллектуальной системы учета в отношении точек поставки потребителей электрической энергии, учет объемов покупки электрической энергии для которых осуществляется по зонам суток расчетного периода.</w:t>
      </w:r>
    </w:p>
    <w:p>
      <w:pPr>
        <w:pStyle w:val="ListParagraph1"/>
        <w:widowControl w:val="false"/>
        <w:numPr>
          <w:ilvl w:val="2"/>
          <w:numId w:val="1"/>
        </w:numPr>
        <w:spacing w:lineRule="auto" w:line="324" w:before="120" w:after="0"/>
        <w:ind w:firstLine="1134" w:start="0" w:end="0"/>
        <w:contextualSpacing/>
        <w:jc w:val="both"/>
        <w:rPr/>
      </w:pPr>
      <w:r>
        <w:rPr/>
        <w:t>Информация о превышении соотношения величин потребления активной и реактивной мощности, а также о длительности отклонения соотношения потребления активной и реактивной мощности от предельного значения и о максимальном значении отклонения в расчетном периоде по точке поставки определяется по показаниям приборов учета электрической энергии на основании данных профилей нагрузки и предоставляется за расчетный период пользователям интеллектуальной системы учета в отношении точек поставки потребителей электрической энергии - юридических лиц с максимальной мощностью энергопринимающих устройств свыше 150 кВт и в отношении точек поставки сетевых организаций.</w:t>
      </w:r>
    </w:p>
    <w:p>
      <w:pPr>
        <w:pStyle w:val="ListParagraph1"/>
        <w:widowControl w:val="false"/>
        <w:numPr>
          <w:ilvl w:val="2"/>
          <w:numId w:val="1"/>
        </w:numPr>
        <w:spacing w:lineRule="auto" w:line="324" w:before="120" w:after="0"/>
        <w:ind w:firstLine="1134" w:start="0" w:end="0"/>
        <w:contextualSpacing/>
        <w:jc w:val="both"/>
        <w:rPr/>
      </w:pPr>
      <w:r>
        <w:rPr/>
        <w:t>Информация о значениях максимальных в каждые рабочие сутки расчетного периода почасовых объемов электрической энергии, учтенных по точке поставки в установленные системным оператором плановые часы пиковой нагрузки, и среднем арифметическом значении из данных значений определяется на основании информации об объеме принятой и отданной электрической энергии, учтенной по точке поставки, и предоставляется за расчетный период пользователям интеллектуальной системы учета в отношении точек поставки потребителей электрической энергии - юридических лиц, используемых в расчетах ставки за мощность.</w:t>
      </w:r>
    </w:p>
    <w:p>
      <w:pPr>
        <w:pStyle w:val="ListParagraph1"/>
        <w:widowControl w:val="false"/>
        <w:numPr>
          <w:ilvl w:val="2"/>
          <w:numId w:val="1"/>
        </w:numPr>
        <w:spacing w:lineRule="auto" w:line="324" w:before="120" w:after="0"/>
        <w:ind w:firstLine="1134" w:start="0" w:end="0"/>
        <w:contextualSpacing/>
        <w:jc w:val="both"/>
        <w:rPr/>
      </w:pPr>
      <w:r>
        <w:rPr/>
        <w:t>Информация о значениях максимальной и минимальной фактической активной, реактивной и полной мощности по точке поставки определяется по показаниям приборов учета электрической энергии и предоставляется за расчетный период пользователям интеллектуальной системы учета в отношении точек поставки потребителей электрической энергии - юридических лиц с максимальной мощностью энергопринимающих устройств свыше 150 кВт и сетевых организаций, а также в отношении точек поставки потребителей электрической энергии, относящихся к населению и приравненным к населению потребителям, иных потребителей электрической энергии - физических лиц, а также потребителей электрической энергии - юридических лиц с максимальной мощностью энергопринимающих устройств до 150 кВт (включительно) по запросу соответствующих потребителей электрической энергии.</w:t>
      </w:r>
    </w:p>
    <w:p>
      <w:pPr>
        <w:pStyle w:val="ListParagraph1"/>
        <w:widowControl w:val="false"/>
        <w:numPr>
          <w:ilvl w:val="2"/>
          <w:numId w:val="1"/>
        </w:numPr>
        <w:spacing w:lineRule="auto" w:line="324" w:before="120" w:after="0"/>
        <w:ind w:firstLine="1134" w:start="0" w:end="0"/>
        <w:contextualSpacing/>
        <w:jc w:val="both"/>
        <w:rPr/>
      </w:pPr>
      <w:r>
        <w:rPr/>
        <w:t>Информация о нарушении индивидуальных параметров качества электроснабжения (медленное изменение напряжения и перенапряжение) по точке учета предоставляется за расчетный период пользователям ИСУ в отношении точек измерения потребителей электрической энергии и сетевых организаций по показаниям приборов учета электрической энергии.</w:t>
      </w:r>
    </w:p>
    <w:p>
      <w:pPr>
        <w:pStyle w:val="ListParagraph1"/>
        <w:widowControl w:val="false"/>
        <w:spacing w:lineRule="auto" w:line="324" w:before="120" w:after="0"/>
        <w:ind w:firstLine="1134" w:start="0" w:end="0"/>
        <w:contextualSpacing/>
        <w:jc w:val="both"/>
        <w:rPr/>
      </w:pPr>
      <w:r>
        <w:rPr/>
        <w:t>Параметр медленного изменения напряжения, определяемый суммарной продолжительностью времени положительного и отрицательного отклонения уровня напряжения в точке измерения электрической энергии, считается нарушенным, если отклонение произошло на более чем 10 процентов от номинального напряжения в интервале измерений, равном 10 минутам.</w:t>
      </w:r>
    </w:p>
    <w:p>
      <w:pPr>
        <w:pStyle w:val="ListParagraph1"/>
        <w:widowControl w:val="false"/>
        <w:spacing w:lineRule="auto" w:line="324" w:before="120" w:after="0"/>
        <w:ind w:firstLine="1134" w:start="0" w:end="0"/>
        <w:contextualSpacing/>
        <w:jc w:val="both"/>
        <w:rPr/>
      </w:pPr>
      <w:r>
        <w:rPr/>
        <w:t>Параметр перенапряжения, определяемый количеством фактов положительного отклонения уровня напряжения в точке поставки электрической энергии, считается нарушенным, если отклонение произошло на 20 процентов и более от номинального напряжения.</w:t>
      </w:r>
    </w:p>
    <w:p>
      <w:pPr>
        <w:pStyle w:val="ListParagraph1"/>
        <w:widowControl w:val="false"/>
        <w:numPr>
          <w:ilvl w:val="2"/>
          <w:numId w:val="1"/>
        </w:numPr>
        <w:spacing w:lineRule="auto" w:line="324" w:before="120" w:after="0"/>
        <w:ind w:firstLine="1134" w:start="0" w:end="0"/>
        <w:contextualSpacing/>
        <w:jc w:val="both"/>
        <w:rPr/>
      </w:pPr>
      <w:r>
        <w:rPr/>
        <w:t>Реализация функции полного и (или) частичного ограничения режима потребления электрической энергии (приостановление или ограничение предоставления коммунальной услуги), а также возобновления подачи электрической энергии осуществляется в отношении точек поставки, оснащенных приборами учета электрической энергии, присоединенными к интеллектуальной системе учета, имеющих техническую возможность в соответствии с Правилами предоставления доступа к минимальному набору функций, и должна обеспечивать соблюдение порядка, предусмотренного Правилами полного и (или) частичного ограничения режима потребления электрической энергии, утвержденными постановлением Правительства Российской Федерации от 4 мая 2012 г. № 442 «О функционировании розничных рынков электрической энергии, полном и (или) частичном ограничении режима потребления электрической энергии», Правилами предоставления коммунальных услуг собственникам и пользователям помещений в многоквартирных домах и жилых домов.</w:t>
      </w:r>
    </w:p>
    <w:p>
      <w:pPr>
        <w:pStyle w:val="ListParagraph1"/>
        <w:widowControl w:val="false"/>
        <w:numPr>
          <w:ilvl w:val="2"/>
          <w:numId w:val="1"/>
        </w:numPr>
        <w:spacing w:lineRule="auto" w:line="324" w:before="120" w:after="0"/>
        <w:ind w:firstLine="1134" w:start="0" w:end="0"/>
        <w:contextualSpacing/>
        <w:jc w:val="both"/>
        <w:rPr/>
      </w:pPr>
      <w:r>
        <w:rPr/>
        <w:t>Реализация функции установления и изменения зон суток (часов, дней недели, месяцев), по которым прибором учета электрической энергии, присоединенным к интеллектуальной системе учета, осуществляется суммирование объемов электрической энергии, в случаях и порядке, которые предусмотрены Основными положениями функционирования розничных рынков электрической энергии и (или) Правилами предоставления коммунальных услуг собственникам и пользователям помещений в многоквартирных домах и жилых домов, должна обеспечивать удаленное изменение тарифных зон в приборе учета электрической энергии, присоединенном к интеллектуальной системе учета. Дополнительно для гарантирующего поставщика (энергосбытовой организации) должна обеспечиваться возможность отнесения точек поставки обслуживаемых им потребителей электрической энергии, осуществивших выбор дифференцированного тарифа, к соответствующим тарифным зонам.</w:t>
      </w:r>
    </w:p>
    <w:p>
      <w:pPr>
        <w:pStyle w:val="ListParagraph1"/>
        <w:widowControl w:val="false"/>
        <w:numPr>
          <w:ilvl w:val="2"/>
          <w:numId w:val="1"/>
        </w:numPr>
        <w:spacing w:lineRule="auto" w:line="324" w:before="120" w:after="0"/>
        <w:ind w:firstLine="1134" w:start="0" w:end="0"/>
        <w:contextualSpacing/>
        <w:jc w:val="both"/>
        <w:rPr/>
      </w:pPr>
      <w:r>
        <w:rPr/>
        <w:t>В состав справочной информации входит следующая информация в отношении точки поставки (точки учета):</w:t>
      </w:r>
    </w:p>
    <w:p>
      <w:pPr>
        <w:pStyle w:val="ListParagraph1"/>
        <w:widowControl w:val="false"/>
        <w:spacing w:lineRule="auto" w:line="324" w:before="120" w:after="0"/>
        <w:ind w:firstLine="1134" w:start="0" w:end="0"/>
        <w:contextualSpacing/>
        <w:jc w:val="both"/>
        <w:rPr/>
      </w:pPr>
      <w:r>
        <w:rPr/>
        <w:t>а) уникальный идентификатор точки поставки в соответствии с методикой и порядком кодификации точек поставки (точек учета), устанавливаемыми федеральным органом исполнительной власти, уполномоченным Правительством Российской Федерации на осуществление функций по выработке и реализации государственной политики и нормативно-правовому регулированию в топливно-энергетическом комплексе;</w:t>
      </w:r>
    </w:p>
    <w:p>
      <w:pPr>
        <w:pStyle w:val="ListParagraph1"/>
        <w:widowControl w:val="false"/>
        <w:spacing w:lineRule="auto" w:line="324" w:before="120" w:after="0"/>
        <w:ind w:firstLine="1134" w:start="0" w:end="0"/>
        <w:contextualSpacing/>
        <w:jc w:val="both"/>
        <w:rPr/>
      </w:pPr>
      <w:r>
        <w:rPr/>
        <w:t>б) сведения о пользователях интеллектуальной системы учета по соответствующей точке поставки (точке учета):</w:t>
      </w:r>
    </w:p>
    <w:p>
      <w:pPr>
        <w:pStyle w:val="ListParagraph1"/>
        <w:widowControl w:val="false"/>
        <w:spacing w:lineRule="auto" w:line="324" w:before="120" w:after="0"/>
        <w:ind w:firstLine="1134" w:start="0" w:end="0"/>
        <w:contextualSpacing/>
        <w:jc w:val="both"/>
        <w:rPr/>
      </w:pPr>
      <w:r>
        <w:rPr/>
        <w:t>для юридических лиц - полное наименование, номер записи в Едином государственном реестре юридических лиц и дата ее внесения в реестр;</w:t>
      </w:r>
    </w:p>
    <w:p>
      <w:pPr>
        <w:pStyle w:val="ListParagraph1"/>
        <w:widowControl w:val="false"/>
        <w:spacing w:lineRule="auto" w:line="324" w:before="120" w:after="0"/>
        <w:ind w:firstLine="1134" w:start="0" w:end="0"/>
        <w:contextualSpacing/>
        <w:jc w:val="both"/>
        <w:rPr/>
      </w:pPr>
      <w:r>
        <w:rPr/>
        <w:t>для индивидуальных предпринимателей - номер записи в Едином государственном реестре индивидуальных предпринимателей и дата ее внесения в реестр;</w:t>
      </w:r>
    </w:p>
    <w:p>
      <w:pPr>
        <w:pStyle w:val="ListParagraph1"/>
        <w:widowControl w:val="false"/>
        <w:spacing w:lineRule="auto" w:line="324" w:before="120" w:after="0"/>
        <w:ind w:firstLine="1134" w:start="0" w:end="0"/>
        <w:contextualSpacing/>
        <w:jc w:val="both"/>
        <w:rPr/>
      </w:pPr>
      <w:r>
        <w:rPr/>
        <w:t>адрес энергопринимающего устройства;</w:t>
      </w:r>
    </w:p>
    <w:p>
      <w:pPr>
        <w:pStyle w:val="ListParagraph1"/>
        <w:widowControl w:val="false"/>
        <w:spacing w:lineRule="auto" w:line="324" w:before="120" w:after="0"/>
        <w:ind w:firstLine="1134" w:start="0" w:end="0"/>
        <w:contextualSpacing/>
        <w:jc w:val="both"/>
        <w:rPr/>
      </w:pPr>
      <w:r>
        <w:rPr/>
        <w:t>номер договора энергоснабжения (лицевого счета физического лица, договора, содержащего положения о предоставлении коммунальной услуги по электроснабжению, договора купли-продажи (поставки) электрической энергии (мощности), договора оказания услуг по передаче электрической энергии, соглашения);</w:t>
      </w:r>
    </w:p>
    <w:p>
      <w:pPr>
        <w:pStyle w:val="ListParagraph1"/>
        <w:widowControl w:val="false"/>
        <w:spacing w:lineRule="auto" w:line="324" w:before="120" w:after="0"/>
        <w:ind w:firstLine="1134" w:start="0" w:end="0"/>
        <w:contextualSpacing/>
        <w:jc w:val="both"/>
        <w:rPr/>
      </w:pPr>
      <w:r>
        <w:rPr/>
        <w:t>в) характеристики точки учета (места установки, типы и модификации, регистрационные номера средств измерений утвержденного типа согласно информации об утвержденных типах средств измерений, размещаемых Федеральным информационным фондом по обеспечению единства измерений, заводские номера используемых приборов учета электрической энергии, трансформаторов тока (при наличии), трансформаторов напряжения (при наличии), их метрологические характеристики, дата ввода в эксплуатацию, дата последней и следующей поверки, дата последней инструментальной проверки, дата последнего снятия результатов измерений с прибора учета электрической энергии);</w:t>
      </w:r>
    </w:p>
    <w:p>
      <w:pPr>
        <w:pStyle w:val="ListParagraph1"/>
        <w:widowControl w:val="false"/>
        <w:spacing w:lineRule="auto" w:line="324" w:before="120" w:after="0"/>
        <w:ind w:firstLine="1134" w:start="0" w:end="0"/>
        <w:contextualSpacing/>
        <w:jc w:val="both"/>
        <w:rPr/>
      </w:pPr>
      <w:r>
        <w:rPr/>
        <w:t>г) характеристики объектов электросетевого хозяйства, используемых для расчета потерь электрической энергии от места установки прибора учета электрической энергии (точки учета) до точки поставки электрической энергии (в случае установки приборов учета электрической энергии не на границе балансовой принадлежности);</w:t>
      </w:r>
    </w:p>
    <w:p>
      <w:pPr>
        <w:pStyle w:val="ListParagraph1"/>
        <w:widowControl w:val="false"/>
        <w:spacing w:lineRule="auto" w:line="324" w:before="120" w:after="0"/>
        <w:ind w:firstLine="1134" w:start="0" w:end="0"/>
        <w:contextualSpacing/>
        <w:jc w:val="both"/>
        <w:rPr/>
      </w:pPr>
      <w:r>
        <w:rPr/>
        <w:t>д) основания и порядок использования расчетных способов при определении объема потребления электрической энергии, установленные Правилами предоставления коммунальных услуг собственникам и пользователям помещений в многоквартирных домах и жилых домов и (или) Основными положениями функционирования розничных рынков электрической энергии.</w:t>
      </w:r>
    </w:p>
    <w:p>
      <w:pPr>
        <w:pStyle w:val="ListParagraph1"/>
        <w:widowControl w:val="false"/>
        <w:numPr>
          <w:ilvl w:val="2"/>
          <w:numId w:val="1"/>
        </w:numPr>
        <w:spacing w:lineRule="auto" w:line="324" w:before="120" w:after="0"/>
        <w:ind w:firstLine="1134" w:start="0" w:end="0"/>
        <w:contextualSpacing/>
        <w:jc w:val="both"/>
        <w:rPr/>
      </w:pPr>
      <w:r>
        <w:rPr/>
        <w:t>В состав данных о параметрах настройки и событиях, зафиксированных и хранимых прибором учета электрической энергии, входят данные:</w:t>
      </w:r>
    </w:p>
    <w:p>
      <w:pPr>
        <w:pStyle w:val="ListParagraph1"/>
        <w:widowControl w:val="false"/>
        <w:spacing w:lineRule="auto" w:line="324" w:before="120" w:after="0"/>
        <w:ind w:firstLine="1134" w:start="0" w:end="0"/>
        <w:contextualSpacing/>
        <w:jc w:val="both"/>
        <w:rPr/>
      </w:pPr>
      <w:r>
        <w:rPr/>
        <w:t>а) об изменении параметров настройки прибора учета электрической энергии;</w:t>
      </w:r>
    </w:p>
    <w:p>
      <w:pPr>
        <w:pStyle w:val="ListParagraph1"/>
        <w:widowControl w:val="false"/>
        <w:spacing w:lineRule="auto" w:line="324" w:before="120" w:after="0"/>
        <w:ind w:firstLine="1134" w:start="0" w:end="0"/>
        <w:contextualSpacing/>
        <w:jc w:val="both"/>
        <w:rPr/>
      </w:pPr>
      <w:r>
        <w:rPr/>
        <w:t>б) о коррекции времени прибора учета электрической энергии;</w:t>
      </w:r>
    </w:p>
    <w:p>
      <w:pPr>
        <w:pStyle w:val="ListParagraph1"/>
        <w:widowControl w:val="false"/>
        <w:spacing w:lineRule="auto" w:line="324" w:before="120" w:after="0"/>
        <w:ind w:firstLine="1134" w:start="0" w:end="0"/>
        <w:contextualSpacing/>
        <w:jc w:val="both"/>
        <w:rPr/>
      </w:pPr>
      <w:r>
        <w:rPr/>
        <w:t>в) о сбое, перерыве питания, работе от резервного (внутреннего) источника питания прибора учета электрической энергии;</w:t>
      </w:r>
    </w:p>
    <w:p>
      <w:pPr>
        <w:pStyle w:val="ListParagraph1"/>
        <w:widowControl w:val="false"/>
        <w:spacing w:lineRule="auto" w:line="324" w:before="120" w:after="0"/>
        <w:ind w:firstLine="1134" w:start="0" w:end="0"/>
        <w:contextualSpacing/>
        <w:jc w:val="both"/>
        <w:rPr/>
      </w:pPr>
      <w:r>
        <w:rPr/>
        <w:t>г) о включении (отключении) измерительных цепей прибора учета электрической энергии;</w:t>
      </w:r>
    </w:p>
    <w:p>
      <w:pPr>
        <w:pStyle w:val="ListParagraph1"/>
        <w:widowControl w:val="false"/>
        <w:spacing w:lineRule="auto" w:line="324" w:before="120" w:after="0"/>
        <w:ind w:firstLine="1134" w:start="0" w:end="0"/>
        <w:contextualSpacing/>
        <w:jc w:val="both"/>
        <w:rPr/>
      </w:pPr>
      <w:r>
        <w:rPr/>
        <w:t>д) о нарушении в подключении токовых цепей прибора учета электрической энергии;</w:t>
      </w:r>
    </w:p>
    <w:p>
      <w:pPr>
        <w:pStyle w:val="ListParagraph1"/>
        <w:widowControl w:val="false"/>
        <w:spacing w:lineRule="auto" w:line="324" w:before="120" w:after="0"/>
        <w:ind w:firstLine="1134" w:start="0" w:end="0"/>
        <w:contextualSpacing/>
        <w:jc w:val="both"/>
        <w:rPr/>
      </w:pPr>
      <w:r>
        <w:rPr/>
        <w:t>е) о выходе за заданные пределы значений параметров режима электрической сети по активной мощности, напряжению и частоте;</w:t>
      </w:r>
    </w:p>
    <w:p>
      <w:pPr>
        <w:pStyle w:val="ListParagraph1"/>
        <w:widowControl w:val="false"/>
        <w:spacing w:lineRule="auto" w:line="324" w:before="120" w:after="0"/>
        <w:ind w:firstLine="1134" w:start="0" w:end="0"/>
        <w:contextualSpacing/>
        <w:jc w:val="both"/>
        <w:rPr/>
      </w:pPr>
      <w:r>
        <w:rPr/>
        <w:t>ж) о несанкционированном доступе к работе прибора учета электрической энергии, в том числе о несанкционированном доступе к его программному обеспечению, параметрах и обрабатываемой им информации;</w:t>
      </w:r>
    </w:p>
    <w:p>
      <w:pPr>
        <w:pStyle w:val="ListParagraph1"/>
        <w:widowControl w:val="false"/>
        <w:spacing w:lineRule="auto" w:line="324" w:before="120" w:after="0"/>
        <w:ind w:firstLine="1134" w:start="0" w:end="0"/>
        <w:contextualSpacing/>
        <w:jc w:val="both"/>
        <w:rPr/>
      </w:pPr>
      <w:r>
        <w:rPr/>
        <w:t>з) о сбросе измеряемых значений электрической энергии (мощности).</w:t>
      </w:r>
    </w:p>
    <w:p>
      <w:pPr>
        <w:pStyle w:val="ListParagraph1"/>
        <w:widowControl w:val="false"/>
        <w:numPr>
          <w:ilvl w:val="2"/>
          <w:numId w:val="1"/>
        </w:numPr>
        <w:spacing w:lineRule="auto" w:line="324" w:before="120" w:after="0"/>
        <w:ind w:firstLine="1134" w:start="0" w:end="0"/>
        <w:contextualSpacing/>
        <w:jc w:val="both"/>
        <w:rPr/>
      </w:pPr>
      <w:r>
        <w:rPr/>
        <w:t>Данные об изменении параметров настройки и о событиях, зафиксированных компонентами интеллектуальной системы учета и прибором учета электрической энергии, должны содержать дату и время возникновения соответствующих изменений и (или) событий и (или) их окончания.</w:t>
      </w:r>
    </w:p>
    <w:p>
      <w:pPr>
        <w:pStyle w:val="ListParagraph1"/>
        <w:widowControl w:val="false"/>
        <w:numPr>
          <w:ilvl w:val="2"/>
          <w:numId w:val="1"/>
        </w:numPr>
        <w:spacing w:lineRule="auto" w:line="324" w:before="120" w:after="0"/>
        <w:ind w:firstLine="1134" w:start="0" w:end="0"/>
        <w:contextualSpacing/>
        <w:jc w:val="both"/>
        <w:rPr>
          <w:b/>
        </w:rPr>
      </w:pPr>
      <w:r>
        <w:rPr>
          <w:b/>
        </w:rPr>
        <w:t>Период предоставления информации из архива данных ИСУ должен составлять не менее 3 лет, но не ранее даты присоединения прибора учета электрической энергии к интеллектуальной системе учета.</w:t>
      </w:r>
    </w:p>
    <w:p>
      <w:pPr>
        <w:pStyle w:val="ListParagraph1"/>
        <w:widowControl w:val="false"/>
        <w:numPr>
          <w:ilvl w:val="2"/>
          <w:numId w:val="1"/>
        </w:numPr>
        <w:spacing w:lineRule="auto" w:line="324" w:before="120" w:after="0"/>
        <w:ind w:firstLine="1134" w:start="0" w:end="0"/>
        <w:contextualSpacing/>
        <w:jc w:val="both"/>
        <w:rPr/>
      </w:pPr>
      <w:r>
        <w:rPr/>
        <w:t xml:space="preserve">Информация в ИСУ о показаниях и результатах измерений приборов учета электрической энергии и информация о количестве и иных параметрах электрической энергии, предоставляемая пользователям ИСУ, должна обновляться в отношении точек поставки потребителей электрической энергии, относящихся и (или) приравненных к населению, а также потребителей электрической энергии - юридических лиц с максимальной мощностью энергопринимающих устройств до 150 кВт (включительно) по точкам поставки, не используемым при расчете обязательств по продаже и покупке электрической энергии (мощности) на оптовом рынке электрической энергии (мощности), </w:t>
      </w:r>
      <w:r>
        <w:rPr>
          <w:b/>
        </w:rPr>
        <w:t>не реже одного раза в неделю, а в отношении всех иных точек - не реже одного раза в сутки</w:t>
      </w:r>
      <w:r>
        <w:rPr/>
        <w:t>, если иной срок не установлен соглашением между владельцем интеллектуальной системы учета и ее пользователем.</w:t>
      </w:r>
    </w:p>
    <w:p>
      <w:pPr>
        <w:pStyle w:val="Normal"/>
        <w:widowControl w:val="false"/>
        <w:numPr>
          <w:ilvl w:val="0"/>
          <w:numId w:val="0"/>
        </w:numPr>
        <w:spacing w:lineRule="auto" w:line="324" w:before="120" w:after="60"/>
        <w:ind w:firstLine="709" w:start="0" w:end="0"/>
        <w:jc w:val="both"/>
        <w:outlineLvl w:val="1"/>
        <w:rPr>
          <w:rFonts w:ascii="Times New Roman" w:hAnsi="Times New Roman"/>
          <w:b/>
          <w:sz w:val="28"/>
        </w:rPr>
      </w:pPr>
      <w:r>
        <w:rPr>
          <w:rFonts w:ascii="Times New Roman" w:hAnsi="Times New Roman"/>
          <w:b/>
          <w:sz w:val="24"/>
        </w:rPr>
        <w:t>2.3. Требования к ИИК.</w:t>
      </w:r>
    </w:p>
    <w:p>
      <w:pPr>
        <w:pStyle w:val="ListParagraph1"/>
        <w:widowControl w:val="false"/>
        <w:numPr>
          <w:ilvl w:val="2"/>
          <w:numId w:val="3"/>
        </w:numPr>
        <w:tabs>
          <w:tab w:val="clear" w:pos="708"/>
          <w:tab w:val="left" w:pos="426" w:leader="none"/>
        </w:tabs>
        <w:spacing w:lineRule="auto" w:line="324" w:before="120" w:after="0"/>
        <w:ind w:firstLine="1134" w:start="0" w:end="0"/>
        <w:contextualSpacing/>
        <w:jc w:val="both"/>
        <w:rPr/>
      </w:pPr>
      <w:r>
        <w:rPr/>
        <w:t>Типы применяемых приборов учета электроэнергии должны быть утверждены федеральным органом исполнительной власти по техническому регулированию и метрологии, внесены в федеральный информационный фонд по обеспечению единства измерений и обеспечивать технические и функциональные возможности.</w:t>
      </w:r>
    </w:p>
    <w:p>
      <w:pPr>
        <w:pStyle w:val="ListParagraph1"/>
        <w:widowControl w:val="false"/>
        <w:numPr>
          <w:ilvl w:val="2"/>
          <w:numId w:val="3"/>
        </w:numPr>
        <w:tabs>
          <w:tab w:val="clear" w:pos="708"/>
          <w:tab w:val="left" w:pos="426" w:leader="none"/>
        </w:tabs>
        <w:spacing w:lineRule="auto" w:line="324" w:before="120" w:after="0"/>
        <w:ind w:firstLine="1134" w:start="0" w:end="0"/>
        <w:contextualSpacing/>
        <w:jc w:val="both"/>
        <w:rPr/>
      </w:pPr>
      <w:r>
        <w:rPr/>
        <w:t xml:space="preserve">Однофазные и трехфазные приборы учета электрической энергии должны быть оснащены следующими интерфейсами: </w:t>
      </w:r>
    </w:p>
    <w:p>
      <w:pPr>
        <w:pStyle w:val="ListParagraph1"/>
        <w:widowControl w:val="false"/>
        <w:numPr>
          <w:ilvl w:val="0"/>
          <w:numId w:val="4"/>
        </w:numPr>
        <w:tabs>
          <w:tab w:val="clear" w:pos="708"/>
          <w:tab w:val="left" w:pos="426" w:leader="none"/>
        </w:tabs>
        <w:spacing w:lineRule="auto" w:line="324" w:before="120" w:after="0"/>
        <w:ind w:firstLine="1134" w:start="0" w:end="0"/>
        <w:contextualSpacing/>
        <w:jc w:val="both"/>
        <w:rPr/>
      </w:pPr>
      <w:r>
        <w:rPr/>
        <w:t xml:space="preserve">встроенный радиомодуль LoRaWAN производства ООО «Лартех» с внутренней антенной, </w:t>
      </w:r>
    </w:p>
    <w:p>
      <w:pPr>
        <w:pStyle w:val="ListParagraph1"/>
        <w:widowControl w:val="false"/>
        <w:numPr>
          <w:ilvl w:val="0"/>
          <w:numId w:val="4"/>
        </w:numPr>
        <w:tabs>
          <w:tab w:val="clear" w:pos="708"/>
          <w:tab w:val="left" w:pos="426" w:leader="none"/>
        </w:tabs>
        <w:spacing w:lineRule="auto" w:line="324" w:before="120" w:after="0"/>
        <w:ind w:firstLine="1134" w:start="0" w:end="0"/>
        <w:contextualSpacing/>
        <w:jc w:val="both"/>
        <w:rPr/>
      </w:pPr>
      <w:r>
        <w:rPr/>
        <w:t xml:space="preserve">оптопорт. </w:t>
      </w:r>
    </w:p>
    <w:p>
      <w:pPr>
        <w:pStyle w:val="ListParagraph1"/>
        <w:widowControl w:val="false"/>
        <w:numPr>
          <w:ilvl w:val="2"/>
          <w:numId w:val="3"/>
        </w:numPr>
        <w:tabs>
          <w:tab w:val="clear" w:pos="708"/>
          <w:tab w:val="left" w:pos="426" w:leader="none"/>
        </w:tabs>
        <w:spacing w:lineRule="auto" w:line="324" w:before="120" w:after="0"/>
        <w:ind w:firstLine="1134" w:start="0" w:end="0"/>
        <w:contextualSpacing/>
        <w:jc w:val="both"/>
        <w:rPr/>
      </w:pPr>
      <w:r>
        <w:rPr/>
        <w:t xml:space="preserve">Однофазные и трехфазные приборы учета электрической энергии для установки в местах слабого покрытия радиосигнала сети LoRaWAN (ВРУ-0,4 кВ и иные помещения в железобетонных «мешках» или в подвальных помещениях многоквартирных домов) должны быть оснащены следующими интерфейсами: </w:t>
      </w:r>
    </w:p>
    <w:p>
      <w:pPr>
        <w:pStyle w:val="ListParagraph1"/>
        <w:widowControl w:val="false"/>
        <w:numPr>
          <w:ilvl w:val="0"/>
          <w:numId w:val="4"/>
        </w:numPr>
        <w:tabs>
          <w:tab w:val="clear" w:pos="708"/>
          <w:tab w:val="left" w:pos="426" w:leader="none"/>
        </w:tabs>
        <w:spacing w:lineRule="auto" w:line="324" w:before="120" w:after="0"/>
        <w:ind w:firstLine="1134" w:start="0" w:end="0"/>
        <w:contextualSpacing/>
        <w:jc w:val="both"/>
        <w:rPr/>
      </w:pPr>
      <w:r>
        <w:rPr/>
        <w:t>встроенный радиомодуль LoRaWAN производства ООО «Лартех» с внешней антенной,</w:t>
      </w:r>
    </w:p>
    <w:p>
      <w:pPr>
        <w:pStyle w:val="ListParagraph1"/>
        <w:widowControl w:val="false"/>
        <w:numPr>
          <w:ilvl w:val="0"/>
          <w:numId w:val="4"/>
        </w:numPr>
        <w:tabs>
          <w:tab w:val="clear" w:pos="708"/>
          <w:tab w:val="left" w:pos="426" w:leader="none"/>
        </w:tabs>
        <w:spacing w:lineRule="auto" w:line="324" w:before="120" w:after="0"/>
        <w:ind w:firstLine="1134" w:start="0" w:end="0"/>
        <w:contextualSpacing/>
        <w:jc w:val="both"/>
        <w:rPr/>
      </w:pPr>
      <w:r>
        <w:rPr/>
        <w:t>оптопорт;</w:t>
      </w:r>
    </w:p>
    <w:p>
      <w:pPr>
        <w:pStyle w:val="ListParagraph1"/>
        <w:widowControl w:val="false"/>
        <w:numPr>
          <w:ilvl w:val="0"/>
          <w:numId w:val="4"/>
        </w:numPr>
        <w:tabs>
          <w:tab w:val="clear" w:pos="708"/>
          <w:tab w:val="left" w:pos="426" w:leader="none"/>
        </w:tabs>
        <w:spacing w:lineRule="auto" w:line="324" w:before="120" w:after="0"/>
        <w:ind w:firstLine="1134" w:start="0" w:end="0"/>
        <w:contextualSpacing/>
        <w:jc w:val="both"/>
        <w:rPr/>
      </w:pPr>
      <w:r>
        <w:rPr/>
        <w:t>RS-485.</w:t>
      </w:r>
    </w:p>
    <w:p>
      <w:pPr>
        <w:pStyle w:val="ListParagraph1"/>
        <w:widowControl w:val="false"/>
        <w:numPr>
          <w:ilvl w:val="2"/>
          <w:numId w:val="3"/>
        </w:numPr>
        <w:tabs>
          <w:tab w:val="clear" w:pos="708"/>
          <w:tab w:val="left" w:pos="426" w:leader="none"/>
        </w:tabs>
        <w:spacing w:lineRule="auto" w:line="324" w:before="120" w:after="0"/>
        <w:ind w:firstLine="1134" w:start="0" w:end="0"/>
        <w:contextualSpacing/>
        <w:jc w:val="both"/>
        <w:rPr/>
      </w:pPr>
      <w:r>
        <w:rPr/>
        <w:t>Количество однофазных и трехфазных приборов учета электрической энергии с дополнительным интерфейсом RS-485 определяется по результатам предпроектного обследования.</w:t>
      </w:r>
    </w:p>
    <w:p>
      <w:pPr>
        <w:pStyle w:val="ListParagraph1"/>
        <w:widowControl w:val="false"/>
        <w:numPr>
          <w:ilvl w:val="2"/>
          <w:numId w:val="3"/>
        </w:numPr>
        <w:tabs>
          <w:tab w:val="clear" w:pos="708"/>
          <w:tab w:val="left" w:pos="426" w:leader="none"/>
        </w:tabs>
        <w:spacing w:lineRule="auto" w:line="324" w:before="120" w:after="0"/>
        <w:ind w:firstLine="1134" w:start="0" w:end="0"/>
        <w:contextualSpacing/>
        <w:jc w:val="both"/>
        <w:rPr/>
      </w:pPr>
      <w:r>
        <w:rPr/>
        <w:t>Общие функциональные возможности:</w:t>
      </w:r>
    </w:p>
    <w:p>
      <w:pPr>
        <w:pStyle w:val="ListParagraph1"/>
        <w:widowControl w:val="false"/>
        <w:numPr>
          <w:ilvl w:val="0"/>
          <w:numId w:val="5"/>
        </w:numPr>
        <w:spacing w:lineRule="auto" w:line="324" w:before="120" w:after="0"/>
        <w:ind w:firstLine="1134" w:start="0" w:end="0"/>
        <w:contextualSpacing/>
        <w:jc w:val="both"/>
        <w:rPr/>
      </w:pPr>
      <w:r>
        <w:rPr/>
        <w:t>монтаж в щит учета на 3 (три) болта (50% от общего количества) и на DIN-рейку (50% от общего количества);</w:t>
      </w:r>
    </w:p>
    <w:p>
      <w:pPr>
        <w:pStyle w:val="ListParagraph1"/>
        <w:widowControl w:val="false"/>
        <w:numPr>
          <w:ilvl w:val="0"/>
          <w:numId w:val="5"/>
        </w:numPr>
        <w:spacing w:lineRule="auto" w:line="324" w:before="120" w:after="0"/>
        <w:ind w:firstLine="1134" w:start="0" w:end="0"/>
        <w:contextualSpacing/>
        <w:jc w:val="both"/>
        <w:rPr/>
      </w:pPr>
      <w:r>
        <w:rPr/>
        <w:t>учет электрической энергии в одно- и трех- фазных сетях переменного тока;</w:t>
      </w:r>
    </w:p>
    <w:p>
      <w:pPr>
        <w:pStyle w:val="ListParagraph1"/>
        <w:widowControl w:val="false"/>
        <w:numPr>
          <w:ilvl w:val="0"/>
          <w:numId w:val="6"/>
        </w:numPr>
        <w:tabs>
          <w:tab w:val="clear" w:pos="708"/>
          <w:tab w:val="left" w:pos="1440" w:leader="none"/>
        </w:tabs>
        <w:spacing w:lineRule="auto" w:line="324" w:before="120" w:after="0"/>
        <w:ind w:firstLine="1134" w:start="0" w:end="0"/>
        <w:contextualSpacing/>
        <w:jc w:val="both"/>
        <w:rPr/>
      </w:pPr>
      <w:r>
        <w:rPr/>
        <w:t>средний срок службы не менее 30 лет</w:t>
      </w:r>
    </w:p>
    <w:p>
      <w:pPr>
        <w:pStyle w:val="ListParagraph1"/>
        <w:widowControl w:val="false"/>
        <w:numPr>
          <w:ilvl w:val="0"/>
          <w:numId w:val="6"/>
        </w:numPr>
        <w:tabs>
          <w:tab w:val="clear" w:pos="708"/>
          <w:tab w:val="left" w:pos="1440" w:leader="none"/>
        </w:tabs>
        <w:spacing w:lineRule="auto" w:line="324" w:before="120" w:after="0"/>
        <w:ind w:firstLine="1134" w:start="0" w:end="0"/>
        <w:contextualSpacing/>
        <w:jc w:val="both"/>
        <w:rPr/>
      </w:pPr>
      <w:r>
        <w:rPr/>
        <w:t>средняя наработка на отказ не менее 140 000 ч.;</w:t>
      </w:r>
    </w:p>
    <w:p>
      <w:pPr>
        <w:pStyle w:val="ListParagraph1"/>
        <w:widowControl w:val="false"/>
        <w:numPr>
          <w:ilvl w:val="0"/>
          <w:numId w:val="6"/>
        </w:numPr>
        <w:tabs>
          <w:tab w:val="clear" w:pos="708"/>
          <w:tab w:val="left" w:pos="1440" w:leader="none"/>
        </w:tabs>
        <w:spacing w:lineRule="auto" w:line="324" w:before="120" w:after="0"/>
        <w:ind w:firstLine="1134" w:start="0" w:end="0"/>
        <w:contextualSpacing/>
        <w:jc w:val="both"/>
        <w:rPr/>
      </w:pPr>
      <w:r>
        <w:rPr/>
        <w:t xml:space="preserve">межповерочный интервал не менее 16 лет; </w:t>
      </w:r>
    </w:p>
    <w:p>
      <w:pPr>
        <w:pStyle w:val="ListParagraph1"/>
        <w:widowControl w:val="false"/>
        <w:numPr>
          <w:ilvl w:val="0"/>
          <w:numId w:val="6"/>
        </w:numPr>
        <w:tabs>
          <w:tab w:val="clear" w:pos="708"/>
          <w:tab w:val="left" w:pos="1440" w:leader="none"/>
        </w:tabs>
        <w:spacing w:lineRule="auto" w:line="324" w:before="120" w:after="0"/>
        <w:ind w:firstLine="1134" w:start="0" w:end="0"/>
        <w:contextualSpacing/>
        <w:jc w:val="both"/>
        <w:rPr/>
      </w:pPr>
      <w:r>
        <w:rPr/>
        <w:t>срок службы встроенной батареи не менее 16 лет;</w:t>
      </w:r>
    </w:p>
    <w:p>
      <w:pPr>
        <w:pStyle w:val="ListParagraph1"/>
        <w:widowControl w:val="false"/>
        <w:numPr>
          <w:ilvl w:val="0"/>
          <w:numId w:val="6"/>
        </w:numPr>
        <w:tabs>
          <w:tab w:val="clear" w:pos="708"/>
          <w:tab w:val="left" w:pos="1440" w:leader="none"/>
        </w:tabs>
        <w:spacing w:lineRule="auto" w:line="324" w:before="120" w:after="0"/>
        <w:ind w:firstLine="1134" w:start="0" w:end="0"/>
        <w:contextualSpacing/>
        <w:jc w:val="both"/>
        <w:rPr/>
      </w:pPr>
      <w:r>
        <w:rPr/>
        <w:t>защита от внешних электромагнитных и магнитных полей по ГОСТ 51317.4.3-99 «Совместимость технических средств электромагнитная» и ГОСТ Р 51317.4.6 - 99 «Совместимость технических средств электромагнитная. Устойчивость к кондуктивным помехам, наведенным радиочастотными электромагнитными полями. Требования и методы испытаний»;</w:t>
      </w:r>
    </w:p>
    <w:p>
      <w:pPr>
        <w:pStyle w:val="ListParagraph1"/>
        <w:widowControl w:val="false"/>
        <w:numPr>
          <w:ilvl w:val="0"/>
          <w:numId w:val="6"/>
        </w:numPr>
        <w:tabs>
          <w:tab w:val="clear" w:pos="708"/>
          <w:tab w:val="left" w:pos="1440" w:leader="none"/>
        </w:tabs>
        <w:spacing w:lineRule="auto" w:line="324" w:before="120" w:after="0"/>
        <w:ind w:firstLine="1134" w:start="0" w:end="0"/>
        <w:contextualSpacing/>
        <w:jc w:val="both"/>
        <w:rPr/>
      </w:pPr>
      <w:r>
        <w:rPr/>
        <w:t>функциональность программного обеспечения должна быть достаточна для реализации следующих задач:</w:t>
      </w:r>
    </w:p>
    <w:p>
      <w:pPr>
        <w:pStyle w:val="Normal"/>
        <w:widowControl w:val="false"/>
        <w:numPr>
          <w:ilvl w:val="0"/>
          <w:numId w:val="6"/>
        </w:numPr>
        <w:tabs>
          <w:tab w:val="clear" w:pos="708"/>
          <w:tab w:val="left" w:pos="1440" w:leader="none"/>
        </w:tabs>
        <w:spacing w:lineRule="auto" w:line="324" w:before="120" w:after="200"/>
        <w:ind w:firstLine="1134" w:start="0" w:end="0"/>
        <w:contextualSpacing/>
        <w:jc w:val="both"/>
        <w:rPr>
          <w:rFonts w:ascii="Times New Roman" w:hAnsi="Times New Roman"/>
          <w:sz w:val="24"/>
        </w:rPr>
      </w:pPr>
      <w:r>
        <w:rPr>
          <w:rFonts w:ascii="Times New Roman" w:hAnsi="Times New Roman"/>
          <w:sz w:val="24"/>
        </w:rPr>
        <w:t>программирования прибора учета на месте установки и удаленно;</w:t>
      </w:r>
    </w:p>
    <w:p>
      <w:pPr>
        <w:pStyle w:val="Normal"/>
        <w:widowControl w:val="false"/>
        <w:numPr>
          <w:ilvl w:val="0"/>
          <w:numId w:val="6"/>
        </w:numPr>
        <w:tabs>
          <w:tab w:val="clear" w:pos="708"/>
          <w:tab w:val="left" w:pos="1440" w:leader="none"/>
        </w:tabs>
        <w:spacing w:lineRule="auto" w:line="324" w:before="120" w:after="200"/>
        <w:ind w:firstLine="1134" w:start="0" w:end="0"/>
        <w:contextualSpacing/>
        <w:jc w:val="both"/>
        <w:rPr>
          <w:rFonts w:ascii="Times New Roman" w:hAnsi="Times New Roman"/>
          <w:sz w:val="24"/>
        </w:rPr>
      </w:pPr>
      <w:r>
        <w:rPr>
          <w:rFonts w:ascii="Times New Roman" w:hAnsi="Times New Roman"/>
          <w:sz w:val="24"/>
        </w:rPr>
        <w:t>документирования данных с возможностью конвертации информации в один или несколько распространенных форматов (*.xls, *.csv, *.txt,*.xml).</w:t>
      </w:r>
    </w:p>
    <w:p>
      <w:pPr>
        <w:pStyle w:val="Normal"/>
        <w:widowControl w:val="false"/>
        <w:numPr>
          <w:ilvl w:val="0"/>
          <w:numId w:val="6"/>
        </w:numPr>
        <w:tabs>
          <w:tab w:val="clear" w:pos="708"/>
          <w:tab w:val="left" w:pos="1440" w:leader="none"/>
        </w:tabs>
        <w:spacing w:lineRule="auto" w:line="324" w:before="120" w:after="200"/>
        <w:ind w:firstLine="1134" w:start="0" w:end="0"/>
        <w:contextualSpacing/>
        <w:jc w:val="both"/>
        <w:rPr>
          <w:rFonts w:ascii="Times New Roman" w:hAnsi="Times New Roman"/>
          <w:sz w:val="24"/>
        </w:rPr>
      </w:pPr>
      <w:r>
        <w:rPr>
          <w:rFonts w:ascii="Times New Roman" w:hAnsi="Times New Roman"/>
          <w:sz w:val="24"/>
        </w:rPr>
        <w:t>экспорт журнала событий;</w:t>
      </w:r>
    </w:p>
    <w:p>
      <w:pPr>
        <w:pStyle w:val="Normal"/>
        <w:widowControl w:val="false"/>
        <w:numPr>
          <w:ilvl w:val="0"/>
          <w:numId w:val="6"/>
        </w:numPr>
        <w:tabs>
          <w:tab w:val="clear" w:pos="708"/>
          <w:tab w:val="left" w:pos="1440" w:leader="none"/>
        </w:tabs>
        <w:spacing w:lineRule="auto" w:line="324" w:before="120" w:after="200"/>
        <w:ind w:firstLine="1134" w:start="0" w:end="0"/>
        <w:contextualSpacing/>
        <w:jc w:val="both"/>
        <w:rPr>
          <w:rFonts w:ascii="Times New Roman" w:hAnsi="Times New Roman"/>
          <w:sz w:val="24"/>
        </w:rPr>
      </w:pPr>
      <w:r>
        <w:rPr>
          <w:rFonts w:ascii="Times New Roman" w:hAnsi="Times New Roman"/>
          <w:sz w:val="24"/>
        </w:rPr>
        <w:t>обмена данными на базе «открытых» протоколов с устройствами всех уровней иерархии системы учета;</w:t>
      </w:r>
    </w:p>
    <w:p>
      <w:pPr>
        <w:pStyle w:val="Normal"/>
        <w:widowControl w:val="false"/>
        <w:numPr>
          <w:ilvl w:val="0"/>
          <w:numId w:val="6"/>
        </w:numPr>
        <w:tabs>
          <w:tab w:val="clear" w:pos="708"/>
          <w:tab w:val="left" w:pos="1440" w:leader="none"/>
        </w:tabs>
        <w:spacing w:lineRule="auto" w:line="324" w:before="120" w:after="200"/>
        <w:ind w:firstLine="1134" w:start="0" w:end="0"/>
        <w:contextualSpacing/>
        <w:jc w:val="both"/>
        <w:rPr>
          <w:rFonts w:ascii="Times New Roman" w:hAnsi="Times New Roman"/>
          <w:sz w:val="24"/>
        </w:rPr>
      </w:pPr>
      <w:r>
        <w:rPr>
          <w:rFonts w:ascii="Times New Roman" w:hAnsi="Times New Roman"/>
          <w:sz w:val="24"/>
        </w:rPr>
        <w:t>мониторинг состояния системы учета;</w:t>
      </w:r>
    </w:p>
    <w:p>
      <w:pPr>
        <w:pStyle w:val="Normal"/>
        <w:widowControl w:val="false"/>
        <w:numPr>
          <w:ilvl w:val="0"/>
          <w:numId w:val="6"/>
        </w:numPr>
        <w:tabs>
          <w:tab w:val="clear" w:pos="708"/>
          <w:tab w:val="left" w:pos="1440" w:leader="none"/>
        </w:tabs>
        <w:spacing w:lineRule="auto" w:line="324" w:before="0" w:after="0"/>
        <w:ind w:firstLine="1134" w:start="0" w:end="0"/>
        <w:contextualSpacing/>
        <w:jc w:val="both"/>
        <w:rPr>
          <w:rFonts w:ascii="Times New Roman" w:hAnsi="Times New Roman"/>
          <w:sz w:val="24"/>
        </w:rPr>
      </w:pPr>
      <w:r>
        <w:rPr>
          <w:rFonts w:ascii="Times New Roman" w:hAnsi="Times New Roman"/>
          <w:sz w:val="24"/>
        </w:rPr>
        <w:t>анализ полученных данных.</w:t>
      </w:r>
    </w:p>
    <w:p>
      <w:pPr>
        <w:pStyle w:val="ListParagraph1"/>
        <w:widowControl w:val="false"/>
        <w:numPr>
          <w:ilvl w:val="0"/>
          <w:numId w:val="6"/>
        </w:numPr>
        <w:tabs>
          <w:tab w:val="clear" w:pos="708"/>
          <w:tab w:val="left" w:pos="1440" w:leader="none"/>
        </w:tabs>
        <w:spacing w:lineRule="auto" w:line="324"/>
        <w:ind w:firstLine="1134" w:start="0" w:end="0"/>
        <w:jc w:val="both"/>
        <w:rPr/>
      </w:pPr>
      <w:r>
        <w:rPr/>
        <w:t>защита от потери зафиксированных данных при отсутствии основного питания от электрической сети;</w:t>
      </w:r>
    </w:p>
    <w:p>
      <w:pPr>
        <w:pStyle w:val="ListParagraph1"/>
        <w:widowControl w:val="false"/>
        <w:numPr>
          <w:ilvl w:val="1"/>
          <w:numId w:val="3"/>
        </w:numPr>
        <w:spacing w:lineRule="auto" w:line="324" w:before="120" w:after="60"/>
        <w:ind w:firstLine="709" w:start="0" w:end="0"/>
        <w:contextualSpacing w:val="false"/>
        <w:jc w:val="both"/>
        <w:rPr/>
      </w:pPr>
      <w:r>
        <w:rPr>
          <w:b/>
        </w:rPr>
        <w:t>Функциональные возможности приборов учета электрической энергии:</w:t>
      </w:r>
    </w:p>
    <w:p>
      <w:pPr>
        <w:pStyle w:val="ListParagraph1"/>
        <w:widowControl w:val="false"/>
        <w:numPr>
          <w:ilvl w:val="2"/>
          <w:numId w:val="3"/>
        </w:numPr>
        <w:spacing w:lineRule="auto" w:line="324" w:before="120" w:after="0"/>
        <w:ind w:firstLine="1134" w:start="0" w:end="0"/>
        <w:contextualSpacing/>
        <w:jc w:val="both"/>
        <w:rPr/>
      </w:pPr>
      <w:r>
        <w:rPr/>
        <w:t>Прибор учета электрической энергии, который может быть присоединен к интеллектуальной системе учета, должен удовлетворять требованиям, предъявляемым законодательством Российской Федерации об обеспечении единства измерений к средствам измерений, применяемым в сфере государственного регулирования обеспечения единства измерений, и обеспечивать в точке учета:</w:t>
      </w:r>
    </w:p>
    <w:p>
      <w:pPr>
        <w:pStyle w:val="ListParagraph1"/>
        <w:widowControl w:val="false"/>
        <w:spacing w:lineRule="auto" w:line="324" w:before="120" w:after="0"/>
        <w:ind w:firstLine="1134" w:start="0" w:end="0"/>
        <w:contextualSpacing/>
        <w:jc w:val="both"/>
        <w:rPr/>
      </w:pPr>
      <w:r>
        <w:rPr/>
        <w:t>а) измерение активной и реактивной энергии в сетях переменного тока в двух направлениях с классом точности 1,0 и выше по активной энергии и 2,0 по реактивной энергии (0,5S и выше по активной энергии и 1,0 по реактивной энергии для приборов учета электрической энергии трансформаторного включения) и установленным интервалом между поверками не менее 16 лет для однофазных приборов учета электрической энергии и не менее 10 лет для трехфазных приборов учета электрической энергии;</w:t>
      </w:r>
    </w:p>
    <w:p>
      <w:pPr>
        <w:pStyle w:val="ListParagraph1"/>
        <w:widowControl w:val="false"/>
        <w:tabs>
          <w:tab w:val="clear" w:pos="708"/>
          <w:tab w:val="left" w:pos="1276" w:leader="none"/>
        </w:tabs>
        <w:spacing w:lineRule="auto" w:line="324" w:before="120" w:after="0"/>
        <w:ind w:firstLine="1134" w:start="0" w:end="0"/>
        <w:contextualSpacing/>
        <w:jc w:val="both"/>
        <w:rPr/>
      </w:pPr>
      <w:r>
        <w:rPr/>
        <w:t>б) возможность выполнения измерений с применением коэффициентов трансформации измерительных трансформаторов тока и напряжения (для приборов учета электрической энергии трансформаторного включения);</w:t>
      </w:r>
    </w:p>
    <w:p>
      <w:pPr>
        <w:pStyle w:val="ListParagraph1"/>
        <w:widowControl w:val="false"/>
        <w:spacing w:lineRule="auto" w:line="324" w:before="120" w:after="0"/>
        <w:ind w:firstLine="1134" w:start="0" w:end="0"/>
        <w:contextualSpacing/>
        <w:jc w:val="both"/>
        <w:rPr/>
      </w:pPr>
      <w:r>
        <w:rPr/>
        <w:t>в) ведение времени независимо от наличия напряжения в питающей сети с абсолютной погрешностью хода внутренних часов не более 5 секунд в сутки, а также с возможностью смены часового пояса;</w:t>
      </w:r>
    </w:p>
    <w:p>
      <w:pPr>
        <w:pStyle w:val="ListParagraph1"/>
        <w:widowControl w:val="false"/>
        <w:spacing w:lineRule="auto" w:line="324" w:before="120" w:after="0"/>
        <w:ind w:firstLine="1134" w:start="0" w:end="0"/>
        <w:contextualSpacing/>
        <w:jc w:val="both"/>
        <w:rPr/>
      </w:pPr>
      <w:r>
        <w:rPr/>
        <w:t>г) возможность синхронизации и коррекции времени с внешним источником сигналов точного времени;</w:t>
      </w:r>
    </w:p>
    <w:p>
      <w:pPr>
        <w:pStyle w:val="ListParagraph1"/>
        <w:widowControl w:val="false"/>
        <w:spacing w:lineRule="auto" w:line="324" w:before="120" w:after="0"/>
        <w:ind w:firstLine="1134" w:start="0" w:end="0"/>
        <w:contextualSpacing/>
        <w:jc w:val="both"/>
        <w:rPr/>
      </w:pPr>
      <w:r>
        <w:rPr/>
        <w:t>д) возможность учета активной и реактивной энергии с фиксацией на конец программируемых расчетных периодов и по не менее чем 4 программируемым тарифным зонам с не менее чем 4 диапазонами суммирования в каждом (далее - тарифное расписание);</w:t>
      </w:r>
    </w:p>
    <w:p>
      <w:pPr>
        <w:pStyle w:val="ListParagraph1"/>
        <w:widowControl w:val="false"/>
        <w:spacing w:lineRule="auto" w:line="324" w:before="120" w:after="0"/>
        <w:ind w:firstLine="1134" w:start="0" w:end="0"/>
        <w:contextualSpacing/>
        <w:jc w:val="both"/>
        <w:rPr/>
      </w:pPr>
      <w:r>
        <w:rPr/>
        <w:t>е) измерение и вычисление:</w:t>
      </w:r>
    </w:p>
    <w:p>
      <w:pPr>
        <w:pStyle w:val="ListParagraph1"/>
        <w:widowControl w:val="false"/>
        <w:spacing w:lineRule="auto" w:line="324" w:before="120" w:after="0"/>
        <w:ind w:firstLine="1134" w:start="0" w:end="0"/>
        <w:contextualSpacing/>
        <w:jc w:val="both"/>
        <w:rPr/>
      </w:pPr>
      <w:r>
        <w:rPr/>
        <w:t>фазного напряжения в каждой фазе;</w:t>
      </w:r>
    </w:p>
    <w:p>
      <w:pPr>
        <w:pStyle w:val="ListParagraph1"/>
        <w:widowControl w:val="false"/>
        <w:spacing w:lineRule="auto" w:line="324" w:before="120" w:after="0"/>
        <w:ind w:firstLine="1134" w:start="0" w:end="0"/>
        <w:contextualSpacing/>
        <w:jc w:val="both"/>
        <w:rPr/>
      </w:pPr>
      <w:r>
        <w:rPr/>
        <w:t>линейного напряжения (для трехфазных приборов учета электрической энергии);</w:t>
      </w:r>
    </w:p>
    <w:p>
      <w:pPr>
        <w:pStyle w:val="ListParagraph1"/>
        <w:widowControl w:val="false"/>
        <w:spacing w:lineRule="auto" w:line="324" w:before="120" w:after="0"/>
        <w:ind w:firstLine="1134" w:start="0" w:end="0"/>
        <w:contextualSpacing/>
        <w:jc w:val="both"/>
        <w:rPr/>
      </w:pPr>
      <w:r>
        <w:rPr/>
        <w:t>фазного тока в каждой фазе;</w:t>
      </w:r>
    </w:p>
    <w:p>
      <w:pPr>
        <w:pStyle w:val="ListParagraph1"/>
        <w:widowControl w:val="false"/>
        <w:spacing w:lineRule="auto" w:line="324" w:before="120" w:after="0"/>
        <w:ind w:firstLine="1134" w:start="0" w:end="0"/>
        <w:contextualSpacing/>
        <w:jc w:val="both"/>
        <w:rPr/>
      </w:pPr>
      <w:r>
        <w:rPr/>
        <w:t>активной, реактивной и полной мощности в каждой фазе и суммарной мощности;</w:t>
      </w:r>
    </w:p>
    <w:p>
      <w:pPr>
        <w:pStyle w:val="ListParagraph1"/>
        <w:widowControl w:val="false"/>
        <w:spacing w:lineRule="auto" w:line="324" w:before="120" w:after="0"/>
        <w:ind w:firstLine="1134" w:start="0" w:end="0"/>
        <w:contextualSpacing/>
        <w:jc w:val="both"/>
        <w:rPr/>
      </w:pPr>
      <w:r>
        <w:rPr/>
        <w:t>значения тока в нулевом проводе (для однофазного прибора учета электрической энергии);</w:t>
      </w:r>
    </w:p>
    <w:p>
      <w:pPr>
        <w:pStyle w:val="ListParagraph1"/>
        <w:widowControl w:val="false"/>
        <w:spacing w:lineRule="auto" w:line="324" w:before="120" w:after="0"/>
        <w:ind w:firstLine="1134" w:start="0" w:end="0"/>
        <w:contextualSpacing/>
        <w:jc w:val="both"/>
        <w:rPr/>
      </w:pPr>
      <w:r>
        <w:rPr/>
        <w:t>небаланса токов в фазном и нулевом проводах (для однофазного прибора учета электрической энергии);</w:t>
      </w:r>
    </w:p>
    <w:p>
      <w:pPr>
        <w:pStyle w:val="ListParagraph1"/>
        <w:widowControl w:val="false"/>
        <w:spacing w:lineRule="auto" w:line="324" w:before="120" w:after="0"/>
        <w:ind w:firstLine="1134" w:start="0" w:end="0"/>
        <w:contextualSpacing/>
        <w:jc w:val="both"/>
        <w:rPr/>
      </w:pPr>
      <w:r>
        <w:rPr/>
        <w:t>частоты электрической сети;</w:t>
      </w:r>
    </w:p>
    <w:p>
      <w:pPr>
        <w:pStyle w:val="ListParagraph1"/>
        <w:widowControl w:val="false"/>
        <w:spacing w:lineRule="auto" w:line="324" w:before="120" w:after="0"/>
        <w:ind w:firstLine="1134" w:start="0" w:end="0"/>
        <w:contextualSpacing/>
        <w:jc w:val="both"/>
        <w:rPr/>
      </w:pPr>
      <w:r>
        <w:rPr/>
        <w:t>ж) нарушение индивидуальных параметров качества электроснабжения (погрешность измерения параметров должна соответствовать классу S или выше согласно ГОСТ 30804.4.30-2013);</w:t>
      </w:r>
    </w:p>
    <w:p>
      <w:pPr>
        <w:pStyle w:val="ListParagraph1"/>
        <w:widowControl w:val="false"/>
        <w:spacing w:lineRule="auto" w:line="324" w:before="120" w:after="0"/>
        <w:ind w:firstLine="1134" w:start="0" w:end="0"/>
        <w:contextualSpacing/>
        <w:jc w:val="both"/>
        <w:rPr/>
      </w:pPr>
      <w:r>
        <w:rPr/>
        <w:t>з) контроль наличия внешнего переменного и постоянного магнитного поля;</w:t>
      </w:r>
    </w:p>
    <w:p>
      <w:pPr>
        <w:pStyle w:val="ListParagraph1"/>
        <w:widowControl w:val="false"/>
        <w:spacing w:lineRule="auto" w:line="324" w:before="120" w:after="0"/>
        <w:ind w:firstLine="1134" w:start="0" w:end="0"/>
        <w:contextualSpacing/>
        <w:jc w:val="both"/>
        <w:rPr/>
      </w:pPr>
      <w:r>
        <w:rPr/>
        <w:t>и) отображение на встроенном и (или) выносном цифровом дисплее:</w:t>
      </w:r>
    </w:p>
    <w:p>
      <w:pPr>
        <w:pStyle w:val="ListParagraph1"/>
        <w:widowControl w:val="false"/>
        <w:spacing w:lineRule="auto" w:line="324" w:before="120" w:after="0"/>
        <w:ind w:firstLine="1134" w:start="0" w:end="0"/>
        <w:contextualSpacing/>
        <w:jc w:val="both"/>
        <w:rPr/>
      </w:pPr>
      <w:r>
        <w:rPr/>
        <w:t>текущих даты и времени;</w:t>
      </w:r>
    </w:p>
    <w:p>
      <w:pPr>
        <w:pStyle w:val="ListParagraph1"/>
        <w:widowControl w:val="false"/>
        <w:spacing w:lineRule="auto" w:line="324" w:before="120" w:after="0"/>
        <w:ind w:firstLine="1134" w:start="0" w:end="0"/>
        <w:contextualSpacing/>
        <w:jc w:val="both"/>
        <w:rPr/>
      </w:pPr>
      <w:r>
        <w:rPr/>
        <w:t>текущих значений потребленной электрической энергии суммарно и по тарифным зонам;</w:t>
      </w:r>
    </w:p>
    <w:p>
      <w:pPr>
        <w:pStyle w:val="ListParagraph1"/>
        <w:widowControl w:val="false"/>
        <w:spacing w:lineRule="auto" w:line="324" w:before="120" w:after="0"/>
        <w:ind w:firstLine="1134" w:start="0" w:end="0"/>
        <w:contextualSpacing/>
        <w:jc w:val="both"/>
        <w:rPr/>
      </w:pPr>
      <w:r>
        <w:rPr/>
        <w:t>текущих значений активной и реактивной мощности, напряжения, тока и частоты;</w:t>
      </w:r>
    </w:p>
    <w:p>
      <w:pPr>
        <w:pStyle w:val="ListParagraph1"/>
        <w:widowControl w:val="false"/>
        <w:spacing w:lineRule="auto" w:line="324" w:before="120" w:after="0"/>
        <w:ind w:firstLine="1134" w:start="0" w:end="0"/>
        <w:contextualSpacing/>
        <w:jc w:val="both"/>
        <w:rPr/>
      </w:pPr>
      <w:r>
        <w:rPr/>
        <w:t>значения потребленной электрической энергии на конец последнего программируемого расчетного периода суммарно и по тарифным зонам;</w:t>
      </w:r>
    </w:p>
    <w:p>
      <w:pPr>
        <w:pStyle w:val="ListParagraph1"/>
        <w:widowControl w:val="false"/>
        <w:spacing w:lineRule="auto" w:line="324" w:before="120" w:after="0"/>
        <w:ind w:firstLine="1134" w:start="0" w:end="0"/>
        <w:contextualSpacing/>
        <w:jc w:val="both"/>
        <w:rPr/>
      </w:pPr>
      <w:r>
        <w:rPr/>
        <w:t>индикатора режима приема и отдачи электрической энергии;</w:t>
      </w:r>
    </w:p>
    <w:p>
      <w:pPr>
        <w:pStyle w:val="ListParagraph1"/>
        <w:widowControl w:val="false"/>
        <w:spacing w:lineRule="auto" w:line="324" w:before="120" w:after="0"/>
        <w:ind w:firstLine="1134" w:start="0" w:end="0"/>
        <w:contextualSpacing/>
        <w:jc w:val="both"/>
        <w:rPr/>
      </w:pPr>
      <w:r>
        <w:rPr/>
        <w:t>индикатора факта нарушения индивидуальных параметров качества электроснабжения;</w:t>
      </w:r>
    </w:p>
    <w:p>
      <w:pPr>
        <w:pStyle w:val="ListParagraph1"/>
        <w:widowControl w:val="false"/>
        <w:spacing w:lineRule="auto" w:line="324" w:before="120" w:after="0"/>
        <w:ind w:firstLine="1134" w:start="0" w:end="0"/>
        <w:contextualSpacing/>
        <w:jc w:val="both"/>
        <w:rPr/>
      </w:pPr>
      <w:r>
        <w:rPr/>
        <w:t>индикатора вскрытия электронных пломб на корпусе и клеммной крышке прибора учета электрической энергии;</w:t>
      </w:r>
    </w:p>
    <w:p>
      <w:pPr>
        <w:pStyle w:val="ListParagraph1"/>
        <w:widowControl w:val="false"/>
        <w:spacing w:lineRule="auto" w:line="324" w:before="120" w:after="0"/>
        <w:ind w:firstLine="1134" w:start="0" w:end="0"/>
        <w:contextualSpacing/>
        <w:jc w:val="both"/>
        <w:rPr/>
      </w:pPr>
      <w:r>
        <w:rPr/>
        <w:t>индикатора факта события воздействия магнитных полей со значением модуля вектора магнитной индукции свыше 150 мТл (пиковое значение) на элементы прибора учета электрической энергии;</w:t>
      </w:r>
    </w:p>
    <w:p>
      <w:pPr>
        <w:pStyle w:val="ListParagraph1"/>
        <w:widowControl w:val="false"/>
        <w:spacing w:lineRule="auto" w:line="324" w:before="120" w:after="0"/>
        <w:ind w:firstLine="1134" w:start="0" w:end="0"/>
        <w:contextualSpacing/>
        <w:jc w:val="both"/>
        <w:rPr/>
      </w:pPr>
      <w:r>
        <w:rPr/>
        <w:t>индикатора неработоспособности прибора учета электрической энергии вследствие аппаратного или программного сбоя;</w:t>
      </w:r>
    </w:p>
    <w:p>
      <w:pPr>
        <w:pStyle w:val="ListParagraph1"/>
        <w:widowControl w:val="false"/>
        <w:spacing w:lineRule="auto" w:line="324" w:before="120" w:after="0"/>
        <w:ind w:firstLine="1134" w:start="0" w:end="0"/>
        <w:contextualSpacing/>
        <w:jc w:val="both"/>
        <w:rPr/>
      </w:pPr>
      <w:r>
        <w:rPr/>
        <w:t>к) отображение информации в единицах величин, допущенных к применению в Российской Федерации Положением о единицах величин, допускаемых к применению в Российской Федерации, утвержденным постановлением Правительства Российской Федерации от 31 октября 2009 г. N 879 «Об утверждении Положения о единицах величин, допускаемых к применению в Российской Федерации» (обозначение активной электрической энергии - в кВт·ч, реактивной - в кВАр·ч);</w:t>
      </w:r>
    </w:p>
    <w:p>
      <w:pPr>
        <w:pStyle w:val="ListParagraph1"/>
        <w:widowControl w:val="false"/>
        <w:spacing w:lineRule="auto" w:line="324" w:before="120" w:after="0"/>
        <w:ind w:firstLine="1134" w:start="0" w:end="0"/>
        <w:contextualSpacing/>
        <w:jc w:val="both"/>
        <w:rPr/>
      </w:pPr>
      <w:r>
        <w:rPr/>
        <w:t>л) индикацию функционирования (работоспособного состояния) на корпусе и выносном дисплее (при наличии выносного дисплея);</w:t>
      </w:r>
    </w:p>
    <w:p>
      <w:pPr>
        <w:pStyle w:val="ListParagraph1"/>
        <w:widowControl w:val="false"/>
        <w:spacing w:lineRule="auto" w:line="324" w:before="120" w:after="0"/>
        <w:ind w:firstLine="1134" w:start="0" w:end="0"/>
        <w:contextualSpacing/>
        <w:jc w:val="both"/>
        <w:rPr/>
      </w:pPr>
      <w:r>
        <w:rPr/>
        <w:t>м) наличие 2 интерфейсов связи для организации канала связи (оптического и иного другого), а в отношении приборов учета электрической энергии трансформаторного включения также по цифровому электрическому интерфейсу связи RS-485 или цифровому электрическому интерфейсу связи Ethernet;</w:t>
      </w:r>
    </w:p>
    <w:p>
      <w:pPr>
        <w:pStyle w:val="ListParagraph1"/>
        <w:widowControl w:val="false"/>
        <w:spacing w:lineRule="auto" w:line="324" w:before="120" w:after="0"/>
        <w:ind w:firstLine="1134" w:start="0" w:end="0"/>
        <w:contextualSpacing/>
        <w:jc w:val="both"/>
        <w:rPr/>
      </w:pPr>
      <w:r>
        <w:rPr/>
        <w:t>н) защиту прибора учета электрической энергии от несанкционированного доступа с помощью реализации в приборе учета:</w:t>
      </w:r>
    </w:p>
    <w:p>
      <w:pPr>
        <w:pStyle w:val="ListParagraph1"/>
        <w:widowControl w:val="false"/>
        <w:spacing w:lineRule="auto" w:line="324" w:before="120" w:after="0"/>
        <w:ind w:firstLine="1134" w:start="0" w:end="0"/>
        <w:contextualSpacing/>
        <w:jc w:val="both"/>
        <w:rPr/>
      </w:pPr>
      <w:r>
        <w:rPr/>
        <w:t>идентификации и аутентификации;</w:t>
      </w:r>
    </w:p>
    <w:p>
      <w:pPr>
        <w:pStyle w:val="ListParagraph1"/>
        <w:widowControl w:val="false"/>
        <w:spacing w:lineRule="auto" w:line="324" w:before="120" w:after="0"/>
        <w:ind w:firstLine="1134" w:start="0" w:end="0"/>
        <w:contextualSpacing/>
        <w:jc w:val="both"/>
        <w:rPr/>
      </w:pPr>
      <w:r>
        <w:rPr/>
        <w:t>контроля доступа;</w:t>
      </w:r>
    </w:p>
    <w:p>
      <w:pPr>
        <w:pStyle w:val="ListParagraph1"/>
        <w:widowControl w:val="false"/>
        <w:spacing w:lineRule="auto" w:line="324" w:before="120" w:after="0"/>
        <w:ind w:firstLine="1134" w:start="0" w:end="0"/>
        <w:contextualSpacing/>
        <w:jc w:val="both"/>
        <w:rPr/>
      </w:pPr>
      <w:r>
        <w:rPr/>
        <w:t>контроля целостности;</w:t>
      </w:r>
    </w:p>
    <w:p>
      <w:pPr>
        <w:pStyle w:val="ListParagraph1"/>
        <w:widowControl w:val="false"/>
        <w:spacing w:lineRule="auto" w:line="324" w:before="120" w:after="0"/>
        <w:ind w:firstLine="1134" w:start="0" w:end="0"/>
        <w:contextualSpacing/>
        <w:jc w:val="both"/>
        <w:rPr/>
      </w:pPr>
      <w:r>
        <w:rPr/>
        <w:t>регистрации событий безопасности в журнале событий;</w:t>
      </w:r>
    </w:p>
    <w:p>
      <w:pPr>
        <w:pStyle w:val="ListParagraph1"/>
        <w:widowControl w:val="false"/>
        <w:spacing w:lineRule="auto" w:line="324" w:before="120" w:after="0"/>
        <w:ind w:firstLine="1134" w:start="0" w:end="0"/>
        <w:contextualSpacing/>
        <w:jc w:val="both"/>
        <w:rPr/>
      </w:pPr>
      <w:r>
        <w:rPr/>
        <w:t>о) фиксирование несанкционированного доступа к прибору учета посредством энергонезависимой электронной пломбы, фиксирующей вскрытие клеммной крышки и вскрытие корпуса (для разборных корпусов);</w:t>
      </w:r>
    </w:p>
    <w:p>
      <w:pPr>
        <w:pStyle w:val="ListParagraph1"/>
        <w:widowControl w:val="false"/>
        <w:spacing w:lineRule="auto" w:line="324" w:before="120" w:after="0"/>
        <w:ind w:firstLine="1134" w:start="0" w:end="0"/>
        <w:contextualSpacing/>
        <w:jc w:val="both"/>
        <w:rPr/>
      </w:pPr>
      <w:r>
        <w:rPr/>
        <w:t>п) фиксацию воздействия постоянного или переменного магнитного поля с указанием даты и времени воздействия со значением модуля вектора магнитной индукции свыше 150 мТл (пиковое значение);</w:t>
      </w:r>
    </w:p>
    <w:p>
      <w:pPr>
        <w:pStyle w:val="ListParagraph1"/>
        <w:widowControl w:val="false"/>
        <w:spacing w:lineRule="auto" w:line="324" w:before="120" w:after="0"/>
        <w:ind w:firstLine="1134" w:start="0" w:end="0"/>
        <w:contextualSpacing/>
        <w:jc w:val="both"/>
        <w:rPr/>
      </w:pPr>
      <w:r>
        <w:rPr/>
        <w:t>р) запись событий в отдельные выделенные сегменты энергонезависимой памяти прибора учета электрической энергии (с указанием даты и времени), результатов нарушения индивидуальных параметров качества электроснабжения - в отдельные выделенные сегменты энергонезависимой памяти прибора учета электрической энергии (далее соответственно - журнал событий, ведение журнала событий) в объеме не менее чем на 500 записей;</w:t>
      </w:r>
    </w:p>
    <w:p>
      <w:pPr>
        <w:pStyle w:val="ListParagraph1"/>
        <w:widowControl w:val="false"/>
        <w:spacing w:lineRule="auto" w:line="324" w:before="120" w:after="0"/>
        <w:ind w:firstLine="1134" w:start="0" w:end="0"/>
        <w:contextualSpacing/>
        <w:jc w:val="both"/>
        <w:rPr/>
      </w:pPr>
      <w:r>
        <w:rPr/>
        <w:t>с) ведение журнала событий, в котором должно фиксироваться следующее:</w:t>
      </w:r>
    </w:p>
    <w:p>
      <w:pPr>
        <w:pStyle w:val="ListParagraph1"/>
        <w:widowControl w:val="false"/>
        <w:spacing w:lineRule="auto" w:line="324" w:before="120" w:after="0"/>
        <w:ind w:firstLine="1134" w:start="0" w:end="0"/>
        <w:contextualSpacing/>
        <w:jc w:val="both"/>
        <w:rPr/>
      </w:pPr>
      <w:r>
        <w:rPr/>
        <w:t>дата и время вскрытия клеммной крышки;</w:t>
      </w:r>
    </w:p>
    <w:p>
      <w:pPr>
        <w:pStyle w:val="ListParagraph1"/>
        <w:widowControl w:val="false"/>
        <w:spacing w:lineRule="auto" w:line="324" w:before="120" w:after="0"/>
        <w:ind w:firstLine="1134" w:start="0" w:end="0"/>
        <w:contextualSpacing/>
        <w:jc w:val="both"/>
        <w:rPr/>
      </w:pPr>
      <w:r>
        <w:rPr/>
        <w:t>дата и время вскрытия корпуса прибора учета электрической энергии (для разборных корпусов);</w:t>
      </w:r>
    </w:p>
    <w:p>
      <w:pPr>
        <w:pStyle w:val="ListParagraph1"/>
        <w:widowControl w:val="false"/>
        <w:spacing w:lineRule="auto" w:line="324" w:before="120" w:after="0"/>
        <w:ind w:firstLine="1134" w:start="0" w:end="0"/>
        <w:contextualSpacing/>
        <w:jc w:val="both"/>
        <w:rPr/>
      </w:pPr>
      <w:r>
        <w:rPr/>
        <w:t>дата, время и причина включения и отключения встроенного коммутационного аппарата;</w:t>
      </w:r>
    </w:p>
    <w:p>
      <w:pPr>
        <w:pStyle w:val="ListParagraph1"/>
        <w:widowControl w:val="false"/>
        <w:spacing w:lineRule="auto" w:line="324" w:before="120" w:after="0"/>
        <w:ind w:firstLine="1134" w:start="0" w:end="0"/>
        <w:contextualSpacing/>
        <w:jc w:val="both"/>
        <w:rPr/>
      </w:pPr>
      <w:r>
        <w:rPr/>
        <w:t>дата и время последнего перепрограммирования;</w:t>
      </w:r>
    </w:p>
    <w:p>
      <w:pPr>
        <w:pStyle w:val="ListParagraph1"/>
        <w:widowControl w:val="false"/>
        <w:spacing w:lineRule="auto" w:line="324" w:before="120" w:after="0"/>
        <w:ind w:firstLine="1134" w:start="0" w:end="0"/>
        <w:contextualSpacing/>
        <w:jc w:val="both"/>
        <w:rPr/>
      </w:pPr>
      <w:r>
        <w:rPr/>
        <w:t>дата, время, тип и параметры выполненной команды;</w:t>
      </w:r>
    </w:p>
    <w:p>
      <w:pPr>
        <w:pStyle w:val="ListParagraph1"/>
        <w:widowControl w:val="false"/>
        <w:spacing w:lineRule="auto" w:line="324" w:before="120" w:after="0"/>
        <w:ind w:firstLine="1134" w:start="0" w:end="0"/>
        <w:contextualSpacing/>
        <w:jc w:val="both"/>
        <w:rPr/>
      </w:pPr>
      <w:r>
        <w:rPr/>
        <w:t>попытка доступа с неуспешной идентификацией и (или) аутентификацией;</w:t>
      </w:r>
    </w:p>
    <w:p>
      <w:pPr>
        <w:pStyle w:val="ListParagraph1"/>
        <w:widowControl w:val="false"/>
        <w:spacing w:lineRule="auto" w:line="324" w:before="120" w:after="0"/>
        <w:ind w:firstLine="1134" w:start="0" w:end="0"/>
        <w:contextualSpacing/>
        <w:jc w:val="both"/>
        <w:rPr/>
      </w:pPr>
      <w:r>
        <w:rPr/>
        <w:t>попытка доступа с нарушением правил управления доступом;</w:t>
      </w:r>
    </w:p>
    <w:p>
      <w:pPr>
        <w:pStyle w:val="ListParagraph1"/>
        <w:widowControl w:val="false"/>
        <w:spacing w:lineRule="auto" w:line="324" w:before="120" w:after="0"/>
        <w:ind w:firstLine="1134" w:start="0" w:end="0"/>
        <w:contextualSpacing/>
        <w:jc w:val="both"/>
        <w:rPr/>
      </w:pPr>
      <w:r>
        <w:rPr/>
        <w:t>попытка несанкционированного нарушения целостности программного обеспечения и параметров;</w:t>
      </w:r>
    </w:p>
    <w:p>
      <w:pPr>
        <w:pStyle w:val="ListParagraph1"/>
        <w:widowControl w:val="false"/>
        <w:spacing w:lineRule="auto" w:line="324" w:before="120" w:after="0"/>
        <w:ind w:firstLine="1134" w:start="0" w:end="0"/>
        <w:contextualSpacing/>
        <w:jc w:val="both"/>
        <w:rPr/>
      </w:pPr>
      <w:r>
        <w:rPr/>
        <w:t>изменение направления перетока мощности (для однофазных и трехфазных приборов учета электрической энергии);</w:t>
      </w:r>
    </w:p>
    <w:p>
      <w:pPr>
        <w:pStyle w:val="ListParagraph1"/>
        <w:widowControl w:val="false"/>
        <w:spacing w:lineRule="auto" w:line="324" w:before="120" w:after="0"/>
        <w:ind w:firstLine="1134" w:start="0" w:end="0"/>
        <w:contextualSpacing/>
        <w:jc w:val="both"/>
        <w:rPr/>
      </w:pPr>
      <w:r>
        <w:rPr/>
        <w:t>дата и время воздействия постоянного или переменного магнитного поля со значением модуля вектора магнитной индукции свыше 150 мТл (пиковое значение) с визуализацией индикации;</w:t>
      </w:r>
    </w:p>
    <w:p>
      <w:pPr>
        <w:pStyle w:val="ListParagraph1"/>
        <w:widowControl w:val="false"/>
        <w:spacing w:lineRule="auto" w:line="324" w:before="120" w:after="0"/>
        <w:ind w:firstLine="1134" w:start="0" w:end="0"/>
        <w:contextualSpacing/>
        <w:jc w:val="both"/>
        <w:rPr/>
      </w:pPr>
      <w:r>
        <w:rPr/>
        <w:t>факт связи с прибором учета электрической энергии, приведшей к изменению параметров конфигурации, режимов функционирования (в том числе введение полного и (или) частичного ограничения (возобновления) режима потребления электрической энергии (управление нагрузкой);</w:t>
      </w:r>
    </w:p>
    <w:p>
      <w:pPr>
        <w:pStyle w:val="ListParagraph1"/>
        <w:widowControl w:val="false"/>
        <w:spacing w:lineRule="auto" w:line="324" w:before="120" w:after="0"/>
        <w:ind w:firstLine="1134" w:start="0" w:end="0"/>
        <w:contextualSpacing/>
        <w:jc w:val="both"/>
        <w:rPr/>
      </w:pPr>
      <w:r>
        <w:rPr/>
        <w:t>дата и время отклонения напряжения в измерительных цепях от заданных пределов;</w:t>
      </w:r>
    </w:p>
    <w:p>
      <w:pPr>
        <w:pStyle w:val="ListParagraph1"/>
        <w:widowControl w:val="false"/>
        <w:spacing w:lineRule="auto" w:line="324" w:before="120" w:after="0"/>
        <w:ind w:firstLine="1134" w:start="0" w:end="0"/>
        <w:contextualSpacing/>
        <w:jc w:val="both"/>
        <w:rPr/>
      </w:pPr>
      <w:r>
        <w:rPr/>
        <w:t>отсутствие или низкое напряжение при наличии тока в измерительных цепях с конфигурируемыми порогами (кроме однофазных и трехфазных приборов учета электрической энергии прямого включения);</w:t>
      </w:r>
    </w:p>
    <w:p>
      <w:pPr>
        <w:pStyle w:val="ListParagraph1"/>
        <w:widowControl w:val="false"/>
        <w:spacing w:lineRule="auto" w:line="324" w:before="120" w:after="0"/>
        <w:ind w:firstLine="1134" w:start="0" w:end="0"/>
        <w:contextualSpacing/>
        <w:jc w:val="both"/>
        <w:rPr/>
      </w:pPr>
      <w:r>
        <w:rPr/>
        <w:t>отсутствие напряжения либо значение напряжения ниже запрограммированного порога по каждой фазе с фиксацией времени пропадания и восстановления напряжения;</w:t>
      </w:r>
    </w:p>
    <w:p>
      <w:pPr>
        <w:pStyle w:val="ListParagraph1"/>
        <w:widowControl w:val="false"/>
        <w:spacing w:lineRule="auto" w:line="324" w:before="120" w:after="0"/>
        <w:ind w:firstLine="1134" w:start="0" w:end="0"/>
        <w:contextualSpacing/>
        <w:jc w:val="both"/>
        <w:rPr/>
      </w:pPr>
      <w:r>
        <w:rPr/>
        <w:t>инверсия фазы или нарушение чередования фаз (для трехфазных приборов учета электрической энергии);</w:t>
      </w:r>
    </w:p>
    <w:p>
      <w:pPr>
        <w:pStyle w:val="ListParagraph1"/>
        <w:widowControl w:val="false"/>
        <w:spacing w:lineRule="auto" w:line="324" w:before="120" w:after="0"/>
        <w:ind w:firstLine="1134" w:start="0" w:end="0"/>
        <w:contextualSpacing/>
        <w:jc w:val="both"/>
        <w:rPr/>
      </w:pPr>
      <w:r>
        <w:rPr/>
        <w:t>превышение соотношения величин потребления активной и реактивной мощности;</w:t>
      </w:r>
    </w:p>
    <w:p>
      <w:pPr>
        <w:pStyle w:val="ListParagraph1"/>
        <w:widowControl w:val="false"/>
        <w:spacing w:lineRule="auto" w:line="324" w:before="120" w:after="0"/>
        <w:ind w:firstLine="1134" w:start="0" w:end="0"/>
        <w:contextualSpacing/>
        <w:jc w:val="both"/>
        <w:rPr/>
      </w:pPr>
      <w:r>
        <w:rPr/>
        <w:t>небаланс тока в нулевом и фазном проводе (для однофазных приборов учета электрической энергии);</w:t>
      </w:r>
    </w:p>
    <w:p>
      <w:pPr>
        <w:pStyle w:val="ListParagraph1"/>
        <w:widowControl w:val="false"/>
        <w:spacing w:lineRule="auto" w:line="324" w:before="120" w:after="0"/>
        <w:ind w:firstLine="1134" w:start="0" w:end="0"/>
        <w:contextualSpacing/>
        <w:jc w:val="both"/>
        <w:rPr/>
      </w:pPr>
      <w:r>
        <w:rPr/>
        <w:t>превышение заданного предела мощности;</w:t>
      </w:r>
    </w:p>
    <w:p>
      <w:pPr>
        <w:pStyle w:val="ListParagraph1"/>
        <w:widowControl w:val="false"/>
        <w:spacing w:lineRule="auto" w:line="324" w:before="120" w:after="0"/>
        <w:ind w:firstLine="1134" w:start="0" w:end="0"/>
        <w:contextualSpacing/>
        <w:jc w:val="both"/>
        <w:rPr/>
      </w:pPr>
      <w:r>
        <w:rPr/>
        <w:t>т) формирование по результатам автоматической самодиагностики обобщенного события или каждого факта события;</w:t>
      </w:r>
    </w:p>
    <w:p>
      <w:pPr>
        <w:pStyle w:val="ListParagraph1"/>
        <w:widowControl w:val="false"/>
        <w:spacing w:lineRule="auto" w:line="324" w:before="120" w:after="0"/>
        <w:ind w:firstLine="1134" w:start="0" w:end="0"/>
        <w:contextualSpacing/>
        <w:jc w:val="both"/>
        <w:rPr/>
      </w:pPr>
      <w:r>
        <w:rPr/>
        <w:t>у) изменение текущих значений времени и даты при синхронизации времени с фиксацией в журнале событий времени до и после коррекции или величины коррекции времени, на которую было скорректировано значение;</w:t>
      </w:r>
    </w:p>
    <w:p>
      <w:pPr>
        <w:pStyle w:val="ListParagraph1"/>
        <w:widowControl w:val="false"/>
        <w:spacing w:lineRule="auto" w:line="324" w:before="120" w:after="0"/>
        <w:ind w:firstLine="1134" w:start="0" w:end="0"/>
        <w:contextualSpacing/>
        <w:jc w:val="both"/>
        <w:rPr/>
      </w:pPr>
      <w:r>
        <w:rPr/>
        <w:t>ф) возможность полного и (или) частичного ограничения (возобновления) режима потребления электрической энергии, приостановление или ограничение предоставления коммунальной услуги (управление нагрузкой) с использованием встроенного коммутационного аппарата, в том числе путем его фиксации в положении «отключено» непосредственно на приборе учета электрической энергии (кроме приборов учета электрической энергии трансформаторного включения), в следующих случаях:</w:t>
      </w:r>
    </w:p>
    <w:p>
      <w:pPr>
        <w:pStyle w:val="ListParagraph1"/>
        <w:widowControl w:val="false"/>
        <w:spacing w:lineRule="auto" w:line="324" w:before="120" w:after="0"/>
        <w:ind w:firstLine="1134" w:start="0" w:end="0"/>
        <w:contextualSpacing/>
        <w:jc w:val="both"/>
        <w:rPr/>
      </w:pPr>
      <w:r>
        <w:rPr/>
        <w:t>запрос интеллектуальной системы учета;</w:t>
      </w:r>
    </w:p>
    <w:p>
      <w:pPr>
        <w:pStyle w:val="ListParagraph1"/>
        <w:widowControl w:val="false"/>
        <w:spacing w:lineRule="auto" w:line="324" w:before="120" w:after="0"/>
        <w:ind w:firstLine="1134" w:start="0" w:end="0"/>
        <w:contextualSpacing/>
        <w:jc w:val="both"/>
        <w:rPr/>
      </w:pPr>
      <w:r>
        <w:rPr/>
        <w:t>превышение заданных в приборе учета электрической энергии пределов параметров электрической сети;</w:t>
      </w:r>
    </w:p>
    <w:p>
      <w:pPr>
        <w:pStyle w:val="ListParagraph1"/>
        <w:widowControl w:val="false"/>
        <w:spacing w:lineRule="auto" w:line="324" w:before="120" w:after="0"/>
        <w:ind w:firstLine="1134" w:start="0" w:end="0"/>
        <w:contextualSpacing/>
        <w:jc w:val="both"/>
        <w:rPr/>
      </w:pPr>
      <w:r>
        <w:rPr/>
        <w:t>превышение заданного в приборе учета электрической энергии предела электрической энергии (мощности);</w:t>
      </w:r>
    </w:p>
    <w:p>
      <w:pPr>
        <w:pStyle w:val="ListParagraph1"/>
        <w:widowControl w:val="false"/>
        <w:spacing w:lineRule="auto" w:line="324" w:before="120" w:after="0"/>
        <w:ind w:firstLine="1134" w:start="0" w:end="0"/>
        <w:contextualSpacing/>
        <w:jc w:val="both"/>
        <w:rPr/>
      </w:pPr>
      <w:r>
        <w:rPr/>
        <w:t>несанкционированный доступ к прибору учета электрической энергии (вскрытие клеммной крышки, вскрытие корпуса (для разборных корпусов) и воздействие постоянным и переменным магнитным полем);</w:t>
      </w:r>
    </w:p>
    <w:p>
      <w:pPr>
        <w:pStyle w:val="ListParagraph1"/>
        <w:widowControl w:val="false"/>
        <w:spacing w:lineRule="auto" w:line="324" w:before="120" w:after="0"/>
        <w:ind w:firstLine="1134" w:start="0" w:end="0"/>
        <w:contextualSpacing/>
        <w:jc w:val="both"/>
        <w:rPr/>
      </w:pPr>
      <w:r>
        <w:rPr/>
        <w:t>х) возобновление подачи электрической энергии по запросу интеллектуальной системы учета, в том числе путем фиксации встроенного коммутационного аппарата в положении «включено» непосредственно на приборе учета электрической энергии;</w:t>
      </w:r>
    </w:p>
    <w:p>
      <w:pPr>
        <w:pStyle w:val="ListParagraph1"/>
        <w:widowControl w:val="false"/>
        <w:spacing w:lineRule="auto" w:line="324" w:before="120" w:after="0"/>
        <w:ind w:firstLine="1134" w:start="0" w:end="0"/>
        <w:contextualSpacing/>
        <w:jc w:val="both"/>
        <w:rPr/>
      </w:pPr>
      <w:r>
        <w:rPr/>
        <w:t>ц) хранение профиля принятой и отданной активной и реактивной энергии (мощности) с программируемым интервалом времени интегрирования от 1 минуты до 60 минут и периодом хранения не менее 90 суток (при времени интегрирования 30 минут);</w:t>
      </w:r>
    </w:p>
    <w:p>
      <w:pPr>
        <w:pStyle w:val="ListParagraph1"/>
        <w:widowControl w:val="false"/>
        <w:spacing w:lineRule="auto" w:line="324" w:before="120" w:after="0"/>
        <w:ind w:firstLine="1134" w:start="0" w:end="0"/>
        <w:contextualSpacing/>
        <w:jc w:val="both"/>
        <w:rPr/>
      </w:pPr>
      <w:r>
        <w:rPr/>
        <w:t>ч) хранение в энергонезависимом запоминающем устройстве прибора учета электрической энергии данных по принятой и отданной активной и реактивной энергии с нарастающим итогом на начало текущего расчетного периода и не менее 36 предыдущих программируемых расчетных периодов;</w:t>
      </w:r>
    </w:p>
    <w:p>
      <w:pPr>
        <w:pStyle w:val="ListParagraph1"/>
        <w:widowControl w:val="false"/>
        <w:spacing w:lineRule="auto" w:line="324" w:before="120" w:after="0"/>
        <w:ind w:firstLine="1134" w:start="0" w:end="0"/>
        <w:contextualSpacing/>
        <w:jc w:val="both"/>
        <w:rPr/>
      </w:pPr>
      <w:r>
        <w:rPr/>
        <w:t>ш) обеспечение энергонезависимого хранения журнала событий, выявление фактов изменения (искажения) информации, влияющих на информацию о количестве и иных параметрах электрической энергии, а также фактов изменения (искажения) программного обеспечения прибора учета электрической энергии;</w:t>
      </w:r>
    </w:p>
    <w:p>
      <w:pPr>
        <w:pStyle w:val="ListParagraph1"/>
        <w:widowControl w:val="false"/>
        <w:spacing w:lineRule="auto" w:line="324" w:before="120" w:after="0"/>
        <w:ind w:firstLine="1134" w:start="0" w:end="0"/>
        <w:contextualSpacing/>
        <w:jc w:val="both"/>
        <w:rPr/>
      </w:pPr>
      <w:r>
        <w:rPr/>
        <w:t>щ) возможность организации с использованием защищенных протоколов передачи данных из состава протоколов, утвержденных Министерством цифрового развития, связи и массовых коммуникаций Российской Федерации по согласованию с Министерством энергетики Российской Федерации, информационного обмена с интеллектуальной системой учета, в том числе передачи показаний, предоставления информации о результатах измерения количества и иных параметров электрической энергии, передачи журналов событий и данных о параметрах настройки, а также удаленного управления прибором учета электрической энергии, не влияющих на результаты выполняемых приборами учета электрической энергии измерений, включая:</w:t>
      </w:r>
    </w:p>
    <w:p>
      <w:pPr>
        <w:pStyle w:val="ListParagraph1"/>
        <w:widowControl w:val="false"/>
        <w:spacing w:lineRule="auto" w:line="324" w:before="120" w:after="0"/>
        <w:ind w:firstLine="1134" w:start="0" w:end="0"/>
        <w:contextualSpacing/>
        <w:jc w:val="both"/>
        <w:rPr/>
      </w:pPr>
      <w:r>
        <w:rPr/>
        <w:t>корректировку текущей даты и (или) времени, часового пояса;</w:t>
      </w:r>
    </w:p>
    <w:p>
      <w:pPr>
        <w:pStyle w:val="ListParagraph1"/>
        <w:widowControl w:val="false"/>
        <w:spacing w:lineRule="auto" w:line="324" w:before="120" w:after="0"/>
        <w:ind w:firstLine="1134" w:start="0" w:end="0"/>
        <w:contextualSpacing/>
        <w:jc w:val="both"/>
        <w:rPr/>
      </w:pPr>
      <w:r>
        <w:rPr/>
        <w:t>изменение тарифного расписания;</w:t>
      </w:r>
    </w:p>
    <w:p>
      <w:pPr>
        <w:pStyle w:val="ListParagraph1"/>
        <w:widowControl w:val="false"/>
        <w:spacing w:lineRule="auto" w:line="324" w:before="120" w:after="0"/>
        <w:ind w:firstLine="1134" w:start="0" w:end="0"/>
        <w:contextualSpacing/>
        <w:jc w:val="both"/>
        <w:rPr/>
      </w:pPr>
      <w:r>
        <w:rPr/>
        <w:t>программирование состава и последовательности вывода сообщений и измеряемых параметров на дисплей;</w:t>
      </w:r>
    </w:p>
    <w:p>
      <w:pPr>
        <w:pStyle w:val="ListParagraph1"/>
        <w:widowControl w:val="false"/>
        <w:spacing w:lineRule="auto" w:line="324" w:before="120" w:after="0"/>
        <w:ind w:firstLine="1134" w:start="0" w:end="0"/>
        <w:contextualSpacing/>
        <w:jc w:val="both"/>
        <w:rPr/>
      </w:pPr>
      <w:r>
        <w:rPr/>
        <w:t>программирование параметров фиксации индивидуальных параметров качества электроснабжения;</w:t>
      </w:r>
    </w:p>
    <w:p>
      <w:pPr>
        <w:pStyle w:val="ListParagraph1"/>
        <w:widowControl w:val="false"/>
        <w:spacing w:lineRule="auto" w:line="324" w:before="120" w:after="0"/>
        <w:ind w:firstLine="1134" w:start="0" w:end="0"/>
        <w:contextualSpacing/>
        <w:jc w:val="both"/>
        <w:rPr/>
      </w:pPr>
      <w:r>
        <w:rPr/>
        <w:t>программирование даты начала расчетного периода;</w:t>
      </w:r>
    </w:p>
    <w:p>
      <w:pPr>
        <w:pStyle w:val="ListParagraph1"/>
        <w:widowControl w:val="false"/>
        <w:spacing w:lineRule="auto" w:line="324" w:before="120" w:after="0"/>
        <w:ind w:firstLine="1134" w:start="0" w:end="0"/>
        <w:contextualSpacing/>
        <w:jc w:val="both"/>
        <w:rPr/>
      </w:pPr>
      <w:r>
        <w:rPr/>
        <w:t>программирование параметров срабатывания встроенных коммутационных аппаратов;</w:t>
      </w:r>
    </w:p>
    <w:p>
      <w:pPr>
        <w:pStyle w:val="ListParagraph1"/>
        <w:widowControl w:val="false"/>
        <w:spacing w:lineRule="auto" w:line="324" w:before="120" w:after="0"/>
        <w:ind w:firstLine="1134" w:start="0" w:end="0"/>
        <w:contextualSpacing/>
        <w:jc w:val="both"/>
        <w:rPr/>
      </w:pPr>
      <w:r>
        <w:rPr/>
        <w:t>изменение паролей доступа к параметрам;</w:t>
      </w:r>
    </w:p>
    <w:p>
      <w:pPr>
        <w:pStyle w:val="ListParagraph1"/>
        <w:widowControl w:val="false"/>
        <w:spacing w:lineRule="auto" w:line="324" w:before="120" w:after="0"/>
        <w:ind w:firstLine="1134" w:start="0" w:end="0"/>
        <w:contextualSpacing/>
        <w:jc w:val="both"/>
        <w:rPr/>
      </w:pPr>
      <w:r>
        <w:rPr/>
        <w:t>изменение ключей шифрования;</w:t>
      </w:r>
    </w:p>
    <w:p>
      <w:pPr>
        <w:pStyle w:val="ListParagraph1"/>
        <w:widowControl w:val="false"/>
        <w:spacing w:lineRule="auto" w:line="324" w:before="120" w:after="0"/>
        <w:ind w:firstLine="1134" w:start="0" w:end="0"/>
        <w:contextualSpacing/>
        <w:jc w:val="both"/>
        <w:rPr/>
      </w:pPr>
      <w:r>
        <w:rPr/>
        <w:t>управление встроенным коммутационным аппаратом путем его фиксации в положении «отключено» (кроме приборов учета электрической энергии трансформаторного включения);</w:t>
      </w:r>
    </w:p>
    <w:p>
      <w:pPr>
        <w:pStyle w:val="ListParagraph1"/>
        <w:widowControl w:val="false"/>
        <w:spacing w:lineRule="auto" w:line="324" w:before="120" w:after="0"/>
        <w:ind w:firstLine="1134" w:start="0" w:end="0"/>
        <w:contextualSpacing/>
        <w:jc w:val="both"/>
        <w:rPr/>
      </w:pPr>
      <w:r>
        <w:rPr/>
        <w:t>э) возможность передачи зарегистрированных событий в интеллектуальную систему учета по инициативе прибора учета электрической энергии в момент их возникновения и выбор их состава.</w:t>
      </w:r>
    </w:p>
    <w:p>
      <w:pPr>
        <w:pStyle w:val="ListParagraph1"/>
        <w:widowControl w:val="false"/>
        <w:numPr>
          <w:ilvl w:val="2"/>
          <w:numId w:val="3"/>
        </w:numPr>
        <w:spacing w:lineRule="auto" w:line="324" w:before="120" w:after="0"/>
        <w:ind w:firstLine="1134" w:start="0" w:end="0"/>
        <w:contextualSpacing/>
        <w:jc w:val="both"/>
        <w:rPr/>
      </w:pPr>
      <w:r>
        <w:rPr/>
        <w:t>Хранение графиков активных мощностей (потребления), усредненных на заданном интервале времени 60 минут не менее 45 суток.</w:t>
      </w:r>
    </w:p>
    <w:p>
      <w:pPr>
        <w:pStyle w:val="ListParagraph1"/>
        <w:widowControl w:val="false"/>
        <w:numPr>
          <w:ilvl w:val="2"/>
          <w:numId w:val="3"/>
        </w:numPr>
        <w:spacing w:lineRule="auto" w:line="324" w:before="120" w:after="0"/>
        <w:ind w:firstLine="1134" w:start="0" w:end="0"/>
        <w:contextualSpacing/>
        <w:jc w:val="both"/>
        <w:rPr/>
      </w:pPr>
      <w:r>
        <w:rPr/>
        <w:t>Хранение данных о количестве потребленной активной электроэнергии нарастающим итогом суммарно и раздельно на конец суток не менее 45 суток.</w:t>
      </w:r>
    </w:p>
    <w:p>
      <w:pPr>
        <w:pStyle w:val="ListParagraph1"/>
        <w:widowControl w:val="false"/>
        <w:numPr>
          <w:ilvl w:val="2"/>
          <w:numId w:val="3"/>
        </w:numPr>
        <w:spacing w:lineRule="auto" w:line="324" w:before="120" w:after="0"/>
        <w:ind w:firstLine="1134" w:start="0" w:end="0"/>
        <w:contextualSpacing/>
        <w:jc w:val="both"/>
        <w:rPr/>
      </w:pPr>
      <w:r>
        <w:rPr/>
        <w:t>Хранение данных о количестве потребленной активной электроэнергии нарастающим итогом суммарно и раздельно на конец месяца и за 12 предыдущих месяцев.</w:t>
      </w:r>
    </w:p>
    <w:p>
      <w:pPr>
        <w:pStyle w:val="ListParagraph1"/>
        <w:widowControl w:val="false"/>
        <w:numPr>
          <w:ilvl w:val="2"/>
          <w:numId w:val="3"/>
        </w:numPr>
        <w:spacing w:lineRule="auto" w:line="324" w:before="120" w:after="0"/>
        <w:ind w:firstLine="1134" w:start="0" w:end="0"/>
        <w:contextualSpacing/>
        <w:jc w:val="both"/>
        <w:rPr/>
      </w:pPr>
      <w:r>
        <w:rPr/>
        <w:t>Хранение запрограммированных параметров не менее 3-х лет, последних 100 зафиксированных событий.</w:t>
      </w:r>
    </w:p>
    <w:p>
      <w:pPr>
        <w:pStyle w:val="ListParagraph1"/>
        <w:widowControl w:val="false"/>
        <w:numPr>
          <w:ilvl w:val="2"/>
          <w:numId w:val="3"/>
        </w:numPr>
        <w:spacing w:lineRule="auto" w:line="324" w:before="120" w:after="0"/>
        <w:ind w:firstLine="1134" w:start="0" w:end="0"/>
        <w:contextualSpacing/>
        <w:jc w:val="both"/>
        <w:rPr/>
      </w:pPr>
      <w:r>
        <w:rPr/>
        <w:t>Наличие встроенного в корпус прибора учета цифрового дисплея отображения информации, наличие внешнего цифрового (абонентского) дисплея для удаленного считывания информации.</w:t>
      </w:r>
    </w:p>
    <w:p>
      <w:pPr>
        <w:pStyle w:val="ListParagraph1"/>
        <w:widowControl w:val="false"/>
        <w:numPr>
          <w:ilvl w:val="2"/>
          <w:numId w:val="3"/>
        </w:numPr>
        <w:spacing w:lineRule="auto" w:line="324" w:before="120" w:after="0"/>
        <w:ind w:firstLine="1134" w:start="0" w:end="0"/>
        <w:contextualSpacing/>
        <w:jc w:val="both"/>
        <w:rPr/>
      </w:pPr>
      <w:r>
        <w:rPr/>
        <w:t>Возможность программирования, перепрограммирования, управления и считывания параметров и данных локально (оптопорт, RS-485, RS-232) и удаленно: управление реле, задание уставки порога мощности, установка тарифного расписания, установка/коррекция времени, задание расписания выхода счетчика в эфир, чтение накопленных значение по потреблению электроэнергии, чтение ПКЭ) значение напряжения, силы тока, частоты, векторной диаграммы между током и напряжением)</w:t>
      </w:r>
    </w:p>
    <w:p>
      <w:pPr>
        <w:pStyle w:val="ListParagraph1"/>
        <w:widowControl w:val="false"/>
        <w:numPr>
          <w:ilvl w:val="2"/>
          <w:numId w:val="3"/>
        </w:numPr>
        <w:spacing w:lineRule="auto" w:line="324" w:before="120" w:after="0"/>
        <w:ind w:firstLine="1134" w:start="0" w:end="0"/>
        <w:contextualSpacing/>
        <w:jc w:val="both"/>
        <w:rPr/>
      </w:pPr>
      <w:r>
        <w:rPr/>
        <w:t>Наличие резервного источника питания (встроенной батареи со сроком службы не менее 16 лет) для обеспечения точного хода часов и хранения данных при отсутствии питания на приборе учета.</w:t>
      </w:r>
    </w:p>
    <w:p>
      <w:pPr>
        <w:pStyle w:val="ListParagraph1"/>
        <w:widowControl w:val="false"/>
        <w:numPr>
          <w:ilvl w:val="2"/>
          <w:numId w:val="3"/>
        </w:numPr>
        <w:spacing w:lineRule="auto" w:line="324" w:before="120" w:after="0"/>
        <w:ind w:firstLine="1134" w:start="0" w:end="0"/>
        <w:contextualSpacing/>
        <w:jc w:val="both"/>
        <w:rPr/>
      </w:pPr>
      <w:r>
        <w:rPr/>
        <w:t>Наличие электронной пломбы корпуса прибора учета для контроля вскрытия.</w:t>
      </w:r>
    </w:p>
    <w:p>
      <w:pPr>
        <w:pStyle w:val="ListParagraph1"/>
        <w:widowControl w:val="false"/>
        <w:numPr>
          <w:ilvl w:val="2"/>
          <w:numId w:val="3"/>
        </w:numPr>
        <w:spacing w:lineRule="auto" w:line="324" w:before="120" w:after="0"/>
        <w:ind w:firstLine="1134" w:start="0" w:end="0"/>
        <w:contextualSpacing/>
        <w:jc w:val="both"/>
        <w:rPr/>
      </w:pPr>
      <w:r>
        <w:rPr/>
        <w:t>Базовая (максимальная) сила тока приборов учета электрической энергии определяется проектом.</w:t>
      </w:r>
    </w:p>
    <w:p>
      <w:pPr>
        <w:pStyle w:val="ListParagraph1"/>
        <w:widowControl w:val="false"/>
        <w:numPr>
          <w:ilvl w:val="1"/>
          <w:numId w:val="3"/>
        </w:numPr>
        <w:tabs>
          <w:tab w:val="clear" w:pos="708"/>
          <w:tab w:val="left" w:pos="1276" w:leader="none"/>
          <w:tab w:val="left" w:pos="7144" w:leader="none"/>
          <w:tab w:val="left" w:pos="10182" w:leader="none"/>
          <w:tab w:val="left" w:pos="11203" w:leader="none"/>
          <w:tab w:val="left" w:pos="13807" w:leader="none"/>
          <w:tab w:val="left" w:pos="15354" w:leader="none"/>
        </w:tabs>
        <w:spacing w:lineRule="auto" w:line="324" w:before="120" w:after="60"/>
        <w:ind w:firstLine="709" w:start="0" w:end="0"/>
        <w:contextualSpacing w:val="false"/>
        <w:jc w:val="both"/>
        <w:rPr>
          <w:b/>
        </w:rPr>
      </w:pPr>
      <w:r>
        <w:rPr>
          <w:b/>
        </w:rPr>
        <w:t>Требования к трансформаторам тока.</w:t>
      </w:r>
    </w:p>
    <w:p>
      <w:pPr>
        <w:pStyle w:val="ListParagraph1"/>
        <w:widowControl w:val="false"/>
        <w:numPr>
          <w:ilvl w:val="2"/>
          <w:numId w:val="3"/>
        </w:numPr>
        <w:spacing w:lineRule="auto" w:line="324"/>
        <w:ind w:firstLine="1134" w:start="0" w:end="0"/>
        <w:jc w:val="both"/>
        <w:rPr/>
      </w:pPr>
      <w:r>
        <w:rPr/>
        <w:t>Тип, коэффициенты трансформации определяются проектом.</w:t>
      </w:r>
    </w:p>
    <w:p>
      <w:pPr>
        <w:pStyle w:val="ListParagraph1"/>
        <w:widowControl w:val="false"/>
        <w:numPr>
          <w:ilvl w:val="2"/>
          <w:numId w:val="3"/>
        </w:numPr>
        <w:spacing w:lineRule="auto" w:line="324"/>
        <w:ind w:firstLine="1134" w:start="0" w:end="0"/>
        <w:jc w:val="both"/>
        <w:rPr/>
      </w:pPr>
      <w:r>
        <w:rPr/>
        <w:t>Класс точности применяемых трансформаторов тока не ниже 0,5.</w:t>
      </w:r>
    </w:p>
    <w:p>
      <w:pPr>
        <w:pStyle w:val="ListParagraph1"/>
        <w:widowControl w:val="false"/>
        <w:numPr>
          <w:ilvl w:val="2"/>
          <w:numId w:val="3"/>
        </w:numPr>
        <w:spacing w:lineRule="auto" w:line="324"/>
        <w:ind w:firstLine="1134" w:start="0" w:end="0"/>
        <w:jc w:val="both"/>
        <w:rPr/>
      </w:pPr>
      <w:r>
        <w:rPr/>
        <w:t>Межповерочный интервал трансформаторов тока не менее 6 лет.</w:t>
      </w:r>
    </w:p>
    <w:p>
      <w:pPr>
        <w:pStyle w:val="ListParagraph1"/>
        <w:widowControl w:val="false"/>
        <w:numPr>
          <w:ilvl w:val="2"/>
          <w:numId w:val="3"/>
        </w:numPr>
        <w:spacing w:lineRule="auto" w:line="324"/>
        <w:ind w:firstLine="1134" w:start="0" w:end="0"/>
        <w:jc w:val="both"/>
        <w:rPr/>
      </w:pPr>
      <w:r>
        <w:rPr/>
        <w:t>Трансформаторы тока должны быть поверены, иметь свидетельство о поверке, действующее на полный период межповерочного интервала на момент приобретения или отметку в паспорте о первичной заводской поверке.</w:t>
      </w:r>
    </w:p>
    <w:p>
      <w:pPr>
        <w:pStyle w:val="ListParagraph1"/>
        <w:widowControl w:val="false"/>
        <w:numPr>
          <w:ilvl w:val="2"/>
          <w:numId w:val="3"/>
        </w:numPr>
        <w:spacing w:lineRule="auto" w:line="324"/>
        <w:ind w:firstLine="1134" w:start="0" w:end="0"/>
        <w:jc w:val="both"/>
        <w:rPr/>
      </w:pPr>
      <w:r>
        <w:rPr>
          <w:color w:val="000000"/>
        </w:rPr>
        <w:t>Трансформаторы устойчивы к воздействию внешних механических факторов для группы механического исполнения М2 ГОСТ 30631-99. Исполнение трансформаторов по условиям установки на месте работы — встраиваемые, допускают установку в пространстве в любом положении. Контактные зажимы вторичной обмотки закрыты прозрачной пластмассовой крышкой, с возможностью опломбирования. По способу защиты от поражения электрическим током трансформаторы относятся к классу 0 по ГОСТ 12.2.007.0-75 и имеют степень защиты IP00 по ГОСТ 14254-2015.</w:t>
      </w:r>
    </w:p>
    <w:p>
      <w:pPr>
        <w:pStyle w:val="ListParagraph1"/>
        <w:widowControl w:val="false"/>
        <w:numPr>
          <w:ilvl w:val="2"/>
          <w:numId w:val="3"/>
        </w:numPr>
        <w:spacing w:lineRule="auto" w:line="324"/>
        <w:ind w:firstLine="1134" w:start="0" w:end="0"/>
        <w:jc w:val="both"/>
        <w:rPr/>
      </w:pPr>
      <w:r>
        <w:rPr/>
        <w:t>Коэффициенты ТТ должны быть выбраны из фактической нагрузки по условиям ПУЭ.</w:t>
      </w:r>
    </w:p>
    <w:p>
      <w:pPr>
        <w:pStyle w:val="ListParagraph1"/>
        <w:widowControl w:val="false"/>
        <w:numPr>
          <w:ilvl w:val="1"/>
          <w:numId w:val="3"/>
        </w:numPr>
        <w:spacing w:lineRule="auto" w:line="324" w:before="120" w:after="60"/>
        <w:ind w:firstLine="709" w:start="0" w:end="0"/>
        <w:contextualSpacing w:val="false"/>
        <w:jc w:val="both"/>
        <w:outlineLvl w:val="1"/>
        <w:rPr>
          <w:b/>
        </w:rPr>
      </w:pPr>
      <w:r>
        <w:rPr>
          <w:b/>
        </w:rPr>
        <w:t>Требования к ИВКЭ</w:t>
      </w:r>
    </w:p>
    <w:p>
      <w:pPr>
        <w:pStyle w:val="ListParagraph1"/>
        <w:widowControl w:val="false"/>
        <w:numPr>
          <w:ilvl w:val="2"/>
          <w:numId w:val="3"/>
        </w:numPr>
        <w:spacing w:lineRule="auto" w:line="324"/>
        <w:ind w:firstLine="1134" w:start="0" w:end="0"/>
        <w:jc w:val="both"/>
        <w:rPr/>
      </w:pPr>
      <w:r>
        <w:rPr/>
        <w:t xml:space="preserve">ИВКЭ (сеть базовых станций и сервер) выполняет функции промежуточного сбора и хранения данных учета электроэнергии, а также предоставление интерфейса доступа к собранной информации. </w:t>
      </w:r>
    </w:p>
    <w:p>
      <w:pPr>
        <w:pStyle w:val="ListParagraph1"/>
        <w:widowControl w:val="false"/>
        <w:numPr>
          <w:ilvl w:val="2"/>
          <w:numId w:val="3"/>
        </w:numPr>
        <w:spacing w:lineRule="auto" w:line="324"/>
        <w:ind w:firstLine="1134" w:start="0" w:end="0"/>
        <w:jc w:val="both"/>
        <w:rPr/>
      </w:pPr>
      <w:r>
        <w:rPr/>
        <w:t>Форматы и протоколы передачи данных ИВКЭ должны иметь открытые протоколы обмена данными. При передаче данных должна быть обеспечена их защита от несанкционированного доступа.</w:t>
      </w:r>
    </w:p>
    <w:p>
      <w:pPr>
        <w:pStyle w:val="ListParagraph1"/>
        <w:widowControl w:val="false"/>
        <w:numPr>
          <w:ilvl w:val="2"/>
          <w:numId w:val="3"/>
        </w:numPr>
        <w:spacing w:lineRule="auto" w:line="324"/>
        <w:ind w:firstLine="1134" w:start="0" w:end="0"/>
        <w:jc w:val="both"/>
        <w:rPr/>
      </w:pPr>
      <w:r>
        <w:rPr/>
        <w:t>Применяемые ИВКЭ должны обеспечивать:</w:t>
      </w:r>
    </w:p>
    <w:p>
      <w:pPr>
        <w:pStyle w:val="Normal"/>
        <w:widowControl w:val="false"/>
        <w:numPr>
          <w:ilvl w:val="0"/>
          <w:numId w:val="7"/>
        </w:numPr>
        <w:spacing w:lineRule="auto" w:line="324" w:before="0" w:after="0"/>
        <w:ind w:firstLine="1134" w:start="0" w:end="0"/>
        <w:contextualSpacing/>
        <w:jc w:val="both"/>
        <w:rPr>
          <w:rFonts w:ascii="Times New Roman" w:hAnsi="Times New Roman"/>
          <w:sz w:val="24"/>
        </w:rPr>
      </w:pPr>
      <w:r>
        <w:rPr>
          <w:rFonts w:ascii="Times New Roman" w:hAnsi="Times New Roman"/>
          <w:sz w:val="24"/>
        </w:rPr>
        <w:t xml:space="preserve">интерфейсы связи с приборами учета; </w:t>
      </w:r>
    </w:p>
    <w:p>
      <w:pPr>
        <w:pStyle w:val="Normal"/>
        <w:widowControl w:val="false"/>
        <w:numPr>
          <w:ilvl w:val="0"/>
          <w:numId w:val="7"/>
        </w:numPr>
        <w:spacing w:lineRule="auto" w:line="324" w:before="0" w:after="0"/>
        <w:ind w:firstLine="1134" w:start="0" w:end="0"/>
        <w:contextualSpacing/>
        <w:jc w:val="both"/>
        <w:rPr>
          <w:rFonts w:ascii="Times New Roman" w:hAnsi="Times New Roman"/>
          <w:sz w:val="24"/>
        </w:rPr>
      </w:pPr>
      <w:r>
        <w:rPr>
          <w:rFonts w:ascii="Times New Roman" w:hAnsi="Times New Roman"/>
          <w:sz w:val="24"/>
        </w:rPr>
        <w:t>интерфейсы для подключения оборудования связи и технологических соединений;</w:t>
      </w:r>
    </w:p>
    <w:p>
      <w:pPr>
        <w:pStyle w:val="Normal"/>
        <w:widowControl w:val="false"/>
        <w:numPr>
          <w:ilvl w:val="0"/>
          <w:numId w:val="7"/>
        </w:numPr>
        <w:spacing w:lineRule="auto" w:line="324" w:before="0" w:after="0"/>
        <w:ind w:firstLine="1134" w:start="0" w:end="0"/>
        <w:contextualSpacing/>
        <w:jc w:val="both"/>
        <w:rPr>
          <w:rFonts w:ascii="Times New Roman" w:hAnsi="Times New Roman"/>
          <w:sz w:val="24"/>
        </w:rPr>
      </w:pPr>
      <w:r>
        <w:rPr>
          <w:rFonts w:ascii="Times New Roman" w:hAnsi="Times New Roman"/>
          <w:sz w:val="24"/>
        </w:rPr>
        <w:t>автоматическую коррекцию (синхронизацию) времени обслуживаемых счетчиков электрической энергии.</w:t>
      </w:r>
    </w:p>
    <w:p>
      <w:pPr>
        <w:pStyle w:val="Normal"/>
        <w:widowControl w:val="false"/>
        <w:numPr>
          <w:ilvl w:val="0"/>
          <w:numId w:val="7"/>
        </w:numPr>
        <w:spacing w:lineRule="auto" w:line="324" w:before="0" w:after="0"/>
        <w:ind w:firstLine="1134" w:start="0" w:end="0"/>
        <w:contextualSpacing/>
        <w:jc w:val="both"/>
        <w:rPr>
          <w:rFonts w:ascii="Times New Roman" w:hAnsi="Times New Roman"/>
          <w:sz w:val="24"/>
        </w:rPr>
      </w:pPr>
      <w:r>
        <w:rPr>
          <w:rFonts w:ascii="Times New Roman" w:hAnsi="Times New Roman"/>
          <w:sz w:val="24"/>
        </w:rPr>
        <w:t>сбор и передачу накопленных данных (профилей, суточных показаний, параметров энергопотребления и служебной информации с приборов учета) в программно-аппаратный комплекс верхнего уровня АО «Читаэнергосбыт» для их дальнейшей обработки и хранения;</w:t>
      </w:r>
    </w:p>
    <w:p>
      <w:pPr>
        <w:pStyle w:val="Normal"/>
        <w:widowControl w:val="false"/>
        <w:numPr>
          <w:ilvl w:val="0"/>
          <w:numId w:val="7"/>
        </w:numPr>
        <w:spacing w:lineRule="auto" w:line="324" w:before="0" w:after="0"/>
        <w:ind w:firstLine="1134" w:start="0" w:end="0"/>
        <w:contextualSpacing/>
        <w:jc w:val="both"/>
        <w:rPr>
          <w:rFonts w:ascii="Times New Roman" w:hAnsi="Times New Roman"/>
          <w:sz w:val="24"/>
        </w:rPr>
      </w:pPr>
      <w:r>
        <w:rPr>
          <w:rFonts w:ascii="Times New Roman" w:hAnsi="Times New Roman"/>
          <w:sz w:val="24"/>
        </w:rPr>
        <w:t>передачу на уровень ИВК перечня приборов учета, связь с которыми присутствует.</w:t>
      </w:r>
    </w:p>
    <w:p>
      <w:pPr>
        <w:pStyle w:val="Normal"/>
        <w:widowControl w:val="false"/>
        <w:numPr>
          <w:ilvl w:val="0"/>
          <w:numId w:val="7"/>
        </w:numPr>
        <w:spacing w:lineRule="auto" w:line="324" w:before="0" w:after="0"/>
        <w:ind w:firstLine="1134" w:start="0" w:end="0"/>
        <w:contextualSpacing/>
        <w:jc w:val="both"/>
        <w:rPr>
          <w:rFonts w:ascii="Times New Roman" w:hAnsi="Times New Roman"/>
          <w:sz w:val="24"/>
        </w:rPr>
      </w:pPr>
      <w:r>
        <w:rPr>
          <w:rFonts w:ascii="Times New Roman" w:hAnsi="Times New Roman"/>
          <w:sz w:val="24"/>
        </w:rPr>
        <w:t>трансляцию управляющих команд с уровня ИВК на уровень ИИК и передачу подтверждения выполнения команды от счетчика на ИВК.</w:t>
      </w:r>
    </w:p>
    <w:p>
      <w:pPr>
        <w:pStyle w:val="Normal"/>
        <w:widowControl w:val="false"/>
        <w:numPr>
          <w:ilvl w:val="0"/>
          <w:numId w:val="7"/>
        </w:numPr>
        <w:spacing w:lineRule="auto" w:line="324" w:before="0" w:after="0"/>
        <w:ind w:firstLine="1134" w:start="0" w:end="0"/>
        <w:contextualSpacing/>
        <w:jc w:val="both"/>
        <w:rPr>
          <w:rFonts w:ascii="Times New Roman" w:hAnsi="Times New Roman"/>
          <w:sz w:val="24"/>
        </w:rPr>
      </w:pPr>
      <w:r>
        <w:rPr>
          <w:rFonts w:ascii="Times New Roman" w:hAnsi="Times New Roman"/>
          <w:sz w:val="24"/>
        </w:rPr>
        <w:t>ведение и передачу на уровень ИВК журнала событий, позволяющего установить время выхода/не выхода прибора учета на связь.</w:t>
      </w:r>
    </w:p>
    <w:p>
      <w:pPr>
        <w:pStyle w:val="Normal"/>
        <w:widowControl w:val="false"/>
        <w:numPr>
          <w:ilvl w:val="0"/>
          <w:numId w:val="7"/>
        </w:numPr>
        <w:spacing w:lineRule="auto" w:line="324" w:before="0" w:after="0"/>
        <w:ind w:firstLine="1134" w:start="0" w:end="0"/>
        <w:contextualSpacing/>
        <w:jc w:val="both"/>
        <w:rPr>
          <w:rFonts w:ascii="Times New Roman" w:hAnsi="Times New Roman"/>
          <w:sz w:val="24"/>
        </w:rPr>
      </w:pPr>
      <w:r>
        <w:rPr>
          <w:rFonts w:ascii="Times New Roman" w:hAnsi="Times New Roman"/>
          <w:sz w:val="24"/>
        </w:rPr>
        <w:t>автоматический поиск приборов учета в сети и включение найденных приборов учета в схему опроса. Добавление приборов учета в базу данных сервера и ПО верхнего уровня должно осуществляться в ручном режиме, в соответствии с привязкой приборов учета к конкретным местам установки, а также заведением всех необходимых параметров авторизации.</w:t>
      </w:r>
    </w:p>
    <w:p>
      <w:pPr>
        <w:pStyle w:val="Normal"/>
        <w:widowControl w:val="false"/>
        <w:numPr>
          <w:ilvl w:val="0"/>
          <w:numId w:val="7"/>
        </w:numPr>
        <w:spacing w:lineRule="auto" w:line="324" w:before="0" w:after="0"/>
        <w:ind w:firstLine="1134" w:start="0" w:end="0"/>
        <w:contextualSpacing/>
        <w:jc w:val="both"/>
        <w:rPr>
          <w:rFonts w:ascii="Times New Roman" w:hAnsi="Times New Roman"/>
          <w:sz w:val="24"/>
        </w:rPr>
      </w:pPr>
      <w:r>
        <w:rPr>
          <w:rFonts w:ascii="Times New Roman" w:hAnsi="Times New Roman"/>
          <w:sz w:val="24"/>
        </w:rPr>
        <w:t>дистанционную коррекцию схемы опроса.</w:t>
      </w:r>
    </w:p>
    <w:p>
      <w:pPr>
        <w:pStyle w:val="Normal"/>
        <w:widowControl w:val="false"/>
        <w:numPr>
          <w:ilvl w:val="0"/>
          <w:numId w:val="7"/>
        </w:numPr>
        <w:spacing w:lineRule="auto" w:line="324" w:before="0" w:after="0"/>
        <w:ind w:firstLine="1134" w:start="0" w:end="0"/>
        <w:contextualSpacing/>
        <w:jc w:val="both"/>
        <w:rPr>
          <w:rFonts w:ascii="Times New Roman" w:hAnsi="Times New Roman"/>
          <w:sz w:val="24"/>
        </w:rPr>
      </w:pPr>
      <w:r>
        <w:rPr>
          <w:rFonts w:ascii="Times New Roman" w:hAnsi="Times New Roman"/>
          <w:sz w:val="24"/>
        </w:rPr>
        <w:t>защиту от несанкционированного доступа на аппаратном уровне посредством опломбировки разъёмов, функциональных модулей и т.п., и на программном уровне - вводом пароля.</w:t>
      </w:r>
    </w:p>
    <w:p>
      <w:pPr>
        <w:pStyle w:val="Normal"/>
        <w:widowControl w:val="false"/>
        <w:numPr>
          <w:ilvl w:val="0"/>
          <w:numId w:val="7"/>
        </w:numPr>
        <w:spacing w:lineRule="auto" w:line="324" w:before="0" w:after="0"/>
        <w:ind w:firstLine="1134" w:start="0" w:end="0"/>
        <w:contextualSpacing/>
        <w:jc w:val="both"/>
        <w:rPr>
          <w:rFonts w:ascii="Times New Roman" w:hAnsi="Times New Roman"/>
          <w:sz w:val="24"/>
        </w:rPr>
      </w:pPr>
      <w:r>
        <w:rPr>
          <w:rFonts w:ascii="Times New Roman" w:hAnsi="Times New Roman"/>
          <w:sz w:val="24"/>
        </w:rPr>
        <w:t>функцию самодиагностики с фиксацией результата в «Журнале событий» и отображение соответствующей индикации.</w:t>
      </w:r>
    </w:p>
    <w:p>
      <w:pPr>
        <w:pStyle w:val="ListParagraph1"/>
        <w:widowControl w:val="false"/>
        <w:numPr>
          <w:ilvl w:val="2"/>
          <w:numId w:val="3"/>
        </w:numPr>
        <w:spacing w:lineRule="auto" w:line="324"/>
        <w:ind w:firstLine="1134" w:start="0" w:end="0"/>
        <w:jc w:val="both"/>
        <w:rPr/>
      </w:pPr>
      <w:r>
        <w:rPr/>
        <w:t>Напряжение питания базовой станции от сети переменного тока должно составлять 220 В с допустимым отклонением напряжения в пределах ± 20%. Электропотребление базовой станции с полным набором электронных модулей, не должно превышать 100 Вт. Охлаждение базовой станции должно осуществляться за счет естественной конвекции.</w:t>
      </w:r>
    </w:p>
    <w:p>
      <w:pPr>
        <w:pStyle w:val="ListParagraph1"/>
        <w:widowControl w:val="false"/>
        <w:numPr>
          <w:ilvl w:val="2"/>
          <w:numId w:val="3"/>
        </w:numPr>
        <w:spacing w:lineRule="auto" w:line="324"/>
        <w:ind w:firstLine="1134" w:start="0" w:end="0"/>
        <w:jc w:val="both"/>
        <w:rPr/>
      </w:pPr>
      <w:r>
        <w:rPr/>
        <w:t xml:space="preserve">Для передачи данных от базовой станции к серверу необходимо использовать канал GSM как основной, канал Ethernet как резервный. </w:t>
      </w:r>
    </w:p>
    <w:p>
      <w:pPr>
        <w:pStyle w:val="ListParagraph1"/>
        <w:widowControl w:val="false"/>
        <w:numPr>
          <w:ilvl w:val="2"/>
          <w:numId w:val="3"/>
        </w:numPr>
        <w:spacing w:lineRule="auto" w:line="324"/>
        <w:ind w:firstLine="1134" w:start="0" w:end="0"/>
        <w:jc w:val="both"/>
        <w:rPr/>
      </w:pPr>
      <w:r>
        <w:rPr/>
        <w:t>Для обеспечения устойчивой связи между базовой станцией и сервером сети LoRaWAN, базовые станции должны быть расположены в местах качественного покрытия сети GSM.</w:t>
      </w:r>
    </w:p>
    <w:p>
      <w:pPr>
        <w:pStyle w:val="ListParagraph1"/>
        <w:widowControl w:val="false"/>
        <w:numPr>
          <w:ilvl w:val="2"/>
          <w:numId w:val="3"/>
        </w:numPr>
        <w:spacing w:lineRule="auto" w:line="324"/>
        <w:ind w:firstLine="1134" w:start="0" w:end="0"/>
        <w:jc w:val="both"/>
        <w:rPr/>
      </w:pPr>
      <w:r>
        <w:rPr/>
        <w:t>Для обеспечения перекрытия сети соседними базовыми станциями, 80% абонентских устройств должны попадать в зону покрытия 2-х базовых станций. Требование по перекрытию сети соседними базовыми станциями связано с режимами работы базовых станций при приеме и передаче данных, особенностями распространения радиосигнала в местах размещения ПУ и обусловлено:</w:t>
      </w:r>
    </w:p>
    <w:p>
      <w:pPr>
        <w:pStyle w:val="ListParagraph1"/>
        <w:widowControl w:val="false"/>
        <w:numPr>
          <w:ilvl w:val="0"/>
          <w:numId w:val="8"/>
        </w:numPr>
        <w:tabs>
          <w:tab w:val="clear" w:pos="708"/>
          <w:tab w:val="left" w:pos="1843" w:leader="none"/>
        </w:tabs>
        <w:spacing w:lineRule="auto" w:line="324"/>
        <w:ind w:firstLine="1276" w:start="0" w:end="0"/>
        <w:jc w:val="both"/>
        <w:rPr/>
      </w:pPr>
      <w:r>
        <w:rPr/>
        <w:t>конфигурацией (разбросом) МКД из Адресной программы (разбросанность групп адресов по разным районам населенных пунктов ведет к увеличению количества базовых станций);</w:t>
      </w:r>
    </w:p>
    <w:p>
      <w:pPr>
        <w:pStyle w:val="ListParagraph1"/>
        <w:widowControl w:val="false"/>
        <w:numPr>
          <w:ilvl w:val="0"/>
          <w:numId w:val="8"/>
        </w:numPr>
        <w:tabs>
          <w:tab w:val="clear" w:pos="708"/>
          <w:tab w:val="left" w:pos="1843" w:leader="none"/>
        </w:tabs>
        <w:spacing w:lineRule="auto" w:line="324"/>
        <w:ind w:firstLine="1276" w:start="0" w:end="0"/>
        <w:jc w:val="both"/>
        <w:rPr/>
      </w:pPr>
      <w:r>
        <w:rPr/>
        <w:t>требованиями стабильной передачи установленного объема данных в соответствии с настоящим техническим заданием;</w:t>
      </w:r>
    </w:p>
    <w:p>
      <w:pPr>
        <w:pStyle w:val="ListParagraph1"/>
        <w:widowControl w:val="false"/>
        <w:numPr>
          <w:ilvl w:val="0"/>
          <w:numId w:val="8"/>
        </w:numPr>
        <w:tabs>
          <w:tab w:val="clear" w:pos="708"/>
          <w:tab w:val="left" w:pos="1843" w:leader="none"/>
        </w:tabs>
        <w:spacing w:lineRule="auto" w:line="324"/>
        <w:ind w:firstLine="1276" w:start="0" w:end="0"/>
        <w:jc w:val="both"/>
        <w:rPr/>
      </w:pPr>
      <w:r>
        <w:rPr/>
        <w:t>требованиями стабильного дистанционного управления и настройки ПУ;</w:t>
      </w:r>
    </w:p>
    <w:p>
      <w:pPr>
        <w:pStyle w:val="ListParagraph1"/>
        <w:widowControl w:val="false"/>
        <w:numPr>
          <w:ilvl w:val="0"/>
          <w:numId w:val="8"/>
        </w:numPr>
        <w:tabs>
          <w:tab w:val="clear" w:pos="708"/>
          <w:tab w:val="left" w:pos="1843" w:leader="none"/>
        </w:tabs>
        <w:spacing w:lineRule="auto" w:line="324"/>
        <w:ind w:firstLine="1276" w:start="0" w:end="0"/>
        <w:jc w:val="both"/>
        <w:rPr/>
      </w:pPr>
      <w:r>
        <w:rPr/>
        <w:t>пропускной способностью сети, построенной под Адресную программу. Для стабильности сети LoRaWAN необходим 15% запас трафика передаваемых данных с целью сглаживания перегрузки сети в пиковые моменты работы по дополнительным запросам и работы операторов ИСУ;</w:t>
      </w:r>
    </w:p>
    <w:p>
      <w:pPr>
        <w:pStyle w:val="ListParagraph1"/>
        <w:widowControl w:val="false"/>
        <w:numPr>
          <w:ilvl w:val="0"/>
          <w:numId w:val="8"/>
        </w:numPr>
        <w:tabs>
          <w:tab w:val="clear" w:pos="708"/>
          <w:tab w:val="left" w:pos="1843" w:leader="none"/>
        </w:tabs>
        <w:spacing w:lineRule="auto" w:line="324"/>
        <w:ind w:firstLine="1276" w:start="0" w:end="0"/>
        <w:jc w:val="both"/>
        <w:rPr/>
      </w:pPr>
      <w:r>
        <w:rPr/>
        <w:t>размещением приборов учета в металлических шкафах, что может существенно ухудшать радиообмен как в целом, так и в определенных направления распространения радиосигнала.</w:t>
      </w:r>
    </w:p>
    <w:p>
      <w:pPr>
        <w:pStyle w:val="ListParagraph1"/>
        <w:widowControl w:val="false"/>
        <w:numPr>
          <w:ilvl w:val="2"/>
          <w:numId w:val="3"/>
        </w:numPr>
        <w:spacing w:lineRule="auto" w:line="324"/>
        <w:ind w:firstLine="1134" w:start="0" w:end="0"/>
        <w:jc w:val="both"/>
        <w:rPr/>
      </w:pPr>
      <w:r>
        <w:rPr/>
        <w:t>Высота установки антенны базовой станции должна соответствовать или превышать высоту городской застройки для обеспечения максимальной зоны покрытия.</w:t>
      </w:r>
    </w:p>
    <w:p>
      <w:pPr>
        <w:pStyle w:val="ListParagraph1"/>
        <w:widowControl w:val="false"/>
        <w:numPr>
          <w:ilvl w:val="2"/>
          <w:numId w:val="3"/>
        </w:numPr>
        <w:spacing w:lineRule="auto" w:line="324"/>
        <w:ind w:firstLine="1134" w:start="0" w:end="0"/>
        <w:jc w:val="both"/>
        <w:rPr/>
      </w:pPr>
      <w:r>
        <w:rPr/>
        <w:t>При расчете покрытия сети должно учитываться влияние рельефа местности, плотности и высоты застройки, наличие зеленых насаждений и лесов в зоне распространения радиосигнала.</w:t>
      </w:r>
    </w:p>
    <w:p>
      <w:pPr>
        <w:pStyle w:val="ListParagraph1"/>
        <w:widowControl w:val="false"/>
        <w:numPr>
          <w:ilvl w:val="2"/>
          <w:numId w:val="3"/>
        </w:numPr>
        <w:spacing w:lineRule="auto" w:line="324"/>
        <w:ind w:firstLine="1134" w:start="0" w:end="0"/>
        <w:jc w:val="both"/>
        <w:rPr/>
      </w:pPr>
      <w:r>
        <w:rPr/>
        <w:t>Расчет покрытия сети должен быть построен для частотного диапазона RU863-870 (в соответствии с требованиями ГКРЧ: 864,0…868,0МГц и 868,7…869,2МГц).</w:t>
      </w:r>
    </w:p>
    <w:p>
      <w:pPr>
        <w:pStyle w:val="ListParagraph1"/>
        <w:widowControl w:val="false"/>
        <w:numPr>
          <w:ilvl w:val="2"/>
          <w:numId w:val="3"/>
        </w:numPr>
        <w:spacing w:lineRule="auto" w:line="324"/>
        <w:ind w:firstLine="1134" w:start="0" w:end="0"/>
        <w:jc w:val="both"/>
        <w:rPr/>
      </w:pPr>
      <w:r>
        <w:rPr/>
        <w:t>Оборудование ИВКЭ должно быть выполнено в промышленном исполнении, предназначенном для непрерывного функционирования в помещениях с повышенной опасностью, с возможностью их установки в ограниченных пространствах (в шкафах, отсеках, панелях и т.п.).</w:t>
      </w:r>
    </w:p>
    <w:p>
      <w:pPr>
        <w:pStyle w:val="ListParagraph1"/>
        <w:widowControl/>
        <w:numPr>
          <w:ilvl w:val="2"/>
          <w:numId w:val="3"/>
        </w:numPr>
        <w:spacing w:lineRule="auto" w:line="324" w:before="120" w:after="0"/>
        <w:ind w:firstLine="1134" w:start="0" w:end="0"/>
        <w:contextualSpacing/>
        <w:jc w:val="both"/>
        <w:rPr/>
      </w:pPr>
      <w:r>
        <w:rPr/>
        <w:t>Оборудование ИВКЭ должно поддерживать возможность комплексного учета энергетических ресурсов: электрическая энергия, горячая и холодная вода, тепловая энергия, газ.</w:t>
      </w:r>
    </w:p>
    <w:p>
      <w:pPr>
        <w:pStyle w:val="ListParagraph1"/>
        <w:widowControl/>
        <w:spacing w:lineRule="auto" w:line="324" w:before="120" w:after="0"/>
        <w:ind w:hanging="0" w:start="1134" w:end="0"/>
        <w:contextualSpacing/>
        <w:jc w:val="both"/>
        <w:rPr/>
      </w:pPr>
      <w:r>
        <w:rPr/>
      </w:r>
    </w:p>
    <w:p>
      <w:pPr>
        <w:pStyle w:val="ListParagraph1"/>
        <w:widowControl w:val="false"/>
        <w:numPr>
          <w:ilvl w:val="1"/>
          <w:numId w:val="9"/>
        </w:numPr>
        <w:spacing w:lineRule="auto" w:line="324" w:before="120" w:after="60"/>
        <w:ind w:hanging="210" w:start="919" w:end="0"/>
        <w:contextualSpacing w:val="false"/>
        <w:jc w:val="both"/>
        <w:outlineLvl w:val="1"/>
        <w:rPr>
          <w:b/>
        </w:rPr>
      </w:pPr>
      <w:r>
        <w:rPr>
          <w:b/>
        </w:rPr>
        <w:t>Требования к монтажу и местам установки оборудования.</w:t>
      </w:r>
    </w:p>
    <w:p>
      <w:pPr>
        <w:pStyle w:val="ListParagraph1"/>
        <w:widowControl w:val="false"/>
        <w:numPr>
          <w:ilvl w:val="2"/>
          <w:numId w:val="9"/>
        </w:numPr>
        <w:spacing w:lineRule="auto" w:line="324" w:before="120" w:after="60"/>
        <w:ind w:firstLine="709" w:start="0" w:end="0"/>
        <w:contextualSpacing/>
        <w:jc w:val="both"/>
        <w:outlineLvl w:val="1"/>
        <w:rPr/>
      </w:pPr>
      <w:r>
        <w:rPr/>
        <w:t>Приборы учета бытовых потребителей и юридических лиц устанавливать взамен существующих в имеющихся щитах и ящиках, при отсутствии щитов и ящиков место установки определить предпроектным обследованием. Тип щитов, необходимость замены щита или установки счетчиков с внешней антенной определяется при проведении предпроектного обследования.</w:t>
      </w:r>
    </w:p>
    <w:p>
      <w:pPr>
        <w:pStyle w:val="ListParagraph1"/>
        <w:widowControl w:val="false"/>
        <w:numPr>
          <w:ilvl w:val="1"/>
          <w:numId w:val="9"/>
        </w:numPr>
        <w:tabs>
          <w:tab w:val="clear" w:pos="708"/>
          <w:tab w:val="left" w:pos="1134" w:leader="none"/>
        </w:tabs>
        <w:spacing w:lineRule="auto" w:line="324" w:before="120" w:after="60"/>
        <w:ind w:firstLine="709" w:start="0" w:end="0"/>
        <w:contextualSpacing w:val="false"/>
        <w:jc w:val="both"/>
        <w:outlineLvl w:val="1"/>
        <w:rPr>
          <w:b/>
        </w:rPr>
      </w:pPr>
      <w:r>
        <w:rPr>
          <w:b/>
        </w:rPr>
        <w:t>Требования к каналам связи.</w:t>
      </w:r>
    </w:p>
    <w:p>
      <w:pPr>
        <w:pStyle w:val="ListParagraph1"/>
        <w:widowControl w:val="false"/>
        <w:numPr>
          <w:ilvl w:val="2"/>
          <w:numId w:val="9"/>
        </w:numPr>
        <w:spacing w:lineRule="auto" w:line="324" w:before="120" w:after="0"/>
        <w:ind w:firstLine="1134" w:start="0" w:end="0"/>
        <w:contextualSpacing/>
        <w:jc w:val="both"/>
        <w:rPr/>
      </w:pPr>
      <w:r>
        <w:rPr/>
        <w:t>При удаленном сборе данных учета передача данных должна осуществляться по беспроводным каналам связи.</w:t>
      </w:r>
    </w:p>
    <w:p>
      <w:pPr>
        <w:pStyle w:val="ListParagraph1"/>
        <w:widowControl w:val="false"/>
        <w:numPr>
          <w:ilvl w:val="2"/>
          <w:numId w:val="9"/>
        </w:numPr>
        <w:spacing w:lineRule="auto" w:line="324" w:before="120" w:after="0"/>
        <w:ind w:firstLine="1134" w:start="0" w:end="0"/>
        <w:contextualSpacing/>
        <w:jc w:val="both"/>
        <w:rPr/>
      </w:pPr>
      <w:r>
        <w:rPr/>
        <w:t>Техническая реализация каналов связи и используемые протоколы передачи данных должны обеспечивать минимальные задержки передачи данных расчетного учета с нижнего уровня на верхний с минимальной временной задержкой.</w:t>
      </w:r>
    </w:p>
    <w:p>
      <w:pPr>
        <w:pStyle w:val="ListParagraph1"/>
        <w:widowControl w:val="false"/>
        <w:numPr>
          <w:ilvl w:val="2"/>
          <w:numId w:val="9"/>
        </w:numPr>
        <w:spacing w:lineRule="auto" w:line="324" w:before="120" w:after="0"/>
        <w:ind w:firstLine="1134" w:start="0" w:end="0"/>
        <w:contextualSpacing/>
        <w:jc w:val="both"/>
        <w:rPr/>
      </w:pPr>
      <w:r>
        <w:rPr/>
        <w:t xml:space="preserve"> </w:t>
      </w:r>
      <w:r>
        <w:rPr/>
        <w:t>Периоды отправки данных определяются настройками периодичности отправки данных в соответствии с требованиями Правил предоставления доступа к минимальному набору функций.</w:t>
      </w:r>
    </w:p>
    <w:p>
      <w:pPr>
        <w:pStyle w:val="ListParagraph1"/>
        <w:widowControl w:val="false"/>
        <w:numPr>
          <w:ilvl w:val="2"/>
          <w:numId w:val="9"/>
        </w:numPr>
        <w:spacing w:lineRule="auto" w:line="324" w:before="120" w:after="0"/>
        <w:ind w:firstLine="1134" w:start="0" w:end="0"/>
        <w:contextualSpacing/>
        <w:jc w:val="both"/>
        <w:rPr/>
      </w:pPr>
      <w:r>
        <w:rPr/>
        <w:t>Встраиваемые в счетчики радиомодули не должны иметь внешнего блока питания.</w:t>
      </w:r>
    </w:p>
    <w:p>
      <w:pPr>
        <w:pStyle w:val="ListParagraph1"/>
        <w:widowControl w:val="false"/>
        <w:numPr>
          <w:ilvl w:val="2"/>
          <w:numId w:val="9"/>
        </w:numPr>
        <w:spacing w:lineRule="auto" w:line="324" w:before="120" w:after="0"/>
        <w:ind w:firstLine="1134" w:start="0" w:end="0"/>
        <w:contextualSpacing/>
        <w:jc w:val="both"/>
        <w:rPr/>
      </w:pPr>
      <w:r>
        <w:rPr/>
        <w:t>Передача информации от приборов учета до базовой станции должна осуществляться по протоколу LoRaWAN.</w:t>
      </w:r>
    </w:p>
    <w:p>
      <w:pPr>
        <w:pStyle w:val="ListParagraph1"/>
        <w:widowControl w:val="false"/>
        <w:numPr>
          <w:ilvl w:val="2"/>
          <w:numId w:val="9"/>
        </w:numPr>
        <w:spacing w:lineRule="auto" w:line="324" w:before="120" w:after="0"/>
        <w:ind w:firstLine="1134" w:start="0" w:end="0"/>
        <w:contextualSpacing/>
        <w:jc w:val="both"/>
        <w:rPr/>
      </w:pPr>
      <w:r>
        <w:rPr/>
        <w:t>Передача информации от базовой станции до центра сбора информации осуществляется по каналам сотовой связи стандарта GSM/GPRS и (или) по каналу Ethernet.</w:t>
      </w:r>
    </w:p>
    <w:p>
      <w:pPr>
        <w:pStyle w:val="ListParagraph1"/>
        <w:widowControl w:val="false"/>
        <w:numPr>
          <w:ilvl w:val="2"/>
          <w:numId w:val="9"/>
        </w:numPr>
        <w:spacing w:lineRule="auto" w:line="324" w:before="120" w:after="0"/>
        <w:ind w:firstLine="1134" w:start="0" w:end="0"/>
        <w:contextualSpacing/>
        <w:jc w:val="both"/>
        <w:rPr/>
      </w:pPr>
      <w:r>
        <w:rPr/>
        <w:t>Выбор оборудования должен производиться с учетом обеспечения требуемой надежности и экономичности (наименьших затрат) передачи данных.</w:t>
      </w:r>
    </w:p>
    <w:p>
      <w:pPr>
        <w:pStyle w:val="ListParagraph1"/>
        <w:widowControl w:val="false"/>
        <w:numPr>
          <w:ilvl w:val="2"/>
          <w:numId w:val="9"/>
        </w:numPr>
        <w:spacing w:lineRule="auto" w:line="324" w:before="120" w:after="0"/>
        <w:ind w:firstLine="1134" w:start="0" w:end="0"/>
        <w:contextualSpacing/>
        <w:jc w:val="both"/>
        <w:rPr/>
      </w:pPr>
      <w:r>
        <w:rPr/>
        <w:t>При определении месторасположения базовых станций следует исходить из территориального расположения субъектов и объектов учета</w:t>
      </w:r>
    </w:p>
    <w:p>
      <w:pPr>
        <w:pStyle w:val="ListParagraph1"/>
        <w:widowControl w:val="false"/>
        <w:numPr>
          <w:ilvl w:val="2"/>
          <w:numId w:val="9"/>
        </w:numPr>
        <w:spacing w:lineRule="auto" w:line="324" w:before="120" w:after="0"/>
        <w:ind w:firstLine="1134" w:start="0" w:end="0"/>
        <w:contextualSpacing/>
        <w:jc w:val="both"/>
        <w:rPr/>
      </w:pPr>
      <w:r>
        <w:rPr/>
        <w:t>Базовые станции и встроенные в приборы учета радиомодули должны быть настроены на частотный план, в соответствии с разрешенными частотами Государственной комиссии по радиочастотам (ГКРЧ). Предусмотреть использование в электросчетчиках радиомодулей.</w:t>
      </w:r>
    </w:p>
    <w:p>
      <w:pPr>
        <w:pStyle w:val="ListParagraph1"/>
        <w:widowControl w:val="false"/>
        <w:numPr>
          <w:ilvl w:val="1"/>
          <w:numId w:val="9"/>
        </w:numPr>
        <w:tabs>
          <w:tab w:val="clear" w:pos="708"/>
          <w:tab w:val="left" w:pos="284" w:leader="none"/>
        </w:tabs>
        <w:spacing w:lineRule="auto" w:line="324" w:before="120" w:after="60"/>
        <w:ind w:firstLine="709" w:start="0" w:end="0"/>
        <w:contextualSpacing w:val="false"/>
        <w:jc w:val="both"/>
        <w:outlineLvl w:val="1"/>
        <w:rPr>
          <w:b/>
        </w:rPr>
      </w:pPr>
      <w:r>
        <w:rPr>
          <w:b/>
        </w:rPr>
        <w:t>Требование к системе обеспечения единого времени (СОЕВ)</w:t>
      </w:r>
    </w:p>
    <w:p>
      <w:pPr>
        <w:pStyle w:val="ListParagraph1"/>
        <w:widowControl w:val="false"/>
        <w:numPr>
          <w:ilvl w:val="2"/>
          <w:numId w:val="9"/>
        </w:numPr>
        <w:tabs>
          <w:tab w:val="clear" w:pos="708"/>
          <w:tab w:val="left" w:pos="284" w:leader="none"/>
        </w:tabs>
        <w:spacing w:lineRule="auto" w:line="324" w:before="120" w:after="60"/>
        <w:ind w:firstLine="1134" w:start="0" w:end="0"/>
        <w:contextualSpacing/>
        <w:jc w:val="both"/>
        <w:outlineLvl w:val="1"/>
        <w:rPr/>
      </w:pPr>
      <w:r>
        <w:rPr/>
        <w:t>СОЕВ должна обеспечивать синхронизацию времени (единое календарное время) на всех уровнях иерархии (ИИК, ИВК) при проведении измерений количества электроэнергии с точностью не хуже ± 5 с/сутки с учетом временных характеристик (задержек) линий связи между ними.</w:t>
      </w:r>
    </w:p>
    <w:p>
      <w:pPr>
        <w:pStyle w:val="ListParagraph1"/>
        <w:widowControl w:val="false"/>
        <w:numPr>
          <w:ilvl w:val="2"/>
          <w:numId w:val="9"/>
        </w:numPr>
        <w:tabs>
          <w:tab w:val="clear" w:pos="708"/>
          <w:tab w:val="left" w:pos="284" w:leader="none"/>
        </w:tabs>
        <w:spacing w:lineRule="auto" w:line="324" w:before="120" w:after="60"/>
        <w:ind w:firstLine="1134" w:start="0" w:end="0"/>
        <w:contextualSpacing/>
        <w:jc w:val="both"/>
        <w:outlineLvl w:val="1"/>
        <w:rPr/>
      </w:pPr>
      <w:r>
        <w:rPr/>
        <w:t>Формирование единого календарного времени системы происходит на уровне ИВК с последующей синхронизацией ИИК посредством ИВКЭ или непосредственно ИИК.</w:t>
      </w:r>
    </w:p>
    <w:p>
      <w:pPr>
        <w:pStyle w:val="ListParagraph1"/>
        <w:widowControl w:val="false"/>
        <w:numPr>
          <w:ilvl w:val="2"/>
          <w:numId w:val="9"/>
        </w:numPr>
        <w:tabs>
          <w:tab w:val="clear" w:pos="708"/>
          <w:tab w:val="left" w:pos="284" w:leader="none"/>
        </w:tabs>
        <w:spacing w:lineRule="auto" w:line="324" w:before="120" w:after="60"/>
        <w:ind w:firstLine="1134" w:start="0" w:end="0"/>
        <w:contextualSpacing/>
        <w:jc w:val="both"/>
        <w:outlineLvl w:val="1"/>
        <w:rPr/>
      </w:pPr>
      <w:r>
        <w:rPr/>
        <w:t>СОЕВ должна обеспечивать автоматическую синхронизацию времени на всех уровнях системы с внешним эталонным источником единого календарного времени (частота выполнения синхронизации – не реже 1 раза в сутки).</w:t>
      </w:r>
    </w:p>
    <w:p>
      <w:pPr>
        <w:pStyle w:val="ListParagraph1"/>
        <w:widowControl w:val="false"/>
        <w:numPr>
          <w:ilvl w:val="1"/>
          <w:numId w:val="9"/>
        </w:numPr>
        <w:tabs>
          <w:tab w:val="clear" w:pos="708"/>
          <w:tab w:val="left" w:pos="284" w:leader="none"/>
        </w:tabs>
        <w:spacing w:lineRule="auto" w:line="324" w:before="120" w:after="60"/>
        <w:ind w:firstLine="709" w:start="0" w:end="0"/>
        <w:contextualSpacing w:val="false"/>
        <w:jc w:val="both"/>
        <w:outlineLvl w:val="1"/>
        <w:rPr>
          <w:b/>
        </w:rPr>
      </w:pPr>
      <w:r>
        <w:rPr>
          <w:b/>
        </w:rPr>
        <w:t>Требования к надёжности</w:t>
      </w:r>
    </w:p>
    <w:p>
      <w:pPr>
        <w:pStyle w:val="ListParagraph1"/>
        <w:widowControl w:val="false"/>
        <w:numPr>
          <w:ilvl w:val="2"/>
          <w:numId w:val="9"/>
        </w:numPr>
        <w:tabs>
          <w:tab w:val="clear" w:pos="708"/>
          <w:tab w:val="left" w:pos="284" w:leader="none"/>
        </w:tabs>
        <w:spacing w:lineRule="auto" w:line="324" w:before="120" w:after="60"/>
        <w:ind w:firstLine="1134" w:start="0" w:end="0"/>
        <w:contextualSpacing/>
        <w:jc w:val="both"/>
        <w:outlineLvl w:val="1"/>
        <w:rPr>
          <w:b/>
        </w:rPr>
      </w:pPr>
      <w:r>
        <w:rPr/>
        <w:t>Комплекс технических средств системы учета с удаленным сбором данных по показателям надёжности должны соответствовать требованиям ГОСТ 27883-88.</w:t>
      </w:r>
    </w:p>
    <w:p>
      <w:pPr>
        <w:pStyle w:val="ListParagraph1"/>
        <w:widowControl w:val="false"/>
        <w:numPr>
          <w:ilvl w:val="2"/>
          <w:numId w:val="9"/>
        </w:numPr>
        <w:tabs>
          <w:tab w:val="clear" w:pos="708"/>
          <w:tab w:val="left" w:pos="284" w:leader="none"/>
        </w:tabs>
        <w:spacing w:lineRule="auto" w:line="324" w:before="120" w:after="60"/>
        <w:ind w:firstLine="1134" w:start="0" w:end="0"/>
        <w:contextualSpacing/>
        <w:jc w:val="both"/>
        <w:outlineLvl w:val="1"/>
        <w:rPr>
          <w:b/>
        </w:rPr>
      </w:pPr>
      <w:r>
        <w:rPr/>
        <w:t>Все элементы системы учета должны быть защищены:</w:t>
      </w:r>
    </w:p>
    <w:p>
      <w:pPr>
        <w:pStyle w:val="Normal"/>
        <w:widowControl w:val="false"/>
        <w:numPr>
          <w:ilvl w:val="0"/>
          <w:numId w:val="10"/>
        </w:numPr>
        <w:tabs>
          <w:tab w:val="clear" w:pos="708"/>
          <w:tab w:val="left" w:pos="709" w:leader="none"/>
        </w:tabs>
        <w:spacing w:lineRule="auto" w:line="324" w:before="120" w:after="200"/>
        <w:ind w:firstLine="1134" w:start="0" w:end="0"/>
        <w:contextualSpacing/>
        <w:jc w:val="both"/>
        <w:rPr>
          <w:rFonts w:ascii="Times New Roman" w:hAnsi="Times New Roman"/>
          <w:sz w:val="24"/>
        </w:rPr>
      </w:pPr>
      <w:r>
        <w:rPr>
          <w:rFonts w:ascii="Times New Roman" w:hAnsi="Times New Roman"/>
          <w:sz w:val="24"/>
        </w:rPr>
        <w:t>от внезапных отключений напряжения питания аппаратуры;</w:t>
      </w:r>
    </w:p>
    <w:p>
      <w:pPr>
        <w:pStyle w:val="Normal"/>
        <w:widowControl w:val="false"/>
        <w:numPr>
          <w:ilvl w:val="0"/>
          <w:numId w:val="10"/>
        </w:numPr>
        <w:tabs>
          <w:tab w:val="clear" w:pos="708"/>
          <w:tab w:val="left" w:pos="709" w:leader="none"/>
        </w:tabs>
        <w:spacing w:lineRule="auto" w:line="324" w:before="120" w:after="200"/>
        <w:ind w:firstLine="1134" w:start="0" w:end="0"/>
        <w:contextualSpacing/>
        <w:jc w:val="both"/>
        <w:rPr>
          <w:rFonts w:ascii="Times New Roman" w:hAnsi="Times New Roman"/>
          <w:sz w:val="24"/>
        </w:rPr>
      </w:pPr>
      <w:r>
        <w:rPr>
          <w:rFonts w:ascii="Times New Roman" w:hAnsi="Times New Roman"/>
          <w:sz w:val="24"/>
        </w:rPr>
        <w:t>от внешних перенапряжений;</w:t>
      </w:r>
    </w:p>
    <w:p>
      <w:pPr>
        <w:pStyle w:val="Normal"/>
        <w:widowControl w:val="false"/>
        <w:numPr>
          <w:ilvl w:val="0"/>
          <w:numId w:val="10"/>
        </w:numPr>
        <w:tabs>
          <w:tab w:val="clear" w:pos="708"/>
          <w:tab w:val="left" w:pos="709" w:leader="none"/>
        </w:tabs>
        <w:spacing w:lineRule="auto" w:line="324" w:before="120" w:after="200"/>
        <w:ind w:firstLine="1134" w:start="0" w:end="0"/>
        <w:contextualSpacing/>
        <w:jc w:val="both"/>
        <w:rPr>
          <w:rFonts w:ascii="Times New Roman" w:hAnsi="Times New Roman"/>
          <w:sz w:val="24"/>
        </w:rPr>
      </w:pPr>
      <w:r>
        <w:rPr>
          <w:rFonts w:ascii="Times New Roman" w:hAnsi="Times New Roman"/>
          <w:sz w:val="24"/>
        </w:rPr>
        <w:t>от помех и искажений при передаче информации;</w:t>
      </w:r>
    </w:p>
    <w:p>
      <w:pPr>
        <w:pStyle w:val="Normal"/>
        <w:widowControl w:val="false"/>
        <w:numPr>
          <w:ilvl w:val="0"/>
          <w:numId w:val="10"/>
        </w:numPr>
        <w:tabs>
          <w:tab w:val="clear" w:pos="708"/>
          <w:tab w:val="left" w:pos="709" w:leader="none"/>
        </w:tabs>
        <w:spacing w:lineRule="auto" w:line="324" w:before="120" w:after="200"/>
        <w:ind w:firstLine="1134" w:start="0" w:end="0"/>
        <w:contextualSpacing/>
        <w:jc w:val="both"/>
        <w:rPr>
          <w:rFonts w:ascii="Times New Roman" w:hAnsi="Times New Roman"/>
          <w:sz w:val="24"/>
        </w:rPr>
      </w:pPr>
      <w:r>
        <w:rPr>
          <w:rFonts w:ascii="Times New Roman" w:hAnsi="Times New Roman"/>
          <w:sz w:val="24"/>
        </w:rPr>
        <w:t>от влияния отклонений температурных параметров, влажности, электромагнитных полей по условиям работы аппаратуры;</w:t>
      </w:r>
    </w:p>
    <w:p>
      <w:pPr>
        <w:pStyle w:val="Normal"/>
        <w:widowControl w:val="false"/>
        <w:numPr>
          <w:ilvl w:val="0"/>
          <w:numId w:val="10"/>
        </w:numPr>
        <w:tabs>
          <w:tab w:val="clear" w:pos="708"/>
          <w:tab w:val="left" w:pos="709" w:leader="none"/>
        </w:tabs>
        <w:spacing w:lineRule="auto" w:line="324" w:before="120" w:after="200"/>
        <w:ind w:firstLine="1134" w:start="0" w:end="0"/>
        <w:contextualSpacing/>
        <w:jc w:val="both"/>
        <w:rPr>
          <w:rFonts w:ascii="Times New Roman" w:hAnsi="Times New Roman"/>
          <w:sz w:val="24"/>
        </w:rPr>
      </w:pPr>
      <w:r>
        <w:rPr>
          <w:rFonts w:ascii="Times New Roman" w:hAnsi="Times New Roman"/>
          <w:sz w:val="24"/>
        </w:rPr>
        <w:t>от несанкционированного доступа.</w:t>
      </w:r>
    </w:p>
    <w:p>
      <w:pPr>
        <w:pStyle w:val="ListParagraph1"/>
        <w:widowControl w:val="false"/>
        <w:numPr>
          <w:ilvl w:val="1"/>
          <w:numId w:val="9"/>
        </w:numPr>
        <w:spacing w:lineRule="auto" w:line="324" w:before="120" w:after="60"/>
        <w:ind w:firstLine="709" w:start="0" w:end="0"/>
        <w:contextualSpacing w:val="false"/>
        <w:jc w:val="both"/>
        <w:outlineLvl w:val="1"/>
        <w:rPr>
          <w:b/>
        </w:rPr>
      </w:pPr>
      <w:r>
        <w:rPr>
          <w:b/>
        </w:rPr>
        <w:t>Метрологические и другие требования к системе и оборудованию.</w:t>
      </w:r>
    </w:p>
    <w:p>
      <w:pPr>
        <w:pStyle w:val="ListParagraph1"/>
        <w:widowControl w:val="false"/>
        <w:numPr>
          <w:ilvl w:val="2"/>
          <w:numId w:val="9"/>
        </w:numPr>
        <w:tabs>
          <w:tab w:val="clear" w:pos="708"/>
          <w:tab w:val="left" w:pos="2127" w:leader="none"/>
          <w:tab w:val="left" w:pos="6048" w:leader="none"/>
          <w:tab w:val="left" w:pos="7144" w:leader="none"/>
          <w:tab w:val="left" w:pos="10182" w:leader="none"/>
          <w:tab w:val="left" w:pos="11203" w:leader="none"/>
          <w:tab w:val="left" w:pos="13807" w:leader="none"/>
          <w:tab w:val="left" w:pos="15354" w:leader="none"/>
        </w:tabs>
        <w:spacing w:lineRule="auto" w:line="324"/>
        <w:ind w:firstLine="1134" w:start="0" w:end="0"/>
        <w:jc w:val="both"/>
        <w:rPr/>
      </w:pPr>
      <w:r>
        <w:rPr/>
        <w:t>Средства измерения входящие в состав системы должны иметь:</w:t>
      </w:r>
    </w:p>
    <w:p>
      <w:pPr>
        <w:pStyle w:val="Normal"/>
        <w:widowControl w:val="false"/>
        <w:numPr>
          <w:ilvl w:val="0"/>
          <w:numId w:val="10"/>
        </w:numPr>
        <w:tabs>
          <w:tab w:val="clear" w:pos="708"/>
        </w:tabs>
        <w:spacing w:lineRule="auto" w:line="324" w:before="0" w:after="0"/>
        <w:ind w:firstLine="1134" w:start="0" w:end="0"/>
        <w:contextualSpacing/>
        <w:jc w:val="both"/>
        <w:rPr>
          <w:rFonts w:ascii="Times New Roman" w:hAnsi="Times New Roman"/>
          <w:sz w:val="24"/>
        </w:rPr>
      </w:pPr>
      <w:r>
        <w:rPr>
          <w:rFonts w:ascii="Times New Roman" w:hAnsi="Times New Roman"/>
          <w:sz w:val="24"/>
        </w:rPr>
        <w:t>свидетельство об утверждении типа средств измерений Федерального агентства по техническому регулированию и метрологии и описание типа средств измерений при вводе в опытную эксплуатацию;</w:t>
      </w:r>
    </w:p>
    <w:p>
      <w:pPr>
        <w:pStyle w:val="Normal"/>
        <w:widowControl w:val="false"/>
        <w:numPr>
          <w:ilvl w:val="0"/>
          <w:numId w:val="10"/>
        </w:numPr>
        <w:tabs>
          <w:tab w:val="clear" w:pos="708"/>
        </w:tabs>
        <w:spacing w:lineRule="auto" w:line="324" w:before="0" w:after="0"/>
        <w:ind w:firstLine="1134" w:start="0" w:end="0"/>
        <w:contextualSpacing/>
        <w:jc w:val="both"/>
        <w:rPr>
          <w:rFonts w:ascii="Times New Roman" w:hAnsi="Times New Roman"/>
          <w:sz w:val="24"/>
        </w:rPr>
      </w:pPr>
      <w:r>
        <w:rPr>
          <w:rFonts w:ascii="Times New Roman" w:hAnsi="Times New Roman"/>
          <w:sz w:val="24"/>
        </w:rPr>
        <w:t>паспорта на приборы учета с указанием сроков поверки при вводе в опытную эксплуатацию;</w:t>
      </w:r>
    </w:p>
    <w:p>
      <w:pPr>
        <w:pStyle w:val="Normal"/>
        <w:widowControl w:val="false"/>
        <w:numPr>
          <w:ilvl w:val="0"/>
          <w:numId w:val="10"/>
        </w:numPr>
        <w:tabs>
          <w:tab w:val="clear" w:pos="708"/>
        </w:tabs>
        <w:spacing w:lineRule="auto" w:line="324" w:before="0" w:after="0"/>
        <w:ind w:firstLine="1134" w:start="0" w:end="0"/>
        <w:contextualSpacing/>
        <w:jc w:val="both"/>
        <w:rPr>
          <w:rFonts w:ascii="Times New Roman" w:hAnsi="Times New Roman"/>
          <w:sz w:val="24"/>
        </w:rPr>
      </w:pPr>
      <w:r>
        <w:rPr>
          <w:rFonts w:ascii="Times New Roman" w:hAnsi="Times New Roman"/>
          <w:sz w:val="24"/>
        </w:rPr>
        <w:t>руководство по монтажу;</w:t>
      </w:r>
    </w:p>
    <w:p>
      <w:pPr>
        <w:pStyle w:val="Normal"/>
        <w:widowControl w:val="false"/>
        <w:numPr>
          <w:ilvl w:val="0"/>
          <w:numId w:val="10"/>
        </w:numPr>
        <w:tabs>
          <w:tab w:val="clear" w:pos="708"/>
        </w:tabs>
        <w:spacing w:lineRule="auto" w:line="324" w:before="0" w:after="0"/>
        <w:ind w:firstLine="1134" w:start="0" w:end="0"/>
        <w:contextualSpacing/>
        <w:jc w:val="both"/>
        <w:rPr>
          <w:rFonts w:ascii="Times New Roman" w:hAnsi="Times New Roman"/>
          <w:sz w:val="24"/>
        </w:rPr>
      </w:pPr>
      <w:r>
        <w:rPr>
          <w:rFonts w:ascii="Times New Roman" w:hAnsi="Times New Roman"/>
          <w:sz w:val="24"/>
        </w:rPr>
        <w:t>руководство по эксплуатации;</w:t>
      </w:r>
    </w:p>
    <w:p>
      <w:pPr>
        <w:pStyle w:val="Normal"/>
        <w:widowControl w:val="false"/>
        <w:numPr>
          <w:ilvl w:val="0"/>
          <w:numId w:val="10"/>
        </w:numPr>
        <w:tabs>
          <w:tab w:val="clear" w:pos="708"/>
        </w:tabs>
        <w:spacing w:lineRule="auto" w:line="324" w:before="0" w:after="0"/>
        <w:ind w:firstLine="1134" w:start="0" w:end="0"/>
        <w:jc w:val="both"/>
        <w:rPr>
          <w:rFonts w:ascii="Times New Roman" w:hAnsi="Times New Roman"/>
          <w:sz w:val="24"/>
        </w:rPr>
      </w:pPr>
      <w:r>
        <w:rPr>
          <w:rFonts w:ascii="Times New Roman" w:hAnsi="Times New Roman"/>
          <w:sz w:val="24"/>
        </w:rPr>
        <w:t>руководство пользователя (для программного обеспечения).</w:t>
      </w:r>
    </w:p>
    <w:p>
      <w:pPr>
        <w:pStyle w:val="ListParagraph1"/>
        <w:widowControl w:val="false"/>
        <w:numPr>
          <w:ilvl w:val="1"/>
          <w:numId w:val="9"/>
        </w:numPr>
        <w:tabs>
          <w:tab w:val="clear" w:pos="708"/>
          <w:tab w:val="left" w:pos="567" w:leader="none"/>
        </w:tabs>
        <w:spacing w:lineRule="auto" w:line="324" w:before="120" w:after="60"/>
        <w:ind w:firstLine="709" w:start="0" w:end="0"/>
        <w:contextualSpacing w:val="false"/>
        <w:jc w:val="both"/>
        <w:outlineLvl w:val="1"/>
        <w:rPr>
          <w:b/>
        </w:rPr>
      </w:pPr>
      <w:r>
        <w:rPr>
          <w:b/>
        </w:rPr>
        <w:t>Требования к электромагнитной совместимости.</w:t>
      </w:r>
    </w:p>
    <w:p>
      <w:pPr>
        <w:pStyle w:val="ListParagraph1"/>
        <w:widowControl w:val="false"/>
        <w:numPr>
          <w:ilvl w:val="2"/>
          <w:numId w:val="9"/>
        </w:numPr>
        <w:spacing w:lineRule="auto" w:line="324" w:before="120" w:after="0"/>
        <w:ind w:firstLine="1134" w:start="0" w:end="0"/>
        <w:contextualSpacing/>
        <w:jc w:val="both"/>
        <w:rPr/>
      </w:pPr>
      <w:r>
        <w:rPr/>
        <w:t>Устройства системы учета должны удовлетворять требованиям ТР ТС 020/2011 «Электромагнитная совместимость технических средств» по электромагнитной совместимости.</w:t>
      </w:r>
    </w:p>
    <w:p>
      <w:pPr>
        <w:pStyle w:val="ListParagraph1"/>
        <w:widowControl w:val="false"/>
        <w:numPr>
          <w:ilvl w:val="2"/>
          <w:numId w:val="9"/>
        </w:numPr>
        <w:spacing w:lineRule="auto" w:line="324" w:before="0" w:after="0"/>
        <w:ind w:firstLine="1134" w:start="0" w:end="0"/>
        <w:contextualSpacing w:val="false"/>
        <w:jc w:val="both"/>
        <w:rPr/>
      </w:pPr>
      <w:r>
        <w:rPr/>
        <w:t>Все технические средства должны отвечать нормам по помехоустойчивости, установленным МЭК 61000-4-3:1995 для обеспечения нормального функционирования в окружающей электромагнитной обстановке.</w:t>
      </w:r>
    </w:p>
    <w:p>
      <w:pPr>
        <w:pStyle w:val="ListParagraph1"/>
        <w:widowControl w:val="false"/>
        <w:numPr>
          <w:ilvl w:val="1"/>
          <w:numId w:val="9"/>
        </w:numPr>
        <w:spacing w:lineRule="auto" w:line="324" w:before="120" w:after="60"/>
        <w:ind w:firstLine="709" w:start="0" w:end="0"/>
        <w:contextualSpacing w:val="false"/>
        <w:jc w:val="both"/>
        <w:outlineLvl w:val="1"/>
        <w:rPr>
          <w:b/>
        </w:rPr>
      </w:pPr>
      <w:r>
        <w:rPr>
          <w:b/>
        </w:rPr>
        <w:t>Требования по эксплуатации, техническому обслуживанию, ремонту и хранению.</w:t>
      </w:r>
    </w:p>
    <w:p>
      <w:pPr>
        <w:pStyle w:val="ListParagraph1"/>
        <w:widowControl w:val="false"/>
        <w:numPr>
          <w:ilvl w:val="2"/>
          <w:numId w:val="9"/>
        </w:numPr>
        <w:spacing w:lineRule="auto" w:line="324" w:before="120" w:after="0"/>
        <w:ind w:firstLine="1134" w:start="0" w:end="0"/>
        <w:contextualSpacing/>
        <w:jc w:val="both"/>
        <w:rPr/>
      </w:pPr>
      <w:r>
        <w:rPr/>
        <w:t>Оборудование системы учета должно обеспечивать непрерывную работу в пределах срока службы при условии проведения ремонтно-восстановительных работ.</w:t>
      </w:r>
    </w:p>
    <w:p>
      <w:pPr>
        <w:pStyle w:val="ListParagraph1"/>
        <w:widowControl w:val="false"/>
        <w:numPr>
          <w:ilvl w:val="2"/>
          <w:numId w:val="9"/>
        </w:numPr>
        <w:spacing w:lineRule="auto" w:line="324" w:before="120" w:after="0"/>
        <w:ind w:firstLine="1134" w:start="0" w:end="0"/>
        <w:contextualSpacing/>
        <w:jc w:val="both"/>
        <w:rPr/>
      </w:pPr>
      <w:r>
        <w:rPr/>
        <w:t>Восстановление работоспособности системы учета должно производиться путем замены неисправных модулей из состава ЗИП, с последующим ремонтом, вышедших из строя модулей.</w:t>
      </w:r>
    </w:p>
    <w:p>
      <w:pPr>
        <w:pStyle w:val="ListParagraph1"/>
        <w:widowControl w:val="false"/>
        <w:numPr>
          <w:ilvl w:val="2"/>
          <w:numId w:val="9"/>
        </w:numPr>
        <w:spacing w:lineRule="auto" w:line="324" w:before="120" w:after="0"/>
        <w:ind w:firstLine="1134" w:start="0" w:end="0"/>
        <w:contextualSpacing/>
        <w:jc w:val="both"/>
        <w:rPr/>
      </w:pPr>
      <w:r>
        <w:rPr/>
        <w:t xml:space="preserve">Состав и количество модулей в ЗИП определяется проектом. </w:t>
      </w:r>
    </w:p>
    <w:p>
      <w:pPr>
        <w:pStyle w:val="ListParagraph1"/>
        <w:widowControl w:val="false"/>
        <w:numPr>
          <w:ilvl w:val="2"/>
          <w:numId w:val="9"/>
        </w:numPr>
        <w:spacing w:lineRule="auto" w:line="324" w:before="120" w:after="0"/>
        <w:ind w:firstLine="1134" w:start="0" w:end="0"/>
        <w:contextualSpacing/>
        <w:jc w:val="both"/>
        <w:rPr/>
      </w:pPr>
      <w:r>
        <w:rPr/>
        <w:t>Количество приборов учета в ЗИП должно быть не менее 1 % от общего количества приборов учета.</w:t>
      </w:r>
    </w:p>
    <w:p>
      <w:pPr>
        <w:pStyle w:val="ListParagraph1"/>
        <w:widowControl w:val="false"/>
        <w:numPr>
          <w:ilvl w:val="2"/>
          <w:numId w:val="9"/>
        </w:numPr>
        <w:spacing w:lineRule="auto" w:line="324" w:before="120" w:after="0"/>
        <w:ind w:firstLine="1134" w:start="0" w:end="0"/>
        <w:contextualSpacing/>
        <w:jc w:val="both"/>
        <w:rPr/>
      </w:pPr>
      <w:r>
        <w:rPr/>
        <w:t>Технические средства системы учета должны быть обслуживаемыми устройствами. Техническое обслуживание должно заключаться в систематическом наблюдении за правильностью работы устройства, в регулярном техническом осмотре и устранении возникающих неисправностей допущенным для этих работ собственным персоналом или обслуживающей организацией.</w:t>
      </w:r>
    </w:p>
    <w:p>
      <w:pPr>
        <w:pStyle w:val="ListParagraph1"/>
        <w:widowControl w:val="false"/>
        <w:numPr>
          <w:ilvl w:val="2"/>
          <w:numId w:val="9"/>
        </w:numPr>
        <w:spacing w:lineRule="auto" w:line="324" w:before="120" w:after="0"/>
        <w:ind w:firstLine="1134" w:start="0" w:end="0"/>
        <w:contextualSpacing/>
        <w:jc w:val="both"/>
        <w:rPr/>
      </w:pPr>
      <w:r>
        <w:rPr/>
        <w:t>Условия хранения технических средств системы учета должны отвечать требованиям ГОСТ 15150-69.</w:t>
      </w:r>
    </w:p>
    <w:p>
      <w:pPr>
        <w:pStyle w:val="ListParagraph1"/>
        <w:widowControl w:val="false"/>
        <w:numPr>
          <w:ilvl w:val="1"/>
          <w:numId w:val="9"/>
        </w:numPr>
        <w:spacing w:lineRule="auto" w:line="324" w:before="120" w:after="60"/>
        <w:ind w:firstLine="709" w:start="0" w:end="0"/>
        <w:contextualSpacing w:val="false"/>
        <w:jc w:val="both"/>
        <w:rPr>
          <w:b/>
        </w:rPr>
      </w:pPr>
      <w:r>
        <w:rPr>
          <w:b/>
        </w:rPr>
        <w:t>Требования к демонтажу оборудования.</w:t>
      </w:r>
    </w:p>
    <w:p>
      <w:pPr>
        <w:pStyle w:val="Normal"/>
        <w:widowControl/>
        <w:numPr>
          <w:ilvl w:val="2"/>
          <w:numId w:val="9"/>
        </w:numPr>
        <w:spacing w:lineRule="auto" w:line="360" w:before="0" w:after="0"/>
        <w:ind w:firstLine="1134" w:start="0" w:end="0"/>
        <w:jc w:val="both"/>
        <w:rPr>
          <w:rFonts w:ascii="Times New Roman" w:hAnsi="Times New Roman"/>
          <w:color w:val="000000"/>
          <w:sz w:val="24"/>
          <w:highlight w:val="white"/>
        </w:rPr>
      </w:pPr>
      <w:r>
        <w:rPr>
          <w:rFonts w:ascii="Times New Roman" w:hAnsi="Times New Roman"/>
          <w:color w:val="000000"/>
          <w:sz w:val="24"/>
          <w:highlight w:val="white"/>
        </w:rPr>
        <w:t xml:space="preserve">Исполнителю известить собственника (исполнителя коммунальных услуг) необходимо не менее чем за два рабочих дня перед тем, как приступить к демонтажу старого прибора учета. </w:t>
      </w:r>
    </w:p>
    <w:p>
      <w:pPr>
        <w:pStyle w:val="Normal"/>
        <w:widowControl/>
        <w:numPr>
          <w:ilvl w:val="2"/>
          <w:numId w:val="9"/>
        </w:numPr>
        <w:spacing w:lineRule="auto" w:line="360" w:before="0" w:after="0"/>
        <w:ind w:firstLine="1134" w:start="0" w:end="0"/>
        <w:jc w:val="both"/>
        <w:rPr>
          <w:rFonts w:ascii="Times New Roman" w:hAnsi="Times New Roman"/>
          <w:sz w:val="24"/>
        </w:rPr>
      </w:pPr>
      <w:r>
        <w:rPr>
          <w:rFonts w:ascii="Times New Roman" w:hAnsi="Times New Roman"/>
          <w:sz w:val="24"/>
        </w:rPr>
        <w:t xml:space="preserve">При выполнении работ Исполнитель должен руководствоваться действующими строительными нормами и правилами, правилами пожарной безопасности и безопасной эксплуатации строительных машин и механизмов, экологическими, санитарно гигиеническими и другими нормами, действующими на территории Российской Федерации и обеспечивающими безопасную для жизни и здоровья людей эксплуатацию объектов. Во время производства работ по монтажу/демонтажу оборудования Исполнитель обязан осуществлять на объекте необходимые противопожарные мероприятия, мероприятия по технике безопасности и охране окружающей среды. </w:t>
      </w:r>
      <w:r>
        <w:rPr>
          <w:rFonts w:ascii="Times New Roman" w:hAnsi="Times New Roman"/>
          <w:sz w:val="24"/>
          <w:highlight w:val="white"/>
        </w:rPr>
        <w:t>После демонтажа старого прибора и установки нового в обязательном порядке составляется акт замены и ввода в эксплуатацию.</w:t>
      </w:r>
    </w:p>
    <w:p>
      <w:pPr>
        <w:pStyle w:val="Normal"/>
        <w:widowControl/>
        <w:numPr>
          <w:ilvl w:val="2"/>
          <w:numId w:val="9"/>
        </w:numPr>
        <w:spacing w:lineRule="auto" w:line="324" w:before="0" w:after="0"/>
        <w:ind w:firstLine="1134" w:start="0" w:end="0"/>
        <w:jc w:val="both"/>
        <w:rPr>
          <w:rFonts w:ascii="Times New Roman" w:hAnsi="Times New Roman"/>
          <w:sz w:val="24"/>
        </w:rPr>
      </w:pPr>
      <w:r>
        <w:rPr>
          <w:rFonts w:ascii="Times New Roman" w:hAnsi="Times New Roman"/>
          <w:color w:val="000000"/>
          <w:sz w:val="24"/>
          <w:highlight w:val="white"/>
        </w:rPr>
        <w:t xml:space="preserve">Демонтаж прибора учета, а также его последующий монтаж выполняются в присутствии собственника (исполнителя коммунальных услуг). Исключением является случай, когда представители исполнителя не явились к указанному в извещении сроку демонтажа. </w:t>
      </w:r>
    </w:p>
    <w:p>
      <w:pPr>
        <w:pStyle w:val="Normal"/>
        <w:widowControl/>
        <w:numPr>
          <w:ilvl w:val="2"/>
          <w:numId w:val="9"/>
        </w:numPr>
        <w:spacing w:lineRule="auto" w:line="324" w:before="0" w:after="120"/>
        <w:ind w:firstLine="1134" w:start="0" w:end="0"/>
        <w:jc w:val="both"/>
        <w:rPr>
          <w:rFonts w:ascii="Times New Roman" w:hAnsi="Times New Roman"/>
          <w:sz w:val="24"/>
        </w:rPr>
      </w:pPr>
      <w:r>
        <w:rPr>
          <w:rFonts w:ascii="Times New Roman" w:hAnsi="Times New Roman"/>
          <w:sz w:val="24"/>
          <w:highlight w:val="white"/>
        </w:rPr>
        <w:t>Исполнителю обеспечить сохранность демонтируемых приборов учёта.</w:t>
      </w:r>
    </w:p>
    <w:p>
      <w:pPr>
        <w:pStyle w:val="ListParagraph1"/>
        <w:widowControl w:val="false"/>
        <w:numPr>
          <w:ilvl w:val="1"/>
          <w:numId w:val="9"/>
        </w:numPr>
        <w:spacing w:lineRule="auto" w:line="324" w:before="120" w:after="60"/>
        <w:ind w:firstLine="709" w:start="0" w:end="0"/>
        <w:contextualSpacing w:val="false"/>
        <w:jc w:val="both"/>
        <w:rPr>
          <w:b/>
        </w:rPr>
      </w:pPr>
      <w:r>
        <w:rPr>
          <w:b/>
        </w:rPr>
        <w:t>Требования к гарантийным обязательствам.</w:t>
      </w:r>
    </w:p>
    <w:p>
      <w:pPr>
        <w:pStyle w:val="ListParagraph1"/>
        <w:widowControl w:val="false"/>
        <w:numPr>
          <w:ilvl w:val="2"/>
          <w:numId w:val="9"/>
        </w:numPr>
        <w:spacing w:lineRule="auto" w:line="324" w:before="120" w:after="0"/>
        <w:ind w:firstLine="1134" w:start="0" w:end="0"/>
        <w:contextualSpacing/>
        <w:jc w:val="both"/>
        <w:rPr/>
      </w:pPr>
      <w:r>
        <w:rPr/>
        <w:t>Исполнитель устанавливает гарантийный срок на результат выполненных работ не менее 12</w:t>
      </w:r>
      <w:bookmarkStart w:id="0" w:name="_GoBack"/>
      <w:bookmarkEnd w:id="0"/>
      <w:r>
        <w:rPr/>
        <w:t xml:space="preserve"> месяцев, а для счетчиков электрической энергии и иного оборудования не менее 60 месяцев с момента подписания Заказчиком без замечаний акта ввода в промышленную эксплуатацию, но не менее гарантийного срока, установленного заводом - изготовителем. </w:t>
      </w:r>
    </w:p>
    <w:p>
      <w:pPr>
        <w:pStyle w:val="ListParagraph1"/>
        <w:widowControl w:val="false"/>
        <w:numPr>
          <w:ilvl w:val="2"/>
          <w:numId w:val="9"/>
        </w:numPr>
        <w:spacing w:lineRule="auto" w:line="324" w:before="120" w:after="0"/>
        <w:ind w:firstLine="1134" w:start="0" w:end="0"/>
        <w:contextualSpacing/>
        <w:jc w:val="both"/>
        <w:rPr/>
      </w:pPr>
      <w:r>
        <w:rPr/>
        <w:t>Если в период гарантийного срока обнаружатся дефекты, то Исполнитель обязан их устранить за свой счет и в установленные Договором подряда сроки, либо возместить Заказчику затраты на их устранение (по выбору Заказчика).</w:t>
      </w:r>
    </w:p>
    <w:p>
      <w:pPr>
        <w:pStyle w:val="ListParagraph1"/>
        <w:widowControl w:val="false"/>
        <w:numPr>
          <w:ilvl w:val="2"/>
          <w:numId w:val="9"/>
        </w:numPr>
        <w:spacing w:lineRule="auto" w:line="324"/>
        <w:ind w:firstLine="1134" w:start="0" w:end="0"/>
        <w:jc w:val="both"/>
        <w:rPr/>
      </w:pPr>
      <w:r>
        <w:rPr/>
        <w:t xml:space="preserve">При выявлении дефектов Исполнитель обязан: </w:t>
      </w:r>
    </w:p>
    <w:p>
      <w:pPr>
        <w:pStyle w:val="ListParagraph1"/>
        <w:widowControl w:val="false"/>
        <w:numPr>
          <w:ilvl w:val="0"/>
          <w:numId w:val="11"/>
        </w:numPr>
        <w:spacing w:lineRule="auto" w:line="324"/>
        <w:ind w:firstLine="1134" w:start="0" w:end="0"/>
        <w:jc w:val="both"/>
        <w:rPr/>
      </w:pPr>
      <w:r>
        <w:rPr/>
        <w:t xml:space="preserve">обеспечить Заказчика необходимым техническими консультациями в течении одного рабочего дня с момента обращения Заказчика с использованием любых доступных видов связи; </w:t>
      </w:r>
    </w:p>
    <w:p>
      <w:pPr>
        <w:pStyle w:val="ListParagraph1"/>
        <w:widowControl/>
        <w:numPr>
          <w:ilvl w:val="0"/>
          <w:numId w:val="11"/>
        </w:numPr>
        <w:spacing w:lineRule="auto" w:line="324"/>
        <w:ind w:firstLine="1134" w:start="0" w:end="0"/>
        <w:jc w:val="both"/>
        <w:rPr/>
      </w:pPr>
      <w:r>
        <w:rPr/>
        <w:t>выполнить все необходимые мероприятия по определению причины возникшего дефекта и представить Заказчику соответствующее заключение в течение 10 (десяти) рабочих дней.</w:t>
      </w:r>
    </w:p>
    <w:p>
      <w:pPr>
        <w:pStyle w:val="Normal"/>
        <w:widowControl/>
        <w:tabs>
          <w:tab w:val="clear" w:pos="708"/>
          <w:tab w:val="left" w:pos="1276" w:leader="none"/>
        </w:tabs>
        <w:spacing w:lineRule="auto" w:line="324" w:before="120" w:after="60"/>
        <w:ind w:firstLine="567" w:start="0" w:end="0"/>
        <w:jc w:val="both"/>
        <w:rPr>
          <w:rFonts w:ascii="Times New Roman" w:hAnsi="Times New Roman"/>
          <w:b/>
          <w:sz w:val="26"/>
        </w:rPr>
      </w:pPr>
      <w:r>
        <w:rPr>
          <w:rFonts w:ascii="Times New Roman" w:hAnsi="Times New Roman"/>
          <w:b/>
          <w:sz w:val="26"/>
        </w:rPr>
        <w:t>3. Порядок сдачи-приемки выполненных работ.</w:t>
      </w:r>
    </w:p>
    <w:p>
      <w:pPr>
        <w:pStyle w:val="ListParagraph1"/>
        <w:widowControl/>
        <w:numPr>
          <w:ilvl w:val="1"/>
          <w:numId w:val="12"/>
        </w:numPr>
        <w:spacing w:lineRule="auto" w:line="324"/>
        <w:ind w:firstLine="709" w:start="0" w:end="0"/>
        <w:jc w:val="both"/>
        <w:rPr/>
      </w:pPr>
      <w:r>
        <w:rPr/>
        <w:t>Сдача-приемка выполненных работ производится поэтапно:</w:t>
      </w:r>
    </w:p>
    <w:p>
      <w:pPr>
        <w:pStyle w:val="ListParagraph1"/>
        <w:widowControl/>
        <w:numPr>
          <w:ilvl w:val="2"/>
          <w:numId w:val="12"/>
        </w:numPr>
        <w:spacing w:lineRule="auto" w:line="324"/>
        <w:ind w:firstLine="1134" w:start="0" w:end="-2"/>
        <w:jc w:val="both"/>
        <w:rPr/>
      </w:pPr>
      <w:r>
        <w:rPr/>
        <w:t>Согласование и приемка результатов предпроектного обследования подписанием акта приемки выполненных работ.</w:t>
      </w:r>
    </w:p>
    <w:p>
      <w:pPr>
        <w:pStyle w:val="ListParagraph1"/>
        <w:widowControl/>
        <w:numPr>
          <w:ilvl w:val="2"/>
          <w:numId w:val="12"/>
        </w:numPr>
        <w:spacing w:lineRule="auto" w:line="324"/>
        <w:ind w:firstLine="1134" w:start="0" w:end="-2"/>
        <w:jc w:val="both"/>
        <w:rPr/>
      </w:pPr>
      <w:r>
        <w:rPr/>
        <w:t>Согласование и приемка проектно-сметной и исполнительной документации подписанием акта приемки выполненных работ.</w:t>
      </w:r>
    </w:p>
    <w:p>
      <w:pPr>
        <w:pStyle w:val="ListParagraph1"/>
        <w:widowControl/>
        <w:numPr>
          <w:ilvl w:val="2"/>
          <w:numId w:val="12"/>
        </w:numPr>
        <w:spacing w:lineRule="auto" w:line="324"/>
        <w:ind w:firstLine="1134" w:start="0" w:end="-2"/>
        <w:jc w:val="both"/>
        <w:rPr/>
      </w:pPr>
      <w:r>
        <w:rPr/>
        <w:t>Проведение</w:t>
      </w:r>
      <w:r>
        <w:rPr>
          <w:sz w:val="28"/>
        </w:rPr>
        <w:t xml:space="preserve"> </w:t>
      </w:r>
      <w:r>
        <w:rPr/>
        <w:t>приемосдаточных испытаний с оформлением следующих документов:</w:t>
      </w:r>
    </w:p>
    <w:p>
      <w:pPr>
        <w:pStyle w:val="ListParagraph1"/>
        <w:widowControl/>
        <w:spacing w:lineRule="auto" w:line="324"/>
        <w:ind w:firstLine="1418" w:start="0" w:end="0"/>
        <w:rPr/>
      </w:pPr>
      <w:r>
        <w:rPr/>
        <w:t>а) протокол измерения сопротивления заземляющего устройства;</w:t>
      </w:r>
    </w:p>
    <w:p>
      <w:pPr>
        <w:pStyle w:val="Normal"/>
        <w:widowControl/>
        <w:spacing w:lineRule="auto" w:line="324" w:before="120" w:after="0"/>
        <w:ind w:firstLine="1418" w:start="0" w:end="-2"/>
        <w:contextualSpacing/>
        <w:jc w:val="both"/>
        <w:rPr>
          <w:rFonts w:ascii="Times New Roman" w:hAnsi="Times New Roman"/>
          <w:sz w:val="24"/>
        </w:rPr>
      </w:pPr>
      <w:r>
        <w:rPr>
          <w:rFonts w:ascii="Times New Roman" w:hAnsi="Times New Roman"/>
          <w:sz w:val="24"/>
        </w:rPr>
        <w:t>б) протокол испытания сопротивления изоляции проводов вторичных цепей измерительных комплексов трансформаторного включения;</w:t>
      </w:r>
    </w:p>
    <w:p>
      <w:pPr>
        <w:pStyle w:val="Normal"/>
        <w:widowControl/>
        <w:spacing w:lineRule="auto" w:line="324" w:before="120" w:after="0"/>
        <w:ind w:firstLine="425" w:start="993" w:end="-2"/>
        <w:contextualSpacing/>
        <w:jc w:val="both"/>
        <w:rPr>
          <w:rFonts w:ascii="Times New Roman" w:hAnsi="Times New Roman"/>
          <w:sz w:val="28"/>
        </w:rPr>
      </w:pPr>
      <w:r>
        <w:rPr>
          <w:rFonts w:ascii="Times New Roman" w:hAnsi="Times New Roman"/>
          <w:sz w:val="24"/>
        </w:rPr>
        <w:t>в) протокол проверки цепи «фаза-нуль»;</w:t>
      </w:r>
    </w:p>
    <w:p>
      <w:pPr>
        <w:pStyle w:val="ListParagraph1"/>
        <w:widowControl/>
        <w:numPr>
          <w:ilvl w:val="2"/>
          <w:numId w:val="12"/>
        </w:numPr>
        <w:spacing w:lineRule="auto" w:line="324"/>
        <w:ind w:firstLine="1134" w:start="0" w:end="-2"/>
        <w:jc w:val="both"/>
        <w:rPr/>
      </w:pPr>
      <w:r>
        <w:rPr/>
        <w:t>Оформление строительно-монтажных работ следующей приемосдаточной документацией:</w:t>
      </w:r>
    </w:p>
    <w:p>
      <w:pPr>
        <w:pStyle w:val="Normal"/>
        <w:widowControl/>
        <w:spacing w:lineRule="auto" w:line="324" w:before="120" w:after="0"/>
        <w:ind w:firstLine="1418" w:start="0" w:end="-2"/>
        <w:contextualSpacing/>
        <w:jc w:val="both"/>
        <w:rPr>
          <w:rFonts w:ascii="Times New Roman" w:hAnsi="Times New Roman"/>
          <w:sz w:val="24"/>
        </w:rPr>
      </w:pPr>
      <w:r>
        <w:rPr>
          <w:rFonts w:ascii="Times New Roman" w:hAnsi="Times New Roman"/>
          <w:sz w:val="24"/>
        </w:rPr>
        <w:t>а) ведомость технической документации (заводская документация на оборудование, протоколы испытаний смонтированного оборудования и кабелей, паспорта-протоколы измерительных комплексов трансформаторного включения) предъявляемой при сдаче-приемке электромонтажных работ;</w:t>
      </w:r>
    </w:p>
    <w:p>
      <w:pPr>
        <w:pStyle w:val="Normal"/>
        <w:widowControl/>
        <w:spacing w:lineRule="auto" w:line="324" w:before="120" w:after="0"/>
        <w:ind w:firstLine="425" w:start="993" w:end="-2"/>
        <w:contextualSpacing/>
        <w:jc w:val="both"/>
        <w:rPr>
          <w:rFonts w:ascii="Times New Roman" w:hAnsi="Times New Roman"/>
          <w:sz w:val="24"/>
        </w:rPr>
      </w:pPr>
      <w:r>
        <w:rPr>
          <w:rFonts w:ascii="Times New Roman" w:hAnsi="Times New Roman"/>
          <w:sz w:val="24"/>
        </w:rPr>
        <w:t>б) акт технической готовности электромонтажных работ;</w:t>
      </w:r>
    </w:p>
    <w:p>
      <w:pPr>
        <w:pStyle w:val="Normal"/>
        <w:widowControl/>
        <w:spacing w:lineRule="auto" w:line="324" w:before="120" w:after="0"/>
        <w:ind w:firstLine="425" w:start="993" w:end="-2"/>
        <w:contextualSpacing/>
        <w:jc w:val="both"/>
        <w:rPr>
          <w:rFonts w:ascii="Times New Roman" w:hAnsi="Times New Roman"/>
          <w:sz w:val="24"/>
        </w:rPr>
      </w:pPr>
      <w:r>
        <w:rPr>
          <w:rFonts w:ascii="Times New Roman" w:hAnsi="Times New Roman"/>
          <w:sz w:val="24"/>
        </w:rPr>
        <w:t>в) ведомость изменений и отступлений от проекта;</w:t>
      </w:r>
    </w:p>
    <w:p>
      <w:pPr>
        <w:pStyle w:val="Normal"/>
        <w:widowControl/>
        <w:spacing w:lineRule="auto" w:line="324" w:before="120" w:after="0"/>
        <w:ind w:firstLine="425" w:start="993" w:end="-2"/>
        <w:contextualSpacing/>
        <w:jc w:val="both"/>
        <w:rPr>
          <w:rFonts w:ascii="Times New Roman" w:hAnsi="Times New Roman"/>
          <w:sz w:val="24"/>
        </w:rPr>
      </w:pPr>
      <w:r>
        <w:rPr>
          <w:rFonts w:ascii="Times New Roman" w:hAnsi="Times New Roman"/>
          <w:sz w:val="24"/>
        </w:rPr>
        <w:t>г) ведомость электромонтажных недоделок, не препятствующих комплексному опробованию;</w:t>
      </w:r>
    </w:p>
    <w:p>
      <w:pPr>
        <w:pStyle w:val="Normal"/>
        <w:widowControl/>
        <w:spacing w:lineRule="auto" w:line="324" w:before="120" w:after="0"/>
        <w:ind w:firstLine="425" w:start="993" w:end="-2"/>
        <w:contextualSpacing/>
        <w:jc w:val="both"/>
        <w:rPr>
          <w:rFonts w:ascii="Times New Roman" w:hAnsi="Times New Roman"/>
          <w:sz w:val="24"/>
        </w:rPr>
      </w:pPr>
      <w:r>
        <w:rPr>
          <w:rFonts w:ascii="Times New Roman" w:hAnsi="Times New Roman"/>
          <w:sz w:val="24"/>
        </w:rPr>
        <w:t xml:space="preserve">д) ведомость смонтированного электрооборудования. </w:t>
      </w:r>
    </w:p>
    <w:p>
      <w:pPr>
        <w:pStyle w:val="ListParagraph1"/>
        <w:widowControl/>
        <w:numPr>
          <w:ilvl w:val="2"/>
          <w:numId w:val="12"/>
        </w:numPr>
        <w:spacing w:lineRule="auto" w:line="324" w:before="120" w:after="0"/>
        <w:ind w:firstLine="1134" w:start="0" w:end="-2"/>
        <w:contextualSpacing/>
        <w:jc w:val="both"/>
        <w:rPr/>
      </w:pPr>
      <w:r>
        <w:rPr/>
        <w:t>Приемка строительно-монтажных работ подписанием акта приемки выполненных работ.</w:t>
      </w:r>
    </w:p>
    <w:p>
      <w:pPr>
        <w:pStyle w:val="ListParagraph1"/>
        <w:widowControl/>
        <w:numPr>
          <w:ilvl w:val="2"/>
          <w:numId w:val="12"/>
        </w:numPr>
        <w:spacing w:lineRule="auto" w:line="324" w:before="120" w:after="0"/>
        <w:ind w:firstLine="1134" w:start="0" w:end="-2"/>
        <w:contextualSpacing/>
        <w:jc w:val="both"/>
        <w:rPr/>
      </w:pPr>
      <w:r>
        <w:rPr/>
        <w:t>Производство пуско-наладочных работ.</w:t>
      </w:r>
    </w:p>
    <w:p>
      <w:pPr>
        <w:pStyle w:val="ListParagraph1"/>
        <w:widowControl/>
        <w:numPr>
          <w:ilvl w:val="2"/>
          <w:numId w:val="12"/>
        </w:numPr>
        <w:spacing w:lineRule="auto" w:line="324" w:before="120" w:after="0"/>
        <w:ind w:firstLine="1134" w:start="0" w:end="-2"/>
        <w:contextualSpacing/>
        <w:jc w:val="both"/>
        <w:rPr/>
      </w:pPr>
      <w:r>
        <w:rPr/>
        <w:t>Тестирование и ввод ИСУ в опытную эксплуатацию.</w:t>
      </w:r>
    </w:p>
    <w:p>
      <w:pPr>
        <w:pStyle w:val="ListParagraph1"/>
        <w:widowControl/>
        <w:numPr>
          <w:ilvl w:val="2"/>
          <w:numId w:val="12"/>
        </w:numPr>
        <w:spacing w:lineRule="auto" w:line="324" w:before="120" w:after="0"/>
        <w:ind w:firstLine="1134" w:start="0" w:end="-2"/>
        <w:contextualSpacing/>
        <w:jc w:val="both"/>
        <w:rPr/>
      </w:pPr>
      <w:r>
        <w:rPr/>
        <w:t>Ввод в промышленную эксплуатацию ИСУ (сдача-приемка выполненных работ).</w:t>
      </w:r>
    </w:p>
    <w:p>
      <w:pPr>
        <w:pStyle w:val="ListParagraph1"/>
        <w:widowControl/>
        <w:numPr>
          <w:ilvl w:val="1"/>
          <w:numId w:val="12"/>
        </w:numPr>
        <w:spacing w:lineRule="auto" w:line="324" w:before="120" w:after="0"/>
        <w:ind w:firstLine="709" w:start="0" w:end="0"/>
        <w:contextualSpacing/>
        <w:jc w:val="both"/>
        <w:rPr/>
      </w:pPr>
      <w:r>
        <w:rPr/>
        <w:t>Сдача – приемка производится комиссией, состоящей из представителей Сторон, уполномоченных на проведение указанных действий распорядительным актом соответствующей организации (приказом).</w:t>
      </w:r>
    </w:p>
    <w:p>
      <w:pPr>
        <w:pStyle w:val="ListParagraph1"/>
        <w:widowControl/>
        <w:numPr>
          <w:ilvl w:val="1"/>
          <w:numId w:val="12"/>
        </w:numPr>
        <w:spacing w:lineRule="auto" w:line="324" w:before="120" w:after="0"/>
        <w:ind w:firstLine="709" w:start="0" w:end="0"/>
        <w:contextualSpacing/>
        <w:jc w:val="both"/>
        <w:rPr/>
      </w:pPr>
      <w:r>
        <w:rPr/>
        <w:t>Все документы, представляемые Сторонами в процессе сдачи-приемки выполненных работ должны быть удостоверены подписями представителями Сторон, уполномоченных на проведение указанных действий.</w:t>
      </w:r>
    </w:p>
    <w:p>
      <w:pPr>
        <w:pStyle w:val="ListParagraph1"/>
        <w:widowControl/>
        <w:numPr>
          <w:ilvl w:val="1"/>
          <w:numId w:val="12"/>
        </w:numPr>
        <w:spacing w:lineRule="auto" w:line="324" w:before="120" w:after="0"/>
        <w:ind w:firstLine="709" w:start="0" w:end="0"/>
        <w:contextualSpacing/>
        <w:jc w:val="both"/>
        <w:rPr/>
      </w:pPr>
      <w:r>
        <w:rPr/>
        <w:t>Результаты сдачи - приемки выполненных работ и ввода ИСУ в опытную и промышленную эксплуатацию оформляются соответствующими актами.</w:t>
      </w:r>
    </w:p>
    <w:p>
      <w:pPr>
        <w:pStyle w:val="ListParagraph1"/>
        <w:widowControl/>
        <w:numPr>
          <w:ilvl w:val="0"/>
          <w:numId w:val="12"/>
        </w:numPr>
        <w:spacing w:lineRule="auto" w:line="324" w:before="120" w:after="60"/>
        <w:ind w:firstLine="567" w:start="0" w:end="0"/>
        <w:contextualSpacing w:val="false"/>
        <w:jc w:val="both"/>
        <w:rPr>
          <w:b/>
          <w:sz w:val="26"/>
        </w:rPr>
      </w:pPr>
      <w:r>
        <w:rPr>
          <w:b/>
          <w:sz w:val="26"/>
        </w:rPr>
        <w:t>Организация проведения приемки ИСУ в опытную эксплуатацию и состав сопроводительной документации</w:t>
      </w:r>
    </w:p>
    <w:p>
      <w:pPr>
        <w:pStyle w:val="ListParagraph1"/>
        <w:widowControl/>
        <w:numPr>
          <w:ilvl w:val="1"/>
          <w:numId w:val="12"/>
        </w:numPr>
        <w:spacing w:lineRule="auto" w:line="324"/>
        <w:ind w:firstLine="709" w:start="0" w:end="0"/>
        <w:jc w:val="both"/>
        <w:rPr/>
      </w:pPr>
      <w:r>
        <w:rPr/>
        <w:t>К моменту приемки ИСУ в опытную эксплуатацию исполнителем должен быть подготовлен следующий пакет документов.</w:t>
      </w:r>
    </w:p>
    <w:p>
      <w:pPr>
        <w:pStyle w:val="ListParagraph1"/>
        <w:widowControl/>
        <w:numPr>
          <w:ilvl w:val="2"/>
          <w:numId w:val="12"/>
        </w:numPr>
        <w:spacing w:lineRule="auto" w:line="324" w:before="120" w:after="0"/>
        <w:ind w:firstLine="1134" w:start="0" w:end="0"/>
        <w:contextualSpacing/>
        <w:jc w:val="both"/>
        <w:rPr/>
      </w:pPr>
      <w:r>
        <w:rPr/>
        <w:t>Документация в соответствии с требованиями главы 1.3 ПТЭЭП, и 1.8. ПУЭ-7 в том числе:</w:t>
      </w:r>
    </w:p>
    <w:p>
      <w:pPr>
        <w:pStyle w:val="Normal"/>
        <w:widowControl/>
        <w:numPr>
          <w:ilvl w:val="0"/>
          <w:numId w:val="13"/>
        </w:numPr>
        <w:tabs>
          <w:tab w:val="clear" w:pos="708"/>
          <w:tab w:val="left" w:pos="993" w:leader="none"/>
        </w:tabs>
        <w:spacing w:lineRule="auto" w:line="324" w:before="0" w:after="0"/>
        <w:ind w:firstLine="1134" w:start="0" w:end="-2"/>
        <w:contextualSpacing/>
        <w:jc w:val="both"/>
        <w:rPr>
          <w:rFonts w:ascii="Times New Roman" w:hAnsi="Times New Roman"/>
          <w:sz w:val="24"/>
        </w:rPr>
      </w:pPr>
      <w:r>
        <w:rPr>
          <w:rFonts w:ascii="Times New Roman" w:hAnsi="Times New Roman"/>
          <w:sz w:val="24"/>
        </w:rPr>
        <w:t>эксплуатационная документация;</w:t>
      </w:r>
    </w:p>
    <w:p>
      <w:pPr>
        <w:pStyle w:val="Normal"/>
        <w:widowControl/>
        <w:numPr>
          <w:ilvl w:val="0"/>
          <w:numId w:val="13"/>
        </w:numPr>
        <w:tabs>
          <w:tab w:val="clear" w:pos="708"/>
          <w:tab w:val="left" w:pos="993" w:leader="none"/>
        </w:tabs>
        <w:spacing w:lineRule="auto" w:line="324" w:before="120" w:after="0"/>
        <w:ind w:firstLine="1134" w:start="0" w:end="-2"/>
        <w:contextualSpacing/>
        <w:jc w:val="both"/>
        <w:rPr>
          <w:rFonts w:ascii="Times New Roman" w:hAnsi="Times New Roman"/>
          <w:sz w:val="24"/>
        </w:rPr>
      </w:pPr>
      <w:r>
        <w:rPr>
          <w:rFonts w:ascii="Times New Roman" w:hAnsi="Times New Roman"/>
          <w:sz w:val="24"/>
        </w:rPr>
        <w:t>паспорта-протоколы измерительных комплексов;</w:t>
      </w:r>
    </w:p>
    <w:p>
      <w:pPr>
        <w:pStyle w:val="Normal"/>
        <w:widowControl/>
        <w:numPr>
          <w:ilvl w:val="0"/>
          <w:numId w:val="13"/>
        </w:numPr>
        <w:tabs>
          <w:tab w:val="clear" w:pos="708"/>
          <w:tab w:val="left" w:pos="993" w:leader="none"/>
        </w:tabs>
        <w:spacing w:lineRule="auto" w:line="324" w:before="120" w:after="0"/>
        <w:ind w:firstLine="1134" w:start="0" w:end="-2"/>
        <w:contextualSpacing/>
        <w:jc w:val="both"/>
        <w:rPr>
          <w:rFonts w:ascii="Times New Roman" w:hAnsi="Times New Roman"/>
          <w:sz w:val="24"/>
        </w:rPr>
      </w:pPr>
      <w:r>
        <w:rPr>
          <w:rFonts w:ascii="Times New Roman" w:hAnsi="Times New Roman"/>
          <w:sz w:val="24"/>
        </w:rPr>
        <w:t>инструкции для оперативного и обслуживающего персонала;</w:t>
      </w:r>
    </w:p>
    <w:p>
      <w:pPr>
        <w:pStyle w:val="ListParagraph1"/>
        <w:widowControl/>
        <w:numPr>
          <w:ilvl w:val="2"/>
          <w:numId w:val="12"/>
        </w:numPr>
        <w:spacing w:lineRule="auto" w:line="324" w:before="120" w:after="0"/>
        <w:ind w:firstLine="1134" w:start="0" w:end="-2"/>
        <w:contextualSpacing/>
        <w:jc w:val="both"/>
        <w:rPr/>
      </w:pPr>
      <w:r>
        <w:rPr/>
        <w:t xml:space="preserve">Ведомости установленных приборов учета, включающие не менее 100 % приборов учета потребителей, от числа, предусмотренного проектом по каждому многоквартирному дому. </w:t>
      </w:r>
    </w:p>
    <w:p>
      <w:pPr>
        <w:pStyle w:val="ListParagraph1"/>
        <w:widowControl/>
        <w:numPr>
          <w:ilvl w:val="2"/>
          <w:numId w:val="12"/>
        </w:numPr>
        <w:spacing w:lineRule="auto" w:line="324" w:before="120" w:after="0"/>
        <w:ind w:firstLine="1134" w:start="0" w:end="-2"/>
        <w:contextualSpacing/>
        <w:jc w:val="both"/>
        <w:rPr/>
      </w:pPr>
      <w:r>
        <w:rPr/>
        <w:t>Акты проверки измерительных комплексов (произведена опломбировка компонентов системы).</w:t>
      </w:r>
    </w:p>
    <w:p>
      <w:pPr>
        <w:pStyle w:val="Normal"/>
        <w:widowControl/>
        <w:spacing w:lineRule="auto" w:line="324" w:before="0" w:after="0"/>
        <w:ind w:firstLine="709" w:start="0" w:end="0"/>
        <w:rPr>
          <w:rFonts w:ascii="Times New Roman" w:hAnsi="Times New Roman"/>
          <w:sz w:val="24"/>
        </w:rPr>
      </w:pPr>
      <w:r>
        <w:rPr>
          <w:rFonts w:ascii="Times New Roman" w:hAnsi="Times New Roman"/>
          <w:sz w:val="24"/>
        </w:rPr>
        <w:t>4.2. Порядок ввода ИСУ в опытную эксплуатацию:</w:t>
      </w:r>
    </w:p>
    <w:p>
      <w:pPr>
        <w:pStyle w:val="ListParagraph1"/>
        <w:widowControl/>
        <w:numPr>
          <w:ilvl w:val="2"/>
          <w:numId w:val="14"/>
        </w:numPr>
        <w:spacing w:lineRule="auto" w:line="324"/>
        <w:ind w:firstLine="1134" w:start="0" w:end="-2"/>
        <w:jc w:val="both"/>
        <w:rPr/>
      </w:pPr>
      <w:r>
        <w:rPr/>
        <w:t>Опытная эксплуатация проводится в срок от 1-й недели до 3 расчетных периодов, причем срок проведения опытной эксплуатации может быть изменен как в большую сторону до момента устранения замечаний, выявленных в ходе опытной эксплуатации, так и в меньшую сторону, в случае необходимости.</w:t>
      </w:r>
    </w:p>
    <w:p>
      <w:pPr>
        <w:pStyle w:val="ListParagraph1"/>
        <w:widowControl/>
        <w:numPr>
          <w:ilvl w:val="2"/>
          <w:numId w:val="14"/>
        </w:numPr>
        <w:spacing w:lineRule="auto" w:line="324"/>
        <w:ind w:firstLine="1134" w:start="0" w:end="-2"/>
        <w:jc w:val="both"/>
        <w:rPr/>
      </w:pPr>
      <w:r>
        <w:rPr/>
        <w:t>При проведении опытной эксплуатации ИСУ проверяется соответствие установленного оборудования и программного обеспечения настоящим техническим требованиям, а также выполнение компонентами системы учета, заявленных производителем свойств и функций. Удачным опросом является получение информации с 92 % приборов учета в течение суток, а также со 100 % приборов учета в течение недели (7 календарных дней). Под инцидентом понимается событие, нарушающее нормальное функционирование системы и не позволяющее успешно реализовать одну или несколько из заявленных функций.</w:t>
      </w:r>
    </w:p>
    <w:p>
      <w:pPr>
        <w:pStyle w:val="ListParagraph1"/>
        <w:widowControl/>
        <w:numPr>
          <w:ilvl w:val="1"/>
          <w:numId w:val="14"/>
        </w:numPr>
        <w:spacing w:lineRule="auto" w:line="324" w:before="120" w:after="0"/>
        <w:ind w:firstLine="1134" w:start="0" w:end="-2"/>
        <w:contextualSpacing/>
        <w:jc w:val="both"/>
        <w:rPr/>
      </w:pPr>
      <w:r>
        <w:rPr/>
        <w:t>Критерии успешного прохождения опытной эксплуатации:</w:t>
      </w:r>
    </w:p>
    <w:p>
      <w:pPr>
        <w:pStyle w:val="ListParagraph1"/>
        <w:widowControl/>
        <w:numPr>
          <w:ilvl w:val="2"/>
          <w:numId w:val="14"/>
        </w:numPr>
        <w:spacing w:lineRule="auto" w:line="324" w:before="120" w:after="0"/>
        <w:ind w:firstLine="1134" w:start="0" w:end="-2"/>
        <w:contextualSpacing/>
        <w:jc w:val="both"/>
        <w:rPr/>
      </w:pPr>
      <w:r>
        <w:rPr/>
        <w:t>Автоматический ежедневный сбор значений накопленной за день и с начала месяца энергии суммарно и раздельно по всем тарифам -  полнота сбора данных не менее 95%.</w:t>
      </w:r>
    </w:p>
    <w:p>
      <w:pPr>
        <w:pStyle w:val="ListParagraph1"/>
        <w:widowControl/>
        <w:numPr>
          <w:ilvl w:val="2"/>
          <w:numId w:val="14"/>
        </w:numPr>
        <w:spacing w:lineRule="auto" w:line="324" w:before="120" w:after="0"/>
        <w:ind w:firstLine="1134" w:start="0" w:end="-2"/>
        <w:contextualSpacing/>
        <w:jc w:val="both"/>
        <w:rPr/>
      </w:pPr>
      <w:r>
        <w:rPr/>
        <w:t>Автоматический ежемесячный сбор значений активной мощности, усредненной за прошедший 60 минутный интервал - полнота сбора данных не менее 95%.</w:t>
      </w:r>
    </w:p>
    <w:p>
      <w:pPr>
        <w:pStyle w:val="ListParagraph1"/>
        <w:widowControl/>
        <w:numPr>
          <w:ilvl w:val="2"/>
          <w:numId w:val="14"/>
        </w:numPr>
        <w:spacing w:lineRule="auto" w:line="324" w:before="120" w:after="0"/>
        <w:ind w:firstLine="1134" w:start="0" w:end="-2"/>
        <w:contextualSpacing/>
        <w:jc w:val="both"/>
        <w:rPr/>
      </w:pPr>
      <w:r>
        <w:rPr/>
        <w:t>Ручной сбор записей журналов событий приборов учета - не более 0,5 % случаев неудачных действий (без учета состояния каналов связи).</w:t>
      </w:r>
    </w:p>
    <w:p>
      <w:pPr>
        <w:pStyle w:val="ListParagraph1"/>
        <w:widowControl/>
        <w:numPr>
          <w:ilvl w:val="2"/>
          <w:numId w:val="14"/>
        </w:numPr>
        <w:spacing w:lineRule="auto" w:line="324" w:before="120" w:after="0"/>
        <w:ind w:firstLine="1134" w:start="0" w:end="-2"/>
        <w:contextualSpacing/>
        <w:jc w:val="both"/>
        <w:rPr/>
      </w:pPr>
      <w:r>
        <w:rPr/>
        <w:t>Удаленное (с рабочего места оператора) управление (ограничение, отключение) нагрузкой потребления по каждому присоединению, оборудованному приборами учета, входящими в автоматизированную систему - не более 0,5 % случаев неудачных действий (без учета состояния каналов связи).</w:t>
      </w:r>
    </w:p>
    <w:p>
      <w:pPr>
        <w:pStyle w:val="ListParagraph1"/>
        <w:widowControl/>
        <w:numPr>
          <w:ilvl w:val="2"/>
          <w:numId w:val="14"/>
        </w:numPr>
        <w:spacing w:lineRule="auto" w:line="324" w:before="120" w:after="0"/>
        <w:ind w:firstLine="1134" w:start="0" w:end="-2"/>
        <w:contextualSpacing/>
        <w:jc w:val="both"/>
        <w:rPr/>
      </w:pPr>
      <w:r>
        <w:rPr/>
        <w:t>Удаленное (с рабочего места оператора) параметрирование приборов учета и их групп - не более 0,5 % случаев неудачных действий (без учета состояния каналов связи).</w:t>
      </w:r>
    </w:p>
    <w:p>
      <w:pPr>
        <w:pStyle w:val="ListParagraph1"/>
        <w:widowControl/>
        <w:numPr>
          <w:ilvl w:val="2"/>
          <w:numId w:val="14"/>
        </w:numPr>
        <w:spacing w:lineRule="auto" w:line="324" w:before="120" w:after="0"/>
        <w:ind w:firstLine="1134" w:start="0" w:end="-2"/>
        <w:contextualSpacing/>
        <w:jc w:val="both"/>
        <w:rPr/>
      </w:pPr>
      <w:r>
        <w:rPr/>
        <w:t>Устойчивая работа элементов автоматизированной системы – максимально допустимое кол-во отказов и выходов из строя элементов автоматизированной системы – не более 0,5% от общего количества узлов, входящих в ее состав (серверы, приборы учета, оборудование связи) за период опытной эксплуатации.</w:t>
      </w:r>
    </w:p>
    <w:p>
      <w:pPr>
        <w:pStyle w:val="ListParagraph1"/>
        <w:widowControl/>
        <w:numPr>
          <w:ilvl w:val="2"/>
          <w:numId w:val="14"/>
        </w:numPr>
        <w:spacing w:lineRule="auto" w:line="324" w:before="120" w:after="0"/>
        <w:ind w:firstLine="1134" w:start="0" w:end="-2"/>
        <w:contextualSpacing/>
        <w:jc w:val="both"/>
        <w:rPr/>
      </w:pPr>
      <w:r>
        <w:rPr/>
        <w:t>Количество приборов учета, данные с которых не удалось получить путем удаленного опроса в течение отчетного месяца (исключая случаи выхода из строя прибора учета, базовой станции или УСПД, сервера) - не более 0,1 % от общего числа приборов учета.</w:t>
      </w:r>
    </w:p>
    <w:p>
      <w:pPr>
        <w:pStyle w:val="ListParagraph1"/>
        <w:widowControl/>
        <w:numPr>
          <w:ilvl w:val="2"/>
          <w:numId w:val="14"/>
        </w:numPr>
        <w:spacing w:lineRule="auto" w:line="324" w:before="120" w:after="0"/>
        <w:ind w:firstLine="1134" w:start="0" w:end="-2"/>
        <w:contextualSpacing/>
        <w:jc w:val="both"/>
        <w:rPr/>
      </w:pPr>
      <w:r>
        <w:rPr/>
        <w:t>Во время опытной эксплуатации при наличии обоснованных претензий к работе ИСУ, Исполнитель обязан устранить выявленные недостатки за свой счет в течении 10 календарных дней и предъявить Заказчику исправленный результат работ. Количество инцидентов, вызвавших несанкционированное, или произведенное с нарушением установленного порядка, ограничение и (или) отключение нагрузки, исключая некорректные действия персонала Заказчика – не более 2% в первый месяц опытной эксплуатации.</w:t>
      </w:r>
    </w:p>
    <w:p>
      <w:pPr>
        <w:pStyle w:val="ListParagraph1"/>
        <w:widowControl/>
        <w:numPr>
          <w:ilvl w:val="2"/>
          <w:numId w:val="14"/>
        </w:numPr>
        <w:spacing w:lineRule="auto" w:line="324" w:before="120" w:after="0"/>
        <w:ind w:firstLine="1134" w:start="0" w:end="-2"/>
        <w:contextualSpacing/>
        <w:jc w:val="both"/>
        <w:rPr/>
      </w:pPr>
      <w:r>
        <w:rPr/>
        <w:t>По результатам работы комиссии составляется акт приемки ИСУ в опытную эксплуатацию.</w:t>
      </w:r>
    </w:p>
    <w:p>
      <w:pPr>
        <w:pStyle w:val="ListParagraph1"/>
        <w:widowControl/>
        <w:numPr>
          <w:ilvl w:val="2"/>
          <w:numId w:val="14"/>
        </w:numPr>
        <w:spacing w:lineRule="auto" w:line="324" w:before="120" w:after="0"/>
        <w:ind w:firstLine="1134" w:start="0" w:end="-2"/>
        <w:contextualSpacing/>
        <w:jc w:val="both"/>
        <w:rPr/>
      </w:pPr>
      <w:r>
        <w:rPr/>
        <w:t>Оригинал акта и копии всех необходимых документов предоставляются заказчику в срок не позднее 5 рабочих дней с даты приемки ИСУ в опытную эксплуатацию.</w:t>
      </w:r>
    </w:p>
    <w:p>
      <w:pPr>
        <w:pStyle w:val="ListParagraph1"/>
        <w:widowControl/>
        <w:numPr>
          <w:ilvl w:val="0"/>
          <w:numId w:val="14"/>
        </w:numPr>
        <w:spacing w:lineRule="auto" w:line="324" w:before="120" w:after="0"/>
        <w:ind w:firstLine="567" w:start="0" w:end="0"/>
        <w:contextualSpacing w:val="false"/>
        <w:jc w:val="both"/>
        <w:rPr>
          <w:b/>
          <w:sz w:val="26"/>
        </w:rPr>
      </w:pPr>
      <w:r>
        <w:rPr>
          <w:b/>
          <w:sz w:val="26"/>
        </w:rPr>
        <w:t>Организация приемки ИСУ в промышленную эксплуатацию и состав сопроводительной документации</w:t>
      </w:r>
    </w:p>
    <w:p>
      <w:pPr>
        <w:pStyle w:val="ListParagraph1"/>
        <w:widowControl/>
        <w:numPr>
          <w:ilvl w:val="1"/>
          <w:numId w:val="15"/>
        </w:numPr>
        <w:spacing w:lineRule="auto" w:line="324" w:before="120" w:after="60"/>
        <w:ind w:firstLine="709" w:start="0" w:end="0"/>
        <w:contextualSpacing w:val="false"/>
        <w:jc w:val="both"/>
        <w:rPr>
          <w:b/>
        </w:rPr>
      </w:pPr>
      <w:r>
        <w:rPr>
          <w:b/>
        </w:rPr>
        <w:t>К моменту приемки ИСУ в промышленную эксплуатацию Исполнителем должен быть подготовлен следующий пакет документов:</w:t>
      </w:r>
    </w:p>
    <w:p>
      <w:pPr>
        <w:pStyle w:val="ListParagraph1"/>
        <w:widowControl/>
        <w:numPr>
          <w:ilvl w:val="2"/>
          <w:numId w:val="15"/>
        </w:numPr>
        <w:spacing w:lineRule="auto" w:line="324" w:before="120" w:after="0"/>
        <w:ind w:firstLine="1134" w:start="0" w:end="-2"/>
        <w:contextualSpacing/>
        <w:jc w:val="both"/>
        <w:rPr/>
      </w:pPr>
      <w:r>
        <w:rPr/>
        <w:t>Ведомости установленных приборов учета.</w:t>
      </w:r>
    </w:p>
    <w:p>
      <w:pPr>
        <w:pStyle w:val="ListParagraph1"/>
        <w:widowControl/>
        <w:numPr>
          <w:ilvl w:val="2"/>
          <w:numId w:val="15"/>
        </w:numPr>
        <w:spacing w:lineRule="auto" w:line="324" w:before="120" w:after="0"/>
        <w:ind w:firstLine="1134" w:start="0" w:end="-2"/>
        <w:contextualSpacing/>
        <w:jc w:val="both"/>
        <w:rPr/>
      </w:pPr>
      <w:r>
        <w:rPr/>
        <w:t>Протокол проверки информационного канала, подтверждающий регистрацию для 95 % установленных приборов учета. При этом должны выполняться следующие требования по поступлению информации в базу данных.</w:t>
      </w:r>
    </w:p>
    <w:p>
      <w:pPr>
        <w:pStyle w:val="ListParagraph1"/>
        <w:widowControl/>
        <w:numPr>
          <w:ilvl w:val="2"/>
          <w:numId w:val="15"/>
        </w:numPr>
        <w:spacing w:lineRule="auto" w:line="324" w:before="120" w:after="0"/>
        <w:ind w:firstLine="1134" w:start="0" w:end="-2"/>
        <w:contextualSpacing/>
        <w:jc w:val="both"/>
        <w:rPr/>
      </w:pPr>
      <w:r>
        <w:rPr/>
        <w:t>Вновь установленные счетчики и ретрансляторы должны регистрироваться в системе не позднее 5 (пяти) календарных дней с момента их установки. Добавление приборов учета в базу данных сервера и ПО верхнего уровня должно осуществляться в ручном режиме, в соответствии с привязкой приборов учета к конкретным местам установки, а также заведением всех необходимых параметров авторизации.</w:t>
      </w:r>
    </w:p>
    <w:p>
      <w:pPr>
        <w:pStyle w:val="ListParagraph1"/>
        <w:widowControl/>
        <w:numPr>
          <w:ilvl w:val="2"/>
          <w:numId w:val="15"/>
        </w:numPr>
        <w:spacing w:lineRule="auto" w:line="324" w:before="120" w:after="0"/>
        <w:ind w:firstLine="1134" w:start="0" w:end="-2"/>
        <w:contextualSpacing/>
        <w:jc w:val="both"/>
        <w:rPr/>
      </w:pPr>
      <w:r>
        <w:rPr/>
        <w:t>Через 4 (четыре) календарных дня после окончания расчетного периода (расчетный период равен одному календарному месяцу) в базу данных должно поступать от каждого смонтированного прибора учета не менее 95% показаний на конец суток от максимально возможного значения за данный месяц.</w:t>
      </w:r>
    </w:p>
    <w:p>
      <w:pPr>
        <w:pStyle w:val="ListParagraph1"/>
        <w:widowControl/>
        <w:numPr>
          <w:ilvl w:val="2"/>
          <w:numId w:val="15"/>
        </w:numPr>
        <w:spacing w:lineRule="auto" w:line="324" w:before="120" w:after="0"/>
        <w:ind w:firstLine="1134" w:start="0" w:end="-2"/>
        <w:contextualSpacing/>
        <w:jc w:val="both"/>
        <w:rPr/>
      </w:pPr>
      <w:r>
        <w:rPr/>
        <w:t>Документальные подтверждения устранения замечаний, выявленных на этапе работы комиссии по приемке в опытную эксплуатацию (в случае наличия таковых).</w:t>
      </w:r>
    </w:p>
    <w:p>
      <w:pPr>
        <w:pStyle w:val="ListParagraph1"/>
        <w:widowControl/>
        <w:numPr>
          <w:ilvl w:val="1"/>
          <w:numId w:val="15"/>
        </w:numPr>
        <w:spacing w:lineRule="auto" w:line="324" w:before="120" w:after="60"/>
        <w:ind w:firstLine="709" w:start="0" w:end="0"/>
        <w:contextualSpacing w:val="false"/>
        <w:jc w:val="both"/>
        <w:rPr>
          <w:b/>
        </w:rPr>
      </w:pPr>
      <w:r>
        <w:rPr>
          <w:b/>
        </w:rPr>
        <w:t>Порядок приемки ИСУ в промышленную эксплуатацию:</w:t>
      </w:r>
    </w:p>
    <w:p>
      <w:pPr>
        <w:pStyle w:val="ListParagraph1"/>
        <w:widowControl/>
        <w:numPr>
          <w:ilvl w:val="2"/>
          <w:numId w:val="15"/>
        </w:numPr>
        <w:spacing w:lineRule="auto" w:line="324" w:before="120" w:after="0"/>
        <w:ind w:firstLine="1134" w:start="0" w:end="-2"/>
        <w:contextualSpacing/>
        <w:jc w:val="both"/>
        <w:rPr/>
      </w:pPr>
      <w:r>
        <w:rPr/>
        <w:t>Дата проведения приемки согласуется заказчиком и исполнителем.</w:t>
      </w:r>
    </w:p>
    <w:p>
      <w:pPr>
        <w:pStyle w:val="ListParagraph1"/>
        <w:widowControl/>
        <w:numPr>
          <w:ilvl w:val="2"/>
          <w:numId w:val="15"/>
        </w:numPr>
        <w:spacing w:lineRule="auto" w:line="324" w:before="120" w:after="0"/>
        <w:ind w:firstLine="1134" w:start="0" w:end="-2"/>
        <w:contextualSpacing/>
        <w:jc w:val="both"/>
        <w:rPr/>
      </w:pPr>
      <w:r>
        <w:rPr/>
        <w:t xml:space="preserve">По результатам работы комиссии составляется акт приемки ИСУ в промышленную эксплуатацию. </w:t>
      </w:r>
    </w:p>
    <w:sectPr>
      <w:type w:val="nextPage"/>
      <w:pgSz w:w="11906" w:h="16838"/>
      <w:pgMar w:left="1134" w:right="707" w:gutter="0" w:header="0" w:top="1135" w:footer="0" w:bottom="709"/>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XO Thames">
    <w:charset w:val="01" w:characterSet="utf-8"/>
    <w:family w:val="roman"/>
    <w:pitch w:val="variable"/>
  </w:font>
  <w:font w:name="Tahoma">
    <w:charset w:val="01" w:characterSet="utf-8"/>
    <w:family w:val="roman"/>
    <w:pitch w:val="variable"/>
  </w:font>
  <w:font w:name="Times New Roman">
    <w:charset w:val="01" w:characterSet="utf-8"/>
    <w:family w:val="roman"/>
    <w:pitch w:val="variable"/>
  </w:font>
  <w:font w:name="Liberation Sans">
    <w:altName w:val="Arial"/>
    <w:charset w:val="01" w:characterSet="utf-8"/>
    <w:family w:val="swiss"/>
    <w:pitch w:val="variable"/>
  </w:font>
  <w:font w:name="Symbol">
    <w:charset w:val="02"/>
    <w:family w:val="auto"/>
    <w:pitch w:val="default"/>
  </w:font>
  <w:font w:name="Wingdings">
    <w:charset w:val="02"/>
    <w:family w:val="auto"/>
    <w:pitch w:val="default"/>
  </w:font>
  <w:font w:name="Courier New">
    <w:charset w:val="01"/>
    <w:family w:val="modern"/>
    <w:pitch w:val="fixed"/>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720" w:hanging="360"/>
      </w:pPr>
      <w:rPr/>
    </w:lvl>
    <w:lvl w:ilvl="1">
      <w:start w:val="1"/>
      <w:numFmt w:val="decimal"/>
      <w:lvlText w:val="%1.%2."/>
      <w:lvlJc w:val="start"/>
      <w:pPr>
        <w:tabs>
          <w:tab w:val="num" w:pos="0"/>
        </w:tabs>
        <w:ind w:start="870" w:hanging="510"/>
      </w:pPr>
      <w:rPr/>
    </w:lvl>
    <w:lvl w:ilvl="2">
      <w:start w:val="1"/>
      <w:numFmt w:val="decimal"/>
      <w:lvlText w:val="%1.%2.%3."/>
      <w:lvlJc w:val="start"/>
      <w:pPr>
        <w:tabs>
          <w:tab w:val="num" w:pos="0"/>
        </w:tabs>
        <w:ind w:start="1080" w:hanging="720"/>
      </w:pPr>
      <w:rPr/>
    </w:lvl>
    <w:lvl w:ilvl="3">
      <w:start w:val="1"/>
      <w:numFmt w:val="decimal"/>
      <w:lvlText w:val="%1.%2.%3.%4."/>
      <w:lvlJc w:val="start"/>
      <w:pPr>
        <w:tabs>
          <w:tab w:val="num" w:pos="0"/>
        </w:tabs>
        <w:ind w:start="1080" w:hanging="720"/>
      </w:pPr>
      <w:rPr/>
    </w:lvl>
    <w:lvl w:ilvl="4">
      <w:start w:val="1"/>
      <w:numFmt w:val="decimal"/>
      <w:lvlText w:val="%1.%2.%3.%4.%5."/>
      <w:lvlJc w:val="start"/>
      <w:pPr>
        <w:tabs>
          <w:tab w:val="num" w:pos="0"/>
        </w:tabs>
        <w:ind w:start="1440" w:hanging="1080"/>
      </w:pPr>
      <w:rPr/>
    </w:lvl>
    <w:lvl w:ilvl="5">
      <w:start w:val="1"/>
      <w:numFmt w:val="decimal"/>
      <w:lvlText w:val="%1.%2.%3.%4.%5.%6."/>
      <w:lvlJc w:val="start"/>
      <w:pPr>
        <w:tabs>
          <w:tab w:val="num" w:pos="0"/>
        </w:tabs>
        <w:ind w:start="1440" w:hanging="1080"/>
      </w:pPr>
      <w:rPr/>
    </w:lvl>
    <w:lvl w:ilvl="6">
      <w:start w:val="1"/>
      <w:numFmt w:val="decimal"/>
      <w:lvlText w:val="%1.%2.%3.%4.%5.%6.%7."/>
      <w:lvlJc w:val="start"/>
      <w:pPr>
        <w:tabs>
          <w:tab w:val="num" w:pos="0"/>
        </w:tabs>
        <w:ind w:start="1800" w:hanging="1440"/>
      </w:pPr>
      <w:rPr/>
    </w:lvl>
    <w:lvl w:ilvl="7">
      <w:start w:val="1"/>
      <w:numFmt w:val="decimal"/>
      <w:lvlText w:val="%1.%2.%3.%4.%5.%6.%7.%8."/>
      <w:lvlJc w:val="start"/>
      <w:pPr>
        <w:tabs>
          <w:tab w:val="num" w:pos="0"/>
        </w:tabs>
        <w:ind w:start="1800" w:hanging="1440"/>
      </w:pPr>
      <w:rPr/>
    </w:lvl>
    <w:lvl w:ilvl="8">
      <w:start w:val="1"/>
      <w:numFmt w:val="decimal"/>
      <w:lvlText w:val="%1.%2.%3.%4.%5.%6.%7.%8.%9."/>
      <w:lvlJc w:val="start"/>
      <w:pPr>
        <w:tabs>
          <w:tab w:val="num" w:pos="0"/>
        </w:tabs>
        <w:ind w:start="2160" w:hanging="1800"/>
      </w:pPr>
      <w:rPr/>
    </w:lvl>
  </w:abstractNum>
  <w:abstractNum w:abstractNumId="2">
    <w:lvl w:ilvl="0">
      <w:start w:val="1"/>
      <w:numFmt w:val="bullet"/>
      <w:lvlText w:val=""/>
      <w:lvlJc w:val="start"/>
      <w:pPr>
        <w:tabs>
          <w:tab w:val="num" w:pos="0"/>
        </w:tabs>
        <w:ind w:start="1004" w:hanging="360"/>
      </w:pPr>
      <w:rPr>
        <w:rFonts w:ascii="Symbol" w:hAnsi="Symbol" w:cs="Symbol" w:hint="default"/>
      </w:rPr>
    </w:lvl>
    <w:lvl w:ilvl="1">
      <w:start w:val="1"/>
      <w:numFmt w:val="bullet"/>
      <w:lvlText w:val=""/>
      <w:lvlJc w:val="start"/>
      <w:pPr>
        <w:tabs>
          <w:tab w:val="num" w:pos="0"/>
        </w:tabs>
        <w:ind w:start="1724" w:hanging="360"/>
      </w:pPr>
      <w:rPr>
        <w:rFonts w:ascii="Symbol" w:hAnsi="Symbol" w:cs="Symbol" w:hint="default"/>
      </w:rPr>
    </w:lvl>
    <w:lvl w:ilvl="2">
      <w:start w:val="1"/>
      <w:numFmt w:val="bullet"/>
      <w:lvlText w:val=""/>
      <w:lvlJc w:val="start"/>
      <w:pPr>
        <w:tabs>
          <w:tab w:val="num" w:pos="0"/>
        </w:tabs>
        <w:ind w:start="2444" w:hanging="360"/>
      </w:pPr>
      <w:rPr>
        <w:rFonts w:ascii="Wingdings" w:hAnsi="Wingdings" w:cs="Wingdings" w:hint="default"/>
      </w:rPr>
    </w:lvl>
    <w:lvl w:ilvl="3">
      <w:start w:val="1"/>
      <w:numFmt w:val="bullet"/>
      <w:lvlText w:val=""/>
      <w:lvlJc w:val="start"/>
      <w:pPr>
        <w:tabs>
          <w:tab w:val="num" w:pos="0"/>
        </w:tabs>
        <w:ind w:start="3164" w:hanging="360"/>
      </w:pPr>
      <w:rPr>
        <w:rFonts w:ascii="Symbol" w:hAnsi="Symbol" w:cs="Symbol" w:hint="default"/>
      </w:rPr>
    </w:lvl>
    <w:lvl w:ilvl="4">
      <w:start w:val="1"/>
      <w:numFmt w:val="bullet"/>
      <w:lvlText w:val="o"/>
      <w:lvlJc w:val="start"/>
      <w:pPr>
        <w:tabs>
          <w:tab w:val="num" w:pos="0"/>
        </w:tabs>
        <w:ind w:start="3884" w:hanging="360"/>
      </w:pPr>
      <w:rPr>
        <w:rFonts w:ascii="Courier New" w:hAnsi="Courier New" w:cs="Courier New" w:hint="default"/>
      </w:rPr>
    </w:lvl>
    <w:lvl w:ilvl="5">
      <w:start w:val="1"/>
      <w:numFmt w:val="bullet"/>
      <w:lvlText w:val=""/>
      <w:lvlJc w:val="start"/>
      <w:pPr>
        <w:tabs>
          <w:tab w:val="num" w:pos="0"/>
        </w:tabs>
        <w:ind w:start="4604" w:hanging="360"/>
      </w:pPr>
      <w:rPr>
        <w:rFonts w:ascii="Wingdings" w:hAnsi="Wingdings" w:cs="Wingdings" w:hint="default"/>
      </w:rPr>
    </w:lvl>
    <w:lvl w:ilvl="6">
      <w:start w:val="1"/>
      <w:numFmt w:val="bullet"/>
      <w:lvlText w:val=""/>
      <w:lvlJc w:val="start"/>
      <w:pPr>
        <w:tabs>
          <w:tab w:val="num" w:pos="0"/>
        </w:tabs>
        <w:ind w:start="5324" w:hanging="360"/>
      </w:pPr>
      <w:rPr>
        <w:rFonts w:ascii="Symbol" w:hAnsi="Symbol" w:cs="Symbol" w:hint="default"/>
      </w:rPr>
    </w:lvl>
    <w:lvl w:ilvl="7">
      <w:start w:val="1"/>
      <w:numFmt w:val="bullet"/>
      <w:lvlText w:val="o"/>
      <w:lvlJc w:val="start"/>
      <w:pPr>
        <w:tabs>
          <w:tab w:val="num" w:pos="0"/>
        </w:tabs>
        <w:ind w:start="6044" w:hanging="360"/>
      </w:pPr>
      <w:rPr>
        <w:rFonts w:ascii="Courier New" w:hAnsi="Courier New" w:cs="Courier New" w:hint="default"/>
      </w:rPr>
    </w:lvl>
    <w:lvl w:ilvl="8">
      <w:start w:val="1"/>
      <w:numFmt w:val="bullet"/>
      <w:lvlText w:val=""/>
      <w:lvlJc w:val="start"/>
      <w:pPr>
        <w:tabs>
          <w:tab w:val="num" w:pos="0"/>
        </w:tabs>
        <w:ind w:start="6764" w:hanging="360"/>
      </w:pPr>
      <w:rPr>
        <w:rFonts w:ascii="Wingdings" w:hAnsi="Wingdings" w:cs="Wingdings" w:hint="default"/>
      </w:rPr>
    </w:lvl>
  </w:abstractNum>
  <w:abstractNum w:abstractNumId="3">
    <w:lvl w:ilvl="0">
      <w:start w:val="2"/>
      <w:numFmt w:val="decimal"/>
      <w:lvlText w:val="%1."/>
      <w:lvlJc w:val="start"/>
      <w:pPr>
        <w:tabs>
          <w:tab w:val="num" w:pos="0"/>
        </w:tabs>
        <w:ind w:start="495" w:hanging="495"/>
      </w:pPr>
      <w:rPr/>
    </w:lvl>
    <w:lvl w:ilvl="1">
      <w:start w:val="3"/>
      <w:numFmt w:val="decimal"/>
      <w:lvlText w:val="%1.%2."/>
      <w:lvlJc w:val="start"/>
      <w:pPr>
        <w:tabs>
          <w:tab w:val="num" w:pos="0"/>
        </w:tabs>
        <w:ind w:start="675" w:hanging="495"/>
      </w:pPr>
      <w:rPr>
        <w:b/>
        <w:i w:val="false"/>
      </w:rPr>
    </w:lvl>
    <w:lvl w:ilvl="2">
      <w:start w:val="1"/>
      <w:numFmt w:val="decimal"/>
      <w:lvlText w:val="%1.%2.%3."/>
      <w:lvlJc w:val="start"/>
      <w:pPr>
        <w:tabs>
          <w:tab w:val="num" w:pos="0"/>
        </w:tabs>
        <w:ind w:start="1571" w:hanging="720"/>
      </w:pPr>
      <w:rPr/>
    </w:lvl>
    <w:lvl w:ilvl="3">
      <w:start w:val="1"/>
      <w:numFmt w:val="decimal"/>
      <w:lvlText w:val="%1.%2.%3.%4."/>
      <w:lvlJc w:val="start"/>
      <w:pPr>
        <w:tabs>
          <w:tab w:val="num" w:pos="0"/>
        </w:tabs>
        <w:ind w:start="1260" w:hanging="720"/>
      </w:pPr>
      <w:rPr/>
    </w:lvl>
    <w:lvl w:ilvl="4">
      <w:start w:val="1"/>
      <w:numFmt w:val="decimal"/>
      <w:lvlText w:val="%1.%2.%3.%4.%5."/>
      <w:lvlJc w:val="start"/>
      <w:pPr>
        <w:tabs>
          <w:tab w:val="num" w:pos="0"/>
        </w:tabs>
        <w:ind w:start="1800" w:hanging="1080"/>
      </w:pPr>
      <w:rPr/>
    </w:lvl>
    <w:lvl w:ilvl="5">
      <w:start w:val="1"/>
      <w:numFmt w:val="decimal"/>
      <w:lvlText w:val="%1.%2.%3.%4.%5.%6."/>
      <w:lvlJc w:val="start"/>
      <w:pPr>
        <w:tabs>
          <w:tab w:val="num" w:pos="0"/>
        </w:tabs>
        <w:ind w:start="1980" w:hanging="1080"/>
      </w:pPr>
      <w:rPr/>
    </w:lvl>
    <w:lvl w:ilvl="6">
      <w:start w:val="1"/>
      <w:numFmt w:val="decimal"/>
      <w:lvlText w:val="%1.%2.%3.%4.%5.%6.%7."/>
      <w:lvlJc w:val="start"/>
      <w:pPr>
        <w:tabs>
          <w:tab w:val="num" w:pos="0"/>
        </w:tabs>
        <w:ind w:start="2520" w:hanging="1440"/>
      </w:pPr>
      <w:rPr/>
    </w:lvl>
    <w:lvl w:ilvl="7">
      <w:start w:val="1"/>
      <w:numFmt w:val="decimal"/>
      <w:lvlText w:val="%1.%2.%3.%4.%5.%6.%7.%8."/>
      <w:lvlJc w:val="start"/>
      <w:pPr>
        <w:tabs>
          <w:tab w:val="num" w:pos="0"/>
        </w:tabs>
        <w:ind w:start="2700" w:hanging="1440"/>
      </w:pPr>
      <w:rPr/>
    </w:lvl>
    <w:lvl w:ilvl="8">
      <w:start w:val="1"/>
      <w:numFmt w:val="decimal"/>
      <w:lvlText w:val="%1.%2.%3.%4.%5.%6.%7.%8.%9."/>
      <w:lvlJc w:val="start"/>
      <w:pPr>
        <w:tabs>
          <w:tab w:val="num" w:pos="0"/>
        </w:tabs>
        <w:ind w:start="3240" w:hanging="1800"/>
      </w:pPr>
      <w:rPr/>
    </w:lvl>
  </w:abstractNum>
  <w:abstractNum w:abstractNumId="4">
    <w:lvl w:ilvl="0">
      <w:start w:val="1"/>
      <w:numFmt w:val="bullet"/>
      <w:lvlText w:val=""/>
      <w:lvlJc w:val="start"/>
      <w:pPr>
        <w:tabs>
          <w:tab w:val="num" w:pos="0"/>
        </w:tabs>
        <w:ind w:start="1854" w:hanging="360"/>
      </w:pPr>
      <w:rPr>
        <w:rFonts w:ascii="Symbol" w:hAnsi="Symbol" w:cs="Symbol" w:hint="default"/>
      </w:rPr>
    </w:lvl>
    <w:lvl w:ilvl="1">
      <w:start w:val="1"/>
      <w:numFmt w:val="bullet"/>
      <w:lvlText w:val="o"/>
      <w:lvlJc w:val="start"/>
      <w:pPr>
        <w:tabs>
          <w:tab w:val="num" w:pos="0"/>
        </w:tabs>
        <w:ind w:start="2574" w:hanging="360"/>
      </w:pPr>
      <w:rPr>
        <w:rFonts w:ascii="Courier New" w:hAnsi="Courier New" w:cs="Courier New" w:hint="default"/>
      </w:rPr>
    </w:lvl>
    <w:lvl w:ilvl="2">
      <w:start w:val="1"/>
      <w:numFmt w:val="bullet"/>
      <w:lvlText w:val=""/>
      <w:lvlJc w:val="start"/>
      <w:pPr>
        <w:tabs>
          <w:tab w:val="num" w:pos="0"/>
        </w:tabs>
        <w:ind w:start="3294" w:hanging="360"/>
      </w:pPr>
      <w:rPr>
        <w:rFonts w:ascii="Wingdings" w:hAnsi="Wingdings" w:cs="Wingdings" w:hint="default"/>
      </w:rPr>
    </w:lvl>
    <w:lvl w:ilvl="3">
      <w:start w:val="1"/>
      <w:numFmt w:val="bullet"/>
      <w:lvlText w:val=""/>
      <w:lvlJc w:val="start"/>
      <w:pPr>
        <w:tabs>
          <w:tab w:val="num" w:pos="0"/>
        </w:tabs>
        <w:ind w:start="4014" w:hanging="360"/>
      </w:pPr>
      <w:rPr>
        <w:rFonts w:ascii="Symbol" w:hAnsi="Symbol" w:cs="Symbol" w:hint="default"/>
      </w:rPr>
    </w:lvl>
    <w:lvl w:ilvl="4">
      <w:start w:val="1"/>
      <w:numFmt w:val="bullet"/>
      <w:lvlText w:val="o"/>
      <w:lvlJc w:val="start"/>
      <w:pPr>
        <w:tabs>
          <w:tab w:val="num" w:pos="0"/>
        </w:tabs>
        <w:ind w:start="4734" w:hanging="360"/>
      </w:pPr>
      <w:rPr>
        <w:rFonts w:ascii="Courier New" w:hAnsi="Courier New" w:cs="Courier New" w:hint="default"/>
      </w:rPr>
    </w:lvl>
    <w:lvl w:ilvl="5">
      <w:start w:val="1"/>
      <w:numFmt w:val="bullet"/>
      <w:lvlText w:val=""/>
      <w:lvlJc w:val="start"/>
      <w:pPr>
        <w:tabs>
          <w:tab w:val="num" w:pos="0"/>
        </w:tabs>
        <w:ind w:start="5454" w:hanging="360"/>
      </w:pPr>
      <w:rPr>
        <w:rFonts w:ascii="Wingdings" w:hAnsi="Wingdings" w:cs="Wingdings" w:hint="default"/>
      </w:rPr>
    </w:lvl>
    <w:lvl w:ilvl="6">
      <w:start w:val="1"/>
      <w:numFmt w:val="bullet"/>
      <w:lvlText w:val=""/>
      <w:lvlJc w:val="start"/>
      <w:pPr>
        <w:tabs>
          <w:tab w:val="num" w:pos="0"/>
        </w:tabs>
        <w:ind w:start="6174" w:hanging="360"/>
      </w:pPr>
      <w:rPr>
        <w:rFonts w:ascii="Symbol" w:hAnsi="Symbol" w:cs="Symbol" w:hint="default"/>
      </w:rPr>
    </w:lvl>
    <w:lvl w:ilvl="7">
      <w:start w:val="1"/>
      <w:numFmt w:val="bullet"/>
      <w:lvlText w:val="o"/>
      <w:lvlJc w:val="start"/>
      <w:pPr>
        <w:tabs>
          <w:tab w:val="num" w:pos="0"/>
        </w:tabs>
        <w:ind w:start="6894" w:hanging="360"/>
      </w:pPr>
      <w:rPr>
        <w:rFonts w:ascii="Courier New" w:hAnsi="Courier New" w:cs="Courier New" w:hint="default"/>
      </w:rPr>
    </w:lvl>
    <w:lvl w:ilvl="8">
      <w:start w:val="1"/>
      <w:numFmt w:val="bullet"/>
      <w:lvlText w:val=""/>
      <w:lvlJc w:val="start"/>
      <w:pPr>
        <w:tabs>
          <w:tab w:val="num" w:pos="0"/>
        </w:tabs>
        <w:ind w:start="7614" w:hanging="360"/>
      </w:pPr>
      <w:rPr>
        <w:rFonts w:ascii="Wingdings" w:hAnsi="Wingdings" w:cs="Wingdings" w:hint="default"/>
      </w:rPr>
    </w:lvl>
  </w:abstractNum>
  <w:abstractNum w:abstractNumId="5">
    <w:lvl w:ilvl="0">
      <w:start w:val="1"/>
      <w:numFmt w:val="bullet"/>
      <w:lvlText w:val=""/>
      <w:lvlJc w:val="start"/>
      <w:pPr>
        <w:tabs>
          <w:tab w:val="num" w:pos="0"/>
        </w:tabs>
        <w:ind w:start="927" w:hanging="360"/>
      </w:pPr>
      <w:rPr>
        <w:rFonts w:ascii="Symbol" w:hAnsi="Symbol" w:cs="Symbol" w:hint="default"/>
      </w:rPr>
    </w:lvl>
    <w:lvl w:ilvl="1">
      <w:start w:val="1"/>
      <w:numFmt w:val="bullet"/>
      <w:lvlText w:val="o"/>
      <w:lvlJc w:val="start"/>
      <w:pPr>
        <w:tabs>
          <w:tab w:val="num" w:pos="0"/>
        </w:tabs>
        <w:ind w:start="1647" w:hanging="360"/>
      </w:pPr>
      <w:rPr>
        <w:rFonts w:ascii="Courier New" w:hAnsi="Courier New" w:cs="Courier New" w:hint="default"/>
      </w:rPr>
    </w:lvl>
    <w:lvl w:ilvl="2">
      <w:start w:val="1"/>
      <w:numFmt w:val="bullet"/>
      <w:lvlText w:val=""/>
      <w:lvlJc w:val="start"/>
      <w:pPr>
        <w:tabs>
          <w:tab w:val="num" w:pos="0"/>
        </w:tabs>
        <w:ind w:start="2367" w:hanging="360"/>
      </w:pPr>
      <w:rPr>
        <w:rFonts w:ascii="Wingdings" w:hAnsi="Wingdings" w:cs="Wingdings" w:hint="default"/>
      </w:rPr>
    </w:lvl>
    <w:lvl w:ilvl="3">
      <w:start w:val="1"/>
      <w:numFmt w:val="bullet"/>
      <w:lvlText w:val=""/>
      <w:lvlJc w:val="start"/>
      <w:pPr>
        <w:tabs>
          <w:tab w:val="num" w:pos="0"/>
        </w:tabs>
        <w:ind w:start="3087" w:hanging="360"/>
      </w:pPr>
      <w:rPr>
        <w:rFonts w:ascii="Symbol" w:hAnsi="Symbol" w:cs="Symbol" w:hint="default"/>
      </w:rPr>
    </w:lvl>
    <w:lvl w:ilvl="4">
      <w:start w:val="1"/>
      <w:numFmt w:val="bullet"/>
      <w:lvlText w:val="o"/>
      <w:lvlJc w:val="start"/>
      <w:pPr>
        <w:tabs>
          <w:tab w:val="num" w:pos="0"/>
        </w:tabs>
        <w:ind w:start="3807" w:hanging="360"/>
      </w:pPr>
      <w:rPr>
        <w:rFonts w:ascii="Courier New" w:hAnsi="Courier New" w:cs="Courier New" w:hint="default"/>
      </w:rPr>
    </w:lvl>
    <w:lvl w:ilvl="5">
      <w:start w:val="1"/>
      <w:numFmt w:val="bullet"/>
      <w:lvlText w:val=""/>
      <w:lvlJc w:val="start"/>
      <w:pPr>
        <w:tabs>
          <w:tab w:val="num" w:pos="0"/>
        </w:tabs>
        <w:ind w:start="4527" w:hanging="360"/>
      </w:pPr>
      <w:rPr>
        <w:rFonts w:ascii="Wingdings" w:hAnsi="Wingdings" w:cs="Wingdings" w:hint="default"/>
      </w:rPr>
    </w:lvl>
    <w:lvl w:ilvl="6">
      <w:start w:val="1"/>
      <w:numFmt w:val="bullet"/>
      <w:lvlText w:val=""/>
      <w:lvlJc w:val="start"/>
      <w:pPr>
        <w:tabs>
          <w:tab w:val="num" w:pos="0"/>
        </w:tabs>
        <w:ind w:start="5247" w:hanging="360"/>
      </w:pPr>
      <w:rPr>
        <w:rFonts w:ascii="Symbol" w:hAnsi="Symbol" w:cs="Symbol" w:hint="default"/>
      </w:rPr>
    </w:lvl>
    <w:lvl w:ilvl="7">
      <w:start w:val="1"/>
      <w:numFmt w:val="bullet"/>
      <w:lvlText w:val="o"/>
      <w:lvlJc w:val="start"/>
      <w:pPr>
        <w:tabs>
          <w:tab w:val="num" w:pos="0"/>
        </w:tabs>
        <w:ind w:start="5967" w:hanging="360"/>
      </w:pPr>
      <w:rPr>
        <w:rFonts w:ascii="Courier New" w:hAnsi="Courier New" w:cs="Courier New" w:hint="default"/>
      </w:rPr>
    </w:lvl>
    <w:lvl w:ilvl="8">
      <w:start w:val="1"/>
      <w:numFmt w:val="bullet"/>
      <w:lvlText w:val=""/>
      <w:lvlJc w:val="start"/>
      <w:pPr>
        <w:tabs>
          <w:tab w:val="num" w:pos="0"/>
        </w:tabs>
        <w:ind w:start="6687" w:hanging="360"/>
      </w:pPr>
      <w:rPr>
        <w:rFonts w:ascii="Wingdings" w:hAnsi="Wingdings" w:cs="Wingdings" w:hint="default"/>
      </w:rPr>
    </w:lvl>
  </w:abstractNum>
  <w:abstractNum w:abstractNumId="6">
    <w:lvl w:ilvl="0">
      <w:start w:val="1"/>
      <w:numFmt w:val="bullet"/>
      <w:lvlText w:val=""/>
      <w:lvlJc w:val="start"/>
      <w:pPr>
        <w:tabs>
          <w:tab w:val="num" w:pos="0"/>
        </w:tabs>
        <w:ind w:start="1287" w:hanging="360"/>
      </w:pPr>
      <w:rPr>
        <w:rFonts w:ascii="Symbol" w:hAnsi="Symbol" w:cs="Symbol" w:hint="default"/>
      </w:rPr>
    </w:lvl>
    <w:lvl w:ilvl="1">
      <w:start w:val="1"/>
      <w:numFmt w:val="bullet"/>
      <w:lvlText w:val="o"/>
      <w:lvlJc w:val="start"/>
      <w:pPr>
        <w:tabs>
          <w:tab w:val="num" w:pos="0"/>
        </w:tabs>
        <w:ind w:start="2007" w:hanging="360"/>
      </w:pPr>
      <w:rPr>
        <w:rFonts w:ascii="Courier New" w:hAnsi="Courier New" w:cs="Courier New" w:hint="default"/>
      </w:rPr>
    </w:lvl>
    <w:lvl w:ilvl="2">
      <w:start w:val="1"/>
      <w:numFmt w:val="bullet"/>
      <w:lvlText w:val=""/>
      <w:lvlJc w:val="start"/>
      <w:pPr>
        <w:tabs>
          <w:tab w:val="num" w:pos="0"/>
        </w:tabs>
        <w:ind w:start="2727" w:hanging="360"/>
      </w:pPr>
      <w:rPr>
        <w:rFonts w:ascii="Wingdings" w:hAnsi="Wingdings" w:cs="Wingdings" w:hint="default"/>
      </w:rPr>
    </w:lvl>
    <w:lvl w:ilvl="3">
      <w:start w:val="1"/>
      <w:numFmt w:val="bullet"/>
      <w:lvlText w:val=""/>
      <w:lvlJc w:val="start"/>
      <w:pPr>
        <w:tabs>
          <w:tab w:val="num" w:pos="0"/>
        </w:tabs>
        <w:ind w:start="3447" w:hanging="360"/>
      </w:pPr>
      <w:rPr>
        <w:rFonts w:ascii="Symbol" w:hAnsi="Symbol" w:cs="Symbol" w:hint="default"/>
      </w:rPr>
    </w:lvl>
    <w:lvl w:ilvl="4">
      <w:start w:val="1"/>
      <w:numFmt w:val="bullet"/>
      <w:lvlText w:val="o"/>
      <w:lvlJc w:val="start"/>
      <w:pPr>
        <w:tabs>
          <w:tab w:val="num" w:pos="0"/>
        </w:tabs>
        <w:ind w:start="4167" w:hanging="360"/>
      </w:pPr>
      <w:rPr>
        <w:rFonts w:ascii="Courier New" w:hAnsi="Courier New" w:cs="Courier New" w:hint="default"/>
      </w:rPr>
    </w:lvl>
    <w:lvl w:ilvl="5">
      <w:start w:val="1"/>
      <w:numFmt w:val="bullet"/>
      <w:lvlText w:val=""/>
      <w:lvlJc w:val="start"/>
      <w:pPr>
        <w:tabs>
          <w:tab w:val="num" w:pos="0"/>
        </w:tabs>
        <w:ind w:start="4887" w:hanging="360"/>
      </w:pPr>
      <w:rPr>
        <w:rFonts w:ascii="Wingdings" w:hAnsi="Wingdings" w:cs="Wingdings" w:hint="default"/>
      </w:rPr>
    </w:lvl>
    <w:lvl w:ilvl="6">
      <w:start w:val="1"/>
      <w:numFmt w:val="bullet"/>
      <w:lvlText w:val=""/>
      <w:lvlJc w:val="start"/>
      <w:pPr>
        <w:tabs>
          <w:tab w:val="num" w:pos="0"/>
        </w:tabs>
        <w:ind w:start="5607" w:hanging="360"/>
      </w:pPr>
      <w:rPr>
        <w:rFonts w:ascii="Symbol" w:hAnsi="Symbol" w:cs="Symbol" w:hint="default"/>
      </w:rPr>
    </w:lvl>
    <w:lvl w:ilvl="7">
      <w:start w:val="1"/>
      <w:numFmt w:val="bullet"/>
      <w:lvlText w:val="o"/>
      <w:lvlJc w:val="start"/>
      <w:pPr>
        <w:tabs>
          <w:tab w:val="num" w:pos="0"/>
        </w:tabs>
        <w:ind w:start="6327" w:hanging="360"/>
      </w:pPr>
      <w:rPr>
        <w:rFonts w:ascii="Courier New" w:hAnsi="Courier New" w:cs="Courier New" w:hint="default"/>
      </w:rPr>
    </w:lvl>
    <w:lvl w:ilvl="8">
      <w:start w:val="1"/>
      <w:numFmt w:val="bullet"/>
      <w:lvlText w:val=""/>
      <w:lvlJc w:val="start"/>
      <w:pPr>
        <w:tabs>
          <w:tab w:val="num" w:pos="0"/>
        </w:tabs>
        <w:ind w:start="7047" w:hanging="360"/>
      </w:pPr>
      <w:rPr>
        <w:rFonts w:ascii="Wingdings" w:hAnsi="Wingdings" w:cs="Wingdings" w:hint="default"/>
      </w:rPr>
    </w:lvl>
  </w:abstractNum>
  <w:abstractNum w:abstractNumId="7">
    <w:lvl w:ilvl="0">
      <w:start w:val="1"/>
      <w:numFmt w:val="bullet"/>
      <w:lvlText w:val=""/>
      <w:lvlJc w:val="start"/>
      <w:pPr>
        <w:tabs>
          <w:tab w:val="num" w:pos="0"/>
        </w:tabs>
        <w:ind w:start="1080" w:hanging="360"/>
      </w:pPr>
      <w:rPr>
        <w:rFonts w:ascii="Symbol" w:hAnsi="Symbol" w:cs="Symbol" w:hint="default"/>
      </w:rPr>
    </w:lvl>
    <w:lvl w:ilvl="1">
      <w:start w:val="1"/>
      <w:numFmt w:val="bullet"/>
      <w:lvlText w:val="o"/>
      <w:lvlJc w:val="start"/>
      <w:pPr>
        <w:tabs>
          <w:tab w:val="num" w:pos="0"/>
        </w:tabs>
        <w:ind w:start="1800" w:hanging="360"/>
      </w:pPr>
      <w:rPr>
        <w:rFonts w:ascii="Courier New" w:hAnsi="Courier New" w:cs="Courier New" w:hint="default"/>
      </w:rPr>
    </w:lvl>
    <w:lvl w:ilvl="2">
      <w:start w:val="1"/>
      <w:numFmt w:val="bullet"/>
      <w:lvlText w:val=""/>
      <w:lvlJc w:val="start"/>
      <w:pPr>
        <w:tabs>
          <w:tab w:val="num" w:pos="0"/>
        </w:tabs>
        <w:ind w:start="2520" w:hanging="360"/>
      </w:pPr>
      <w:rPr>
        <w:rFonts w:ascii="Wingdings" w:hAnsi="Wingdings" w:cs="Wingdings" w:hint="default"/>
      </w:rPr>
    </w:lvl>
    <w:lvl w:ilvl="3">
      <w:start w:val="1"/>
      <w:numFmt w:val="bullet"/>
      <w:lvlText w:val=""/>
      <w:lvlJc w:val="start"/>
      <w:pPr>
        <w:tabs>
          <w:tab w:val="num" w:pos="0"/>
        </w:tabs>
        <w:ind w:start="3240" w:hanging="360"/>
      </w:pPr>
      <w:rPr>
        <w:rFonts w:ascii="Symbol" w:hAnsi="Symbol" w:cs="Symbol" w:hint="default"/>
      </w:rPr>
    </w:lvl>
    <w:lvl w:ilvl="4">
      <w:start w:val="1"/>
      <w:numFmt w:val="bullet"/>
      <w:lvlText w:val="o"/>
      <w:lvlJc w:val="start"/>
      <w:pPr>
        <w:tabs>
          <w:tab w:val="num" w:pos="0"/>
        </w:tabs>
        <w:ind w:start="3960" w:hanging="360"/>
      </w:pPr>
      <w:rPr>
        <w:rFonts w:ascii="Courier New" w:hAnsi="Courier New" w:cs="Courier New" w:hint="default"/>
      </w:rPr>
    </w:lvl>
    <w:lvl w:ilvl="5">
      <w:start w:val="1"/>
      <w:numFmt w:val="bullet"/>
      <w:lvlText w:val=""/>
      <w:lvlJc w:val="start"/>
      <w:pPr>
        <w:tabs>
          <w:tab w:val="num" w:pos="0"/>
        </w:tabs>
        <w:ind w:start="4680" w:hanging="360"/>
      </w:pPr>
      <w:rPr>
        <w:rFonts w:ascii="Wingdings" w:hAnsi="Wingdings" w:cs="Wingdings" w:hint="default"/>
      </w:rPr>
    </w:lvl>
    <w:lvl w:ilvl="6">
      <w:start w:val="1"/>
      <w:numFmt w:val="bullet"/>
      <w:lvlText w:val=""/>
      <w:lvlJc w:val="start"/>
      <w:pPr>
        <w:tabs>
          <w:tab w:val="num" w:pos="0"/>
        </w:tabs>
        <w:ind w:start="5400" w:hanging="360"/>
      </w:pPr>
      <w:rPr>
        <w:rFonts w:ascii="Symbol" w:hAnsi="Symbol" w:cs="Symbol" w:hint="default"/>
      </w:rPr>
    </w:lvl>
    <w:lvl w:ilvl="7">
      <w:start w:val="1"/>
      <w:numFmt w:val="bullet"/>
      <w:lvlText w:val="o"/>
      <w:lvlJc w:val="start"/>
      <w:pPr>
        <w:tabs>
          <w:tab w:val="num" w:pos="0"/>
        </w:tabs>
        <w:ind w:start="6120" w:hanging="360"/>
      </w:pPr>
      <w:rPr>
        <w:rFonts w:ascii="Courier New" w:hAnsi="Courier New" w:cs="Courier New" w:hint="default"/>
      </w:rPr>
    </w:lvl>
    <w:lvl w:ilvl="8">
      <w:start w:val="1"/>
      <w:numFmt w:val="bullet"/>
      <w:lvlText w:val=""/>
      <w:lvlJc w:val="start"/>
      <w:pPr>
        <w:tabs>
          <w:tab w:val="num" w:pos="0"/>
        </w:tabs>
        <w:ind w:start="6840" w:hanging="360"/>
      </w:pPr>
      <w:rPr>
        <w:rFonts w:ascii="Wingdings" w:hAnsi="Wingdings" w:cs="Wingdings" w:hint="default"/>
      </w:rPr>
    </w:lvl>
  </w:abstractNum>
  <w:abstractNum w:abstractNumId="8">
    <w:lvl w:ilvl="0">
      <w:start w:val="1"/>
      <w:numFmt w:val="bullet"/>
      <w:lvlText w:val=""/>
      <w:lvlJc w:val="start"/>
      <w:pPr>
        <w:tabs>
          <w:tab w:val="num" w:pos="0"/>
        </w:tabs>
        <w:ind w:start="720" w:hanging="360"/>
      </w:pPr>
      <w:rPr>
        <w:rFonts w:ascii="Symbol" w:hAnsi="Symbol" w:cs="Symbol" w:hint="default"/>
      </w:rPr>
    </w:lvl>
    <w:lvl w:ilvl="1">
      <w:start w:val="0"/>
      <w:numFmt w:val="bullet"/>
      <w:lvlText w:val="-"/>
      <w:lvlJc w:val="start"/>
      <w:pPr>
        <w:tabs>
          <w:tab w:val="num" w:pos="0"/>
        </w:tabs>
        <w:ind w:start="1081" w:hanging="1"/>
      </w:pPr>
      <w:rPr>
        <w:rFonts w:ascii="Times New Roman" w:hAnsi="Times New Roman" w:cs="Times New Roman"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9">
    <w:lvl w:ilvl="0">
      <w:start w:val="2"/>
      <w:numFmt w:val="decimal"/>
      <w:lvlText w:val="%1."/>
      <w:lvlJc w:val="start"/>
      <w:pPr>
        <w:tabs>
          <w:tab w:val="num" w:pos="0"/>
        </w:tabs>
        <w:ind w:start="495" w:hanging="495"/>
      </w:pPr>
      <w:rPr/>
    </w:lvl>
    <w:lvl w:ilvl="1">
      <w:start w:val="7"/>
      <w:numFmt w:val="decimal"/>
      <w:lvlText w:val="%1.%2."/>
      <w:lvlJc w:val="start"/>
      <w:pPr>
        <w:tabs>
          <w:tab w:val="num" w:pos="0"/>
        </w:tabs>
        <w:ind w:start="921" w:hanging="495"/>
      </w:pPr>
      <w:rPr>
        <w:b/>
      </w:rPr>
    </w:lvl>
    <w:lvl w:ilvl="2">
      <w:start w:val="1"/>
      <w:numFmt w:val="decimal"/>
      <w:lvlText w:val="%1.%2.%3."/>
      <w:lvlJc w:val="start"/>
      <w:pPr>
        <w:tabs>
          <w:tab w:val="num" w:pos="0"/>
        </w:tabs>
        <w:ind w:start="862" w:hanging="720"/>
      </w:pPr>
      <w:rPr>
        <w:b w:val="false"/>
        <w:i w:val="false"/>
      </w:rPr>
    </w:lvl>
    <w:lvl w:ilvl="3">
      <w:start w:val="1"/>
      <w:numFmt w:val="decimal"/>
      <w:lvlText w:val="%1.%2.%3.%4."/>
      <w:lvlJc w:val="start"/>
      <w:pPr>
        <w:tabs>
          <w:tab w:val="num" w:pos="0"/>
        </w:tabs>
        <w:ind w:start="1260" w:hanging="720"/>
      </w:pPr>
      <w:rPr/>
    </w:lvl>
    <w:lvl w:ilvl="4">
      <w:start w:val="1"/>
      <w:numFmt w:val="decimal"/>
      <w:lvlText w:val="%1.%2.%3.%4.%5."/>
      <w:lvlJc w:val="start"/>
      <w:pPr>
        <w:tabs>
          <w:tab w:val="num" w:pos="0"/>
        </w:tabs>
        <w:ind w:start="1800" w:hanging="1080"/>
      </w:pPr>
      <w:rPr/>
    </w:lvl>
    <w:lvl w:ilvl="5">
      <w:start w:val="1"/>
      <w:numFmt w:val="decimal"/>
      <w:lvlText w:val="%1.%2.%3.%4.%5.%6."/>
      <w:lvlJc w:val="start"/>
      <w:pPr>
        <w:tabs>
          <w:tab w:val="num" w:pos="0"/>
        </w:tabs>
        <w:ind w:start="1980" w:hanging="1080"/>
      </w:pPr>
      <w:rPr/>
    </w:lvl>
    <w:lvl w:ilvl="6">
      <w:start w:val="1"/>
      <w:numFmt w:val="decimal"/>
      <w:lvlText w:val="%1.%2.%3.%4.%5.%6.%7."/>
      <w:lvlJc w:val="start"/>
      <w:pPr>
        <w:tabs>
          <w:tab w:val="num" w:pos="0"/>
        </w:tabs>
        <w:ind w:start="2520" w:hanging="1440"/>
      </w:pPr>
      <w:rPr/>
    </w:lvl>
    <w:lvl w:ilvl="7">
      <w:start w:val="1"/>
      <w:numFmt w:val="decimal"/>
      <w:lvlText w:val="%1.%2.%3.%4.%5.%6.%7.%8."/>
      <w:lvlJc w:val="start"/>
      <w:pPr>
        <w:tabs>
          <w:tab w:val="num" w:pos="0"/>
        </w:tabs>
        <w:ind w:start="2700" w:hanging="1440"/>
      </w:pPr>
      <w:rPr/>
    </w:lvl>
    <w:lvl w:ilvl="8">
      <w:start w:val="1"/>
      <w:numFmt w:val="decimal"/>
      <w:lvlText w:val="%1.%2.%3.%4.%5.%6.%7.%8.%9."/>
      <w:lvlJc w:val="start"/>
      <w:pPr>
        <w:tabs>
          <w:tab w:val="num" w:pos="0"/>
        </w:tabs>
        <w:ind w:start="3240" w:hanging="1800"/>
      </w:pPr>
      <w:rPr/>
    </w:lvl>
  </w:abstractNum>
  <w:abstractNum w:abstractNumId="10">
    <w:lvl w:ilvl="0">
      <w:start w:val="1"/>
      <w:numFmt w:val="bullet"/>
      <w:lvlText w:val=""/>
      <w:lvlJc w:val="start"/>
      <w:pPr>
        <w:tabs>
          <w:tab w:val="num" w:pos="360"/>
        </w:tabs>
        <w:ind w:start="360" w:hanging="360"/>
      </w:pPr>
      <w:rPr>
        <w:rFonts w:ascii="Symbol" w:hAnsi="Symbol" w:cs="Symbol" w:hint="default"/>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11">
    <w:lvl w:ilvl="0">
      <w:start w:val="1"/>
      <w:numFmt w:val="bullet"/>
      <w:lvlText w:val=""/>
      <w:lvlJc w:val="start"/>
      <w:pPr>
        <w:tabs>
          <w:tab w:val="num" w:pos="0"/>
        </w:tabs>
        <w:ind w:start="927" w:hanging="360"/>
      </w:pPr>
      <w:rPr>
        <w:rFonts w:ascii="Symbol" w:hAnsi="Symbol" w:cs="Symbol" w:hint="default"/>
      </w:rPr>
    </w:lvl>
    <w:lvl w:ilvl="1">
      <w:start w:val="1"/>
      <w:numFmt w:val="bullet"/>
      <w:lvlText w:val="o"/>
      <w:lvlJc w:val="start"/>
      <w:pPr>
        <w:tabs>
          <w:tab w:val="num" w:pos="0"/>
        </w:tabs>
        <w:ind w:start="1647" w:hanging="360"/>
      </w:pPr>
      <w:rPr>
        <w:rFonts w:ascii="Courier New" w:hAnsi="Courier New" w:cs="Courier New" w:hint="default"/>
      </w:rPr>
    </w:lvl>
    <w:lvl w:ilvl="2">
      <w:start w:val="1"/>
      <w:numFmt w:val="bullet"/>
      <w:lvlText w:val=""/>
      <w:lvlJc w:val="start"/>
      <w:pPr>
        <w:tabs>
          <w:tab w:val="num" w:pos="0"/>
        </w:tabs>
        <w:ind w:start="2367" w:hanging="360"/>
      </w:pPr>
      <w:rPr>
        <w:rFonts w:ascii="Wingdings" w:hAnsi="Wingdings" w:cs="Wingdings" w:hint="default"/>
      </w:rPr>
    </w:lvl>
    <w:lvl w:ilvl="3">
      <w:start w:val="1"/>
      <w:numFmt w:val="bullet"/>
      <w:lvlText w:val=""/>
      <w:lvlJc w:val="start"/>
      <w:pPr>
        <w:tabs>
          <w:tab w:val="num" w:pos="0"/>
        </w:tabs>
        <w:ind w:start="3087" w:hanging="360"/>
      </w:pPr>
      <w:rPr>
        <w:rFonts w:ascii="Symbol" w:hAnsi="Symbol" w:cs="Symbol" w:hint="default"/>
      </w:rPr>
    </w:lvl>
    <w:lvl w:ilvl="4">
      <w:start w:val="1"/>
      <w:numFmt w:val="bullet"/>
      <w:lvlText w:val="o"/>
      <w:lvlJc w:val="start"/>
      <w:pPr>
        <w:tabs>
          <w:tab w:val="num" w:pos="0"/>
        </w:tabs>
        <w:ind w:start="3807" w:hanging="360"/>
      </w:pPr>
      <w:rPr>
        <w:rFonts w:ascii="Courier New" w:hAnsi="Courier New" w:cs="Courier New" w:hint="default"/>
      </w:rPr>
    </w:lvl>
    <w:lvl w:ilvl="5">
      <w:start w:val="1"/>
      <w:numFmt w:val="bullet"/>
      <w:lvlText w:val=""/>
      <w:lvlJc w:val="start"/>
      <w:pPr>
        <w:tabs>
          <w:tab w:val="num" w:pos="0"/>
        </w:tabs>
        <w:ind w:start="4527" w:hanging="360"/>
      </w:pPr>
      <w:rPr>
        <w:rFonts w:ascii="Wingdings" w:hAnsi="Wingdings" w:cs="Wingdings" w:hint="default"/>
      </w:rPr>
    </w:lvl>
    <w:lvl w:ilvl="6">
      <w:start w:val="1"/>
      <w:numFmt w:val="bullet"/>
      <w:lvlText w:val=""/>
      <w:lvlJc w:val="start"/>
      <w:pPr>
        <w:tabs>
          <w:tab w:val="num" w:pos="0"/>
        </w:tabs>
        <w:ind w:start="5247" w:hanging="360"/>
      </w:pPr>
      <w:rPr>
        <w:rFonts w:ascii="Symbol" w:hAnsi="Symbol" w:cs="Symbol" w:hint="default"/>
      </w:rPr>
    </w:lvl>
    <w:lvl w:ilvl="7">
      <w:start w:val="1"/>
      <w:numFmt w:val="bullet"/>
      <w:lvlText w:val="o"/>
      <w:lvlJc w:val="start"/>
      <w:pPr>
        <w:tabs>
          <w:tab w:val="num" w:pos="0"/>
        </w:tabs>
        <w:ind w:start="5967" w:hanging="360"/>
      </w:pPr>
      <w:rPr>
        <w:rFonts w:ascii="Courier New" w:hAnsi="Courier New" w:cs="Courier New" w:hint="default"/>
      </w:rPr>
    </w:lvl>
    <w:lvl w:ilvl="8">
      <w:start w:val="1"/>
      <w:numFmt w:val="bullet"/>
      <w:lvlText w:val=""/>
      <w:lvlJc w:val="start"/>
      <w:pPr>
        <w:tabs>
          <w:tab w:val="num" w:pos="0"/>
        </w:tabs>
        <w:ind w:start="6687" w:hanging="360"/>
      </w:pPr>
      <w:rPr>
        <w:rFonts w:ascii="Wingdings" w:hAnsi="Wingdings" w:cs="Wingdings" w:hint="default"/>
      </w:rPr>
    </w:lvl>
  </w:abstractNum>
  <w:abstractNum w:abstractNumId="12">
    <w:lvl w:ilvl="0">
      <w:start w:val="3"/>
      <w:numFmt w:val="decimal"/>
      <w:lvlText w:val="%1."/>
      <w:lvlJc w:val="start"/>
      <w:pPr>
        <w:tabs>
          <w:tab w:val="num" w:pos="0"/>
        </w:tabs>
        <w:ind w:start="360" w:hanging="360"/>
      </w:pPr>
      <w:rPr/>
    </w:lvl>
    <w:lvl w:ilvl="1">
      <w:start w:val="1"/>
      <w:numFmt w:val="decimal"/>
      <w:lvlText w:val="%1.%2."/>
      <w:lvlJc w:val="start"/>
      <w:pPr>
        <w:tabs>
          <w:tab w:val="num" w:pos="0"/>
        </w:tabs>
        <w:ind w:start="1287" w:hanging="360"/>
      </w:pPr>
      <w:rPr/>
    </w:lvl>
    <w:lvl w:ilvl="2">
      <w:start w:val="1"/>
      <w:numFmt w:val="decimal"/>
      <w:lvlText w:val="%1.%2.%3."/>
      <w:lvlJc w:val="start"/>
      <w:pPr>
        <w:tabs>
          <w:tab w:val="num" w:pos="0"/>
        </w:tabs>
        <w:ind w:start="2574" w:hanging="720"/>
      </w:pPr>
      <w:rPr/>
    </w:lvl>
    <w:lvl w:ilvl="3">
      <w:start w:val="1"/>
      <w:numFmt w:val="decimal"/>
      <w:lvlText w:val="%1.%2.%3.%4."/>
      <w:lvlJc w:val="start"/>
      <w:pPr>
        <w:tabs>
          <w:tab w:val="num" w:pos="0"/>
        </w:tabs>
        <w:ind w:start="3501" w:hanging="720"/>
      </w:pPr>
      <w:rPr/>
    </w:lvl>
    <w:lvl w:ilvl="4">
      <w:start w:val="1"/>
      <w:numFmt w:val="decimal"/>
      <w:lvlText w:val="%1.%2.%3.%4.%5."/>
      <w:lvlJc w:val="start"/>
      <w:pPr>
        <w:tabs>
          <w:tab w:val="num" w:pos="0"/>
        </w:tabs>
        <w:ind w:start="4788" w:hanging="1080"/>
      </w:pPr>
      <w:rPr/>
    </w:lvl>
    <w:lvl w:ilvl="5">
      <w:start w:val="1"/>
      <w:numFmt w:val="decimal"/>
      <w:lvlText w:val="%1.%2.%3.%4.%5.%6."/>
      <w:lvlJc w:val="start"/>
      <w:pPr>
        <w:tabs>
          <w:tab w:val="num" w:pos="0"/>
        </w:tabs>
        <w:ind w:start="5715" w:hanging="1080"/>
      </w:pPr>
      <w:rPr/>
    </w:lvl>
    <w:lvl w:ilvl="6">
      <w:start w:val="1"/>
      <w:numFmt w:val="decimal"/>
      <w:lvlText w:val="%1.%2.%3.%4.%5.%6.%7."/>
      <w:lvlJc w:val="start"/>
      <w:pPr>
        <w:tabs>
          <w:tab w:val="num" w:pos="0"/>
        </w:tabs>
        <w:ind w:start="7002" w:hanging="1440"/>
      </w:pPr>
      <w:rPr/>
    </w:lvl>
    <w:lvl w:ilvl="7">
      <w:start w:val="1"/>
      <w:numFmt w:val="decimal"/>
      <w:lvlText w:val="%1.%2.%3.%4.%5.%6.%7.%8."/>
      <w:lvlJc w:val="start"/>
      <w:pPr>
        <w:tabs>
          <w:tab w:val="num" w:pos="0"/>
        </w:tabs>
        <w:ind w:start="7929" w:hanging="1440"/>
      </w:pPr>
      <w:rPr/>
    </w:lvl>
    <w:lvl w:ilvl="8">
      <w:start w:val="1"/>
      <w:numFmt w:val="decimal"/>
      <w:lvlText w:val="%1.%2.%3.%4.%5.%6.%7.%8.%9."/>
      <w:lvlJc w:val="start"/>
      <w:pPr>
        <w:tabs>
          <w:tab w:val="num" w:pos="0"/>
        </w:tabs>
        <w:ind w:start="9216" w:hanging="1800"/>
      </w:pPr>
      <w:rPr/>
    </w:lvl>
  </w:abstractNum>
  <w:abstractNum w:abstractNumId="13">
    <w:lvl w:ilvl="0">
      <w:start w:val="1"/>
      <w:numFmt w:val="bullet"/>
      <w:lvlText w:val=""/>
      <w:lvlJc w:val="start"/>
      <w:pPr>
        <w:tabs>
          <w:tab w:val="num" w:pos="720"/>
        </w:tabs>
        <w:ind w:start="720" w:hanging="360"/>
      </w:pPr>
      <w:rPr>
        <w:rFonts w:ascii="Symbol" w:hAnsi="Symbol" w:cs="Symbol" w:hint="default"/>
      </w:rPr>
    </w:lvl>
    <w:lvl w:ilvl="1">
      <w:start w:val="1"/>
      <w:numFmt w:val="bullet"/>
      <w:lvlText w:val="o"/>
      <w:lvlJc w:val="start"/>
      <w:pPr>
        <w:tabs>
          <w:tab w:val="num" w:pos="1440"/>
        </w:tabs>
        <w:ind w:start="1440" w:hanging="360"/>
      </w:pPr>
      <w:rPr>
        <w:rFonts w:ascii="Courier New" w:hAnsi="Courier New" w:cs="Courier New" w:hint="default"/>
      </w:rPr>
    </w:lvl>
    <w:lvl w:ilvl="2">
      <w:start w:val="1"/>
      <w:numFmt w:val="bullet"/>
      <w:lvlText w:val=""/>
      <w:lvlJc w:val="start"/>
      <w:pPr>
        <w:tabs>
          <w:tab w:val="num" w:pos="2160"/>
        </w:tabs>
        <w:ind w:start="2160" w:hanging="360"/>
      </w:pPr>
      <w:rPr>
        <w:rFonts w:ascii="Wingdings" w:hAnsi="Wingdings" w:cs="Wingdings" w:hint="default"/>
      </w:rPr>
    </w:lvl>
    <w:lvl w:ilvl="3">
      <w:start w:val="1"/>
      <w:numFmt w:val="bullet"/>
      <w:lvlText w:val=""/>
      <w:lvlJc w:val="start"/>
      <w:pPr>
        <w:tabs>
          <w:tab w:val="num" w:pos="2880"/>
        </w:tabs>
        <w:ind w:start="2880" w:hanging="360"/>
      </w:pPr>
      <w:rPr>
        <w:rFonts w:ascii="Symbol" w:hAnsi="Symbol" w:cs="Symbol" w:hint="default"/>
      </w:rPr>
    </w:lvl>
    <w:lvl w:ilvl="4">
      <w:start w:val="1"/>
      <w:numFmt w:val="bullet"/>
      <w:lvlText w:val="o"/>
      <w:lvlJc w:val="start"/>
      <w:pPr>
        <w:tabs>
          <w:tab w:val="num" w:pos="3600"/>
        </w:tabs>
        <w:ind w:start="3600" w:hanging="360"/>
      </w:pPr>
      <w:rPr>
        <w:rFonts w:ascii="Courier New" w:hAnsi="Courier New" w:cs="Courier New" w:hint="default"/>
      </w:rPr>
    </w:lvl>
    <w:lvl w:ilvl="5">
      <w:start w:val="1"/>
      <w:numFmt w:val="bullet"/>
      <w:lvlText w:val=""/>
      <w:lvlJc w:val="start"/>
      <w:pPr>
        <w:tabs>
          <w:tab w:val="num" w:pos="4320"/>
        </w:tabs>
        <w:ind w:start="4320" w:hanging="360"/>
      </w:pPr>
      <w:rPr>
        <w:rFonts w:ascii="Wingdings" w:hAnsi="Wingdings" w:cs="Wingdings" w:hint="default"/>
      </w:rPr>
    </w:lvl>
    <w:lvl w:ilvl="6">
      <w:start w:val="1"/>
      <w:numFmt w:val="bullet"/>
      <w:lvlText w:val=""/>
      <w:lvlJc w:val="start"/>
      <w:pPr>
        <w:tabs>
          <w:tab w:val="num" w:pos="5040"/>
        </w:tabs>
        <w:ind w:start="5040" w:hanging="360"/>
      </w:pPr>
      <w:rPr>
        <w:rFonts w:ascii="Symbol" w:hAnsi="Symbol" w:cs="Symbol" w:hint="default"/>
      </w:rPr>
    </w:lvl>
    <w:lvl w:ilvl="7">
      <w:start w:val="1"/>
      <w:numFmt w:val="bullet"/>
      <w:lvlText w:val="o"/>
      <w:lvlJc w:val="start"/>
      <w:pPr>
        <w:tabs>
          <w:tab w:val="num" w:pos="5760"/>
        </w:tabs>
        <w:ind w:start="5760" w:hanging="360"/>
      </w:pPr>
      <w:rPr>
        <w:rFonts w:ascii="Courier New" w:hAnsi="Courier New" w:cs="Courier New" w:hint="default"/>
      </w:rPr>
    </w:lvl>
    <w:lvl w:ilvl="8">
      <w:start w:val="1"/>
      <w:numFmt w:val="bullet"/>
      <w:lvlText w:val=""/>
      <w:lvlJc w:val="start"/>
      <w:pPr>
        <w:tabs>
          <w:tab w:val="num" w:pos="6480"/>
        </w:tabs>
        <w:ind w:start="6480" w:hanging="360"/>
      </w:pPr>
      <w:rPr>
        <w:rFonts w:ascii="Wingdings" w:hAnsi="Wingdings" w:cs="Wingdings" w:hint="default"/>
      </w:rPr>
    </w:lvl>
  </w:abstractNum>
  <w:abstractNum w:abstractNumId="14">
    <w:lvl w:ilvl="0">
      <w:start w:val="4"/>
      <w:numFmt w:val="decimal"/>
      <w:lvlText w:val="%1."/>
      <w:lvlJc w:val="start"/>
      <w:pPr>
        <w:tabs>
          <w:tab w:val="num" w:pos="0"/>
        </w:tabs>
        <w:ind w:start="495" w:hanging="495"/>
      </w:pPr>
      <w:rPr/>
    </w:lvl>
    <w:lvl w:ilvl="1">
      <w:start w:val="2"/>
      <w:numFmt w:val="decimal"/>
      <w:lvlText w:val="%1.%2."/>
      <w:lvlJc w:val="start"/>
      <w:pPr>
        <w:tabs>
          <w:tab w:val="num" w:pos="0"/>
        </w:tabs>
        <w:ind w:start="495" w:hanging="495"/>
      </w:pPr>
      <w:rPr/>
    </w:lvl>
    <w:lvl w:ilvl="2">
      <w:start w:val="1"/>
      <w:numFmt w:val="decimal"/>
      <w:lvlText w:val="%1.%2.%3."/>
      <w:lvlJc w:val="start"/>
      <w:pPr>
        <w:tabs>
          <w:tab w:val="num" w:pos="0"/>
        </w:tabs>
        <w:ind w:start="1855" w:hanging="720"/>
      </w:pPr>
      <w:rPr/>
    </w:lvl>
    <w:lvl w:ilvl="3">
      <w:start w:val="1"/>
      <w:numFmt w:val="decimal"/>
      <w:lvlText w:val="%1.%2.%3.%4."/>
      <w:lvlJc w:val="start"/>
      <w:pPr>
        <w:tabs>
          <w:tab w:val="num" w:pos="0"/>
        </w:tabs>
        <w:ind w:start="720" w:hanging="720"/>
      </w:pPr>
      <w:rPr/>
    </w:lvl>
    <w:lvl w:ilvl="4">
      <w:start w:val="1"/>
      <w:numFmt w:val="decimal"/>
      <w:lvlText w:val="%1.%2.%3.%4.%5."/>
      <w:lvlJc w:val="start"/>
      <w:pPr>
        <w:tabs>
          <w:tab w:val="num" w:pos="0"/>
        </w:tabs>
        <w:ind w:start="1080" w:hanging="1080"/>
      </w:pPr>
      <w:rPr/>
    </w:lvl>
    <w:lvl w:ilvl="5">
      <w:start w:val="1"/>
      <w:numFmt w:val="decimal"/>
      <w:lvlText w:val="%1.%2.%3.%4.%5.%6."/>
      <w:lvlJc w:val="start"/>
      <w:pPr>
        <w:tabs>
          <w:tab w:val="num" w:pos="0"/>
        </w:tabs>
        <w:ind w:start="1080" w:hanging="1080"/>
      </w:pPr>
      <w:rPr/>
    </w:lvl>
    <w:lvl w:ilvl="6">
      <w:start w:val="1"/>
      <w:numFmt w:val="decimal"/>
      <w:lvlText w:val="%1.%2.%3.%4.%5.%6.%7."/>
      <w:lvlJc w:val="start"/>
      <w:pPr>
        <w:tabs>
          <w:tab w:val="num" w:pos="0"/>
        </w:tabs>
        <w:ind w:start="1440" w:hanging="1440"/>
      </w:pPr>
      <w:rPr/>
    </w:lvl>
    <w:lvl w:ilvl="7">
      <w:start w:val="1"/>
      <w:numFmt w:val="decimal"/>
      <w:lvlText w:val="%1.%2.%3.%4.%5.%6.%7.%8."/>
      <w:lvlJc w:val="start"/>
      <w:pPr>
        <w:tabs>
          <w:tab w:val="num" w:pos="0"/>
        </w:tabs>
        <w:ind w:start="1440" w:hanging="1440"/>
      </w:pPr>
      <w:rPr/>
    </w:lvl>
    <w:lvl w:ilvl="8">
      <w:start w:val="1"/>
      <w:numFmt w:val="decimal"/>
      <w:lvlText w:val="%1.%2.%3.%4.%5.%6.%7.%8.%9."/>
      <w:lvlJc w:val="start"/>
      <w:pPr>
        <w:tabs>
          <w:tab w:val="num" w:pos="0"/>
        </w:tabs>
        <w:ind w:start="1800" w:hanging="1800"/>
      </w:pPr>
      <w:rPr/>
    </w:lvl>
  </w:abstractNum>
  <w:abstractNum w:abstractNumId="15">
    <w:lvl w:ilvl="0">
      <w:start w:val="5"/>
      <w:numFmt w:val="decimal"/>
      <w:lvlText w:val="%1."/>
      <w:lvlJc w:val="start"/>
      <w:pPr>
        <w:tabs>
          <w:tab w:val="num" w:pos="0"/>
        </w:tabs>
        <w:ind w:start="360" w:hanging="360"/>
      </w:pPr>
      <w:rPr/>
    </w:lvl>
    <w:lvl w:ilvl="1">
      <w:start w:val="1"/>
      <w:numFmt w:val="decimal"/>
      <w:lvlText w:val="%1.%2."/>
      <w:lvlJc w:val="start"/>
      <w:pPr>
        <w:tabs>
          <w:tab w:val="num" w:pos="0"/>
        </w:tabs>
        <w:ind w:start="1495" w:hanging="360"/>
      </w:pPr>
      <w:rPr/>
    </w:lvl>
    <w:lvl w:ilvl="2">
      <w:start w:val="1"/>
      <w:numFmt w:val="decimal"/>
      <w:lvlText w:val="%1.%2.%3."/>
      <w:lvlJc w:val="start"/>
      <w:pPr>
        <w:tabs>
          <w:tab w:val="num" w:pos="0"/>
        </w:tabs>
        <w:ind w:start="2990" w:hanging="720"/>
      </w:pPr>
      <w:rPr/>
    </w:lvl>
    <w:lvl w:ilvl="3">
      <w:start w:val="1"/>
      <w:numFmt w:val="decimal"/>
      <w:lvlText w:val="%1.%2.%3.%4."/>
      <w:lvlJc w:val="start"/>
      <w:pPr>
        <w:tabs>
          <w:tab w:val="num" w:pos="0"/>
        </w:tabs>
        <w:ind w:start="4125" w:hanging="720"/>
      </w:pPr>
      <w:rPr/>
    </w:lvl>
    <w:lvl w:ilvl="4">
      <w:start w:val="1"/>
      <w:numFmt w:val="decimal"/>
      <w:lvlText w:val="%1.%2.%3.%4.%5."/>
      <w:lvlJc w:val="start"/>
      <w:pPr>
        <w:tabs>
          <w:tab w:val="num" w:pos="0"/>
        </w:tabs>
        <w:ind w:start="5620" w:hanging="1080"/>
      </w:pPr>
      <w:rPr/>
    </w:lvl>
    <w:lvl w:ilvl="5">
      <w:start w:val="1"/>
      <w:numFmt w:val="decimal"/>
      <w:lvlText w:val="%1.%2.%3.%4.%5.%6."/>
      <w:lvlJc w:val="start"/>
      <w:pPr>
        <w:tabs>
          <w:tab w:val="num" w:pos="0"/>
        </w:tabs>
        <w:ind w:start="6755" w:hanging="1080"/>
      </w:pPr>
      <w:rPr/>
    </w:lvl>
    <w:lvl w:ilvl="6">
      <w:start w:val="1"/>
      <w:numFmt w:val="decimal"/>
      <w:lvlText w:val="%1.%2.%3.%4.%5.%6.%7."/>
      <w:lvlJc w:val="start"/>
      <w:pPr>
        <w:tabs>
          <w:tab w:val="num" w:pos="0"/>
        </w:tabs>
        <w:ind w:start="8250" w:hanging="1440"/>
      </w:pPr>
      <w:rPr/>
    </w:lvl>
    <w:lvl w:ilvl="7">
      <w:start w:val="1"/>
      <w:numFmt w:val="decimal"/>
      <w:lvlText w:val="%1.%2.%3.%4.%5.%6.%7.%8."/>
      <w:lvlJc w:val="start"/>
      <w:pPr>
        <w:tabs>
          <w:tab w:val="num" w:pos="0"/>
        </w:tabs>
        <w:ind w:start="9385" w:hanging="1440"/>
      </w:pPr>
      <w:rPr/>
    </w:lvl>
    <w:lvl w:ilvl="8">
      <w:start w:val="1"/>
      <w:numFmt w:val="decimal"/>
      <w:lvlText w:val="%1.%2.%3.%4.%5.%6.%7.%8.%9."/>
      <w:lvlJc w:val="start"/>
      <w:pPr>
        <w:tabs>
          <w:tab w:val="num" w:pos="0"/>
        </w:tabs>
        <w:ind w:start="10880" w:hanging="1800"/>
      </w:pPr>
      <w:rPr/>
    </w:lvl>
  </w:abstractNum>
  <w:abstractNum w:abstractNumId="16">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w="http://schemas.openxmlformats.org/wordprocessingml/2006/main">
  <w:zoom w:percent="180"/>
  <w:defaultTabStop w:val="708"/>
  <w:autoHyphenation w:val="true"/>
  <w:hyphenationZone w:val="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Tahoma" w:cs="Noto Sans"/>
        <w:color w:val="000000"/>
        <w:lang w:val="ru-RU" w:eastAsia="zh-CN" w:bidi="hi-IN"/>
      </w:rPr>
    </w:rPrDefault>
    <w:pPrDefault>
      <w:pPr>
        <w:suppressAutoHyphens w:val="true"/>
      </w:pPr>
    </w:pPrDefault>
  </w:docDefaults>
  <w:latentStyles w:defLockedState="0" w:defUIPriority="99" w:defSemiHidden="1" w:defUnhideWhenUsed="1" w:defQFormat="0" w:count="25">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semiHidden="0" w:unhideWhenUsed="0"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Title" w:uiPriority="10" w:semiHidden="0" w:unhideWhenUsed="0" w:qFormat="1"/>
    <w:lsdException w:name="Subtitle" w:uiPriority="11" w:semiHidden="0" w:unhideWhenUsed="0" w:qFormat="1"/>
    <w:lsdException w:name="Header and Footer" w:semiHidden="0" w:unhideWhenUsed="0" w:qFormat="0"/>
    <w:lsdException w:name="Footnote" w:semiHidden="0" w:unhideWhenUsed="0" w:qFormat="0"/>
    <w:lsdException w:name="Endnote" w:semiHidden="0" w:unhideWhenUsed="0" w:qFormat="0"/>
    <w:lsdException w:name="toc 1" w:uiPriority="39" w:semiHidden="0" w:unhideWhenUsed="0" w:qFormat="0"/>
    <w:lsdException w:name="toc 2" w:uiPriority="39" w:semiHidden="0" w:unhideWhenUsed="0" w:qFormat="0"/>
    <w:lsdException w:name="toc 3" w:uiPriority="39" w:semiHidden="0" w:unhideWhenUsed="0" w:qFormat="0"/>
    <w:lsdException w:name="toc 4" w:uiPriority="39" w:semiHidden="0" w:unhideWhenUsed="0" w:qFormat="0"/>
    <w:lsdException w:name="toc 5" w:uiPriority="39" w:semiHidden="0" w:unhideWhenUsed="0" w:qFormat="0"/>
    <w:lsdException w:name="toc 6" w:uiPriority="39" w:semiHidden="0" w:unhideWhenUsed="0" w:qFormat="0"/>
    <w:lsdException w:name="toc 7" w:uiPriority="39" w:semiHidden="0" w:unhideWhenUsed="0" w:qFormat="0"/>
    <w:lsdException w:name="toc 8" w:uiPriority="39" w:semiHidden="0" w:unhideWhenUsed="0" w:qFormat="0"/>
    <w:lsdException w:name="toc 9" w:uiPriority="39" w:semiHidden="0" w:unhideWhenUsed="0" w:qFormat="0"/>
    <w:lsdException w:name="Hyperlink" w:semiHidden="0" w:unhideWhenUsed="0" w:qFormat="0"/>
  </w:latentStyles>
  <w:style w:type="paragraph" w:styleId="Normal" w:default="1">
    <w:name w:val="Normal"/>
    <w:uiPriority w:val="0"/>
    <w:qFormat/>
    <w:pPr>
      <w:widowControl/>
      <w:bidi w:val="0"/>
      <w:spacing w:lineRule="auto" w:line="276" w:before="0" w:after="200"/>
      <w:ind w:hanging="0" w:start="0" w:end="0"/>
      <w:jc w:val="start"/>
    </w:pPr>
    <w:rPr>
      <w:rFonts w:ascii="Calibri" w:hAnsi="Calibri" w:eastAsia="Tahoma" w:cs="Noto Sans"/>
      <w:color w:val="000000"/>
      <w:spacing w:val="0"/>
      <w:kern w:val="0"/>
      <w:sz w:val="22"/>
      <w:szCs w:val="20"/>
      <w:lang w:val="ru-RU" w:eastAsia="zh-CN" w:bidi="hi-IN"/>
    </w:rPr>
  </w:style>
  <w:style w:type="paragraph" w:styleId="Heading1">
    <w:name w:val="heading 1"/>
    <w:next w:val="Normal"/>
    <w:uiPriority w:val="9"/>
    <w:qFormat/>
    <w:pPr>
      <w:widowControl/>
      <w:bidi w:val="0"/>
      <w:spacing w:lineRule="auto" w:line="240" w:before="120" w:after="120"/>
      <w:ind w:hanging="0" w:start="0" w:end="0"/>
      <w:jc w:val="both"/>
      <w:outlineLvl w:val="0"/>
    </w:pPr>
    <w:rPr>
      <w:rFonts w:ascii="XO Thames" w:hAnsi="XO Thames" w:eastAsia="Tahoma" w:cs="Noto Sans"/>
      <w:b/>
      <w:color w:val="000000"/>
      <w:spacing w:val="0"/>
      <w:kern w:val="0"/>
      <w:sz w:val="32"/>
      <w:szCs w:val="20"/>
      <w:lang w:val="ru-RU" w:eastAsia="zh-CN" w:bidi="hi-IN"/>
    </w:rPr>
  </w:style>
  <w:style w:type="paragraph" w:styleId="Heading2">
    <w:name w:val="heading 2"/>
    <w:next w:val="Normal"/>
    <w:uiPriority w:val="9"/>
    <w:qFormat/>
    <w:pPr>
      <w:widowControl/>
      <w:bidi w:val="0"/>
      <w:spacing w:lineRule="auto" w:line="240" w:before="120" w:after="120"/>
      <w:ind w:hanging="0" w:start="0" w:end="0"/>
      <w:jc w:val="both"/>
      <w:outlineLvl w:val="1"/>
    </w:pPr>
    <w:rPr>
      <w:rFonts w:ascii="XO Thames" w:hAnsi="XO Thames" w:eastAsia="Tahoma" w:cs="Noto Sans"/>
      <w:b/>
      <w:color w:val="000000"/>
      <w:spacing w:val="0"/>
      <w:kern w:val="0"/>
      <w:sz w:val="28"/>
      <w:szCs w:val="20"/>
      <w:lang w:val="ru-RU" w:eastAsia="zh-CN" w:bidi="hi-IN"/>
    </w:rPr>
  </w:style>
  <w:style w:type="paragraph" w:styleId="Heading3">
    <w:name w:val="heading 3"/>
    <w:next w:val="Normal"/>
    <w:uiPriority w:val="9"/>
    <w:qFormat/>
    <w:pPr>
      <w:widowControl/>
      <w:bidi w:val="0"/>
      <w:spacing w:lineRule="auto" w:line="240" w:before="120" w:after="120"/>
      <w:ind w:hanging="0" w:start="0" w:end="0"/>
      <w:jc w:val="both"/>
      <w:outlineLvl w:val="2"/>
    </w:pPr>
    <w:rPr>
      <w:rFonts w:ascii="XO Thames" w:hAnsi="XO Thames" w:eastAsia="Tahoma" w:cs="Noto Sans"/>
      <w:b/>
      <w:color w:val="000000"/>
      <w:spacing w:val="0"/>
      <w:kern w:val="0"/>
      <w:sz w:val="26"/>
      <w:szCs w:val="20"/>
      <w:lang w:val="ru-RU" w:eastAsia="zh-CN" w:bidi="hi-IN"/>
    </w:rPr>
  </w:style>
  <w:style w:type="paragraph" w:styleId="Heading4">
    <w:name w:val="heading 4"/>
    <w:next w:val="Normal"/>
    <w:uiPriority w:val="9"/>
    <w:qFormat/>
    <w:pPr>
      <w:widowControl/>
      <w:bidi w:val="0"/>
      <w:spacing w:lineRule="auto" w:line="240" w:before="120" w:after="120"/>
      <w:ind w:hanging="0" w:start="0" w:end="0"/>
      <w:jc w:val="both"/>
      <w:outlineLvl w:val="3"/>
    </w:pPr>
    <w:rPr>
      <w:rFonts w:ascii="XO Thames" w:hAnsi="XO Thames" w:eastAsia="Tahoma" w:cs="Noto Sans"/>
      <w:b/>
      <w:color w:val="000000"/>
      <w:spacing w:val="0"/>
      <w:kern w:val="0"/>
      <w:sz w:val="24"/>
      <w:szCs w:val="20"/>
      <w:lang w:val="ru-RU" w:eastAsia="zh-CN" w:bidi="hi-IN"/>
    </w:rPr>
  </w:style>
  <w:style w:type="paragraph" w:styleId="Heading5">
    <w:name w:val="heading 5"/>
    <w:next w:val="Normal"/>
    <w:uiPriority w:val="9"/>
    <w:qFormat/>
    <w:pPr>
      <w:widowControl/>
      <w:bidi w:val="0"/>
      <w:spacing w:lineRule="auto" w:line="240" w:before="120" w:after="120"/>
      <w:ind w:hanging="0" w:start="0" w:end="0"/>
      <w:jc w:val="both"/>
      <w:outlineLvl w:val="4"/>
    </w:pPr>
    <w:rPr>
      <w:rFonts w:ascii="XO Thames" w:hAnsi="XO Thames" w:eastAsia="Tahoma" w:cs="Noto Sans"/>
      <w:b/>
      <w:color w:val="000000"/>
      <w:spacing w:val="0"/>
      <w:kern w:val="0"/>
      <w:sz w:val="22"/>
      <w:szCs w:val="20"/>
      <w:lang w:val="ru-RU" w:eastAsia="zh-CN" w:bidi="hi-IN"/>
    </w:rPr>
  </w:style>
  <w:style w:type="character" w:styleId="Contents2">
    <w:name w:val="Contents 2"/>
    <w:qFormat/>
    <w:rPr>
      <w:rFonts w:ascii="XO Thames" w:hAnsi="XO Thames"/>
      <w:sz w:val="28"/>
    </w:rPr>
  </w:style>
  <w:style w:type="character" w:styleId="Contents4">
    <w:name w:val="Contents 4"/>
    <w:qFormat/>
    <w:rPr>
      <w:rFonts w:ascii="XO Thames" w:hAnsi="XO Thames"/>
      <w:sz w:val="28"/>
    </w:rPr>
  </w:style>
  <w:style w:type="character" w:styleId="Contents6">
    <w:name w:val="Contents 6"/>
    <w:qFormat/>
    <w:rPr>
      <w:rFonts w:ascii="XO Thames" w:hAnsi="XO Thames"/>
      <w:sz w:val="28"/>
    </w:rPr>
  </w:style>
  <w:style w:type="character" w:styleId="Header1">
    <w:name w:val="Header1"/>
    <w:qFormat/>
    <w:rPr/>
  </w:style>
  <w:style w:type="character" w:styleId="Contents7">
    <w:name w:val="Contents 7"/>
    <w:qFormat/>
    <w:rPr>
      <w:rFonts w:ascii="XO Thames" w:hAnsi="XO Thames"/>
      <w:sz w:val="28"/>
    </w:rPr>
  </w:style>
  <w:style w:type="character" w:styleId="BalloonText">
    <w:name w:val="Balloon Text"/>
    <w:link w:val="BalloonText1"/>
    <w:qFormat/>
    <w:rPr>
      <w:rFonts w:ascii="Tahoma" w:hAnsi="Tahoma"/>
      <w:sz w:val="16"/>
    </w:rPr>
  </w:style>
  <w:style w:type="character" w:styleId="Endnote">
    <w:name w:val="Endnote"/>
    <w:link w:val="Endnote1"/>
    <w:qFormat/>
    <w:rPr>
      <w:rFonts w:ascii="XO Thames" w:hAnsi="XO Thames"/>
      <w:sz w:val="22"/>
    </w:rPr>
  </w:style>
  <w:style w:type="character" w:styleId="Heading31">
    <w:name w:val="Heading 31"/>
    <w:qFormat/>
    <w:rPr>
      <w:rFonts w:ascii="XO Thames" w:hAnsi="XO Thames"/>
      <w:b/>
      <w:sz w:val="26"/>
    </w:rPr>
  </w:style>
  <w:style w:type="character" w:styleId="ListParagraph">
    <w:name w:val="List Paragraph"/>
    <w:link w:val="ListParagraph1"/>
    <w:qFormat/>
    <w:rPr>
      <w:rFonts w:ascii="Times New Roman" w:hAnsi="Times New Roman"/>
      <w:sz w:val="24"/>
    </w:rPr>
  </w:style>
  <w:style w:type="character" w:styleId="CommentReference">
    <w:name w:val="annotation reference"/>
    <w:link w:val="annotationreference1"/>
    <w:qFormat/>
    <w:rPr>
      <w:sz w:val="16"/>
    </w:rPr>
  </w:style>
  <w:style w:type="character" w:styleId="Contents3">
    <w:name w:val="Contents 3"/>
    <w:qFormat/>
    <w:rPr>
      <w:rFonts w:ascii="XO Thames" w:hAnsi="XO Thames"/>
      <w:sz w:val="28"/>
    </w:rPr>
  </w:style>
  <w:style w:type="character" w:styleId="Footer1">
    <w:name w:val="Footer1"/>
    <w:qFormat/>
    <w:rPr/>
  </w:style>
  <w:style w:type="character" w:styleId="Strong">
    <w:name w:val="Strong"/>
    <w:qFormat/>
    <w:rPr>
      <w:b/>
    </w:rPr>
  </w:style>
  <w:style w:type="character" w:styleId="Heading51">
    <w:name w:val="Heading 51"/>
    <w:qFormat/>
    <w:rPr>
      <w:rFonts w:ascii="XO Thames" w:hAnsi="XO Thames"/>
      <w:b/>
      <w:sz w:val="22"/>
    </w:rPr>
  </w:style>
  <w:style w:type="character" w:styleId="Heading11">
    <w:name w:val="Heading 11"/>
    <w:qFormat/>
    <w:rPr>
      <w:rFonts w:ascii="XO Thames" w:hAnsi="XO Thames"/>
      <w:b/>
      <w:sz w:val="32"/>
    </w:rPr>
  </w:style>
  <w:style w:type="character" w:styleId="Marginalia">
    <w:name w:val="Marginalia"/>
    <w:qFormat/>
    <w:rPr>
      <w:sz w:val="20"/>
    </w:rPr>
  </w:style>
  <w:style w:type="character" w:styleId="BodyText22">
    <w:name w:val="Body Text 22"/>
    <w:link w:val="BodyText221"/>
    <w:qFormat/>
    <w:rPr/>
  </w:style>
  <w:style w:type="character" w:styleId="Hyperlink">
    <w:name w:val="Hyperlink"/>
    <w:rPr>
      <w:color w:val="0000FF"/>
      <w:u w:val="single"/>
    </w:rPr>
  </w:style>
  <w:style w:type="character" w:styleId="Footnote">
    <w:name w:val="Footnote"/>
    <w:link w:val="Footnote1"/>
    <w:qFormat/>
    <w:rPr>
      <w:rFonts w:ascii="XO Thames" w:hAnsi="XO Thames"/>
      <w:sz w:val="22"/>
    </w:rPr>
  </w:style>
  <w:style w:type="character" w:styleId="Contents1">
    <w:name w:val="Contents 1"/>
    <w:qFormat/>
    <w:rPr>
      <w:rFonts w:ascii="XO Thames" w:hAnsi="XO Thames"/>
      <w:b/>
      <w:sz w:val="28"/>
    </w:rPr>
  </w:style>
  <w:style w:type="character" w:styleId="HeaderandFooter">
    <w:name w:val="Header and Footer"/>
    <w:qFormat/>
    <w:rPr>
      <w:rFonts w:ascii="XO Thames" w:hAnsi="XO Thames"/>
      <w:sz w:val="28"/>
    </w:rPr>
  </w:style>
  <w:style w:type="character" w:styleId="Contents9">
    <w:name w:val="Contents 9"/>
    <w:qFormat/>
    <w:rPr>
      <w:rFonts w:ascii="XO Thames" w:hAnsi="XO Thames"/>
      <w:sz w:val="28"/>
    </w:rPr>
  </w:style>
  <w:style w:type="character" w:styleId="Contents8">
    <w:name w:val="Contents 8"/>
    <w:qFormat/>
    <w:rPr>
      <w:rFonts w:ascii="XO Thames" w:hAnsi="XO Thames"/>
      <w:sz w:val="28"/>
    </w:rPr>
  </w:style>
  <w:style w:type="character" w:styleId="DefaultParagraphFont">
    <w:name w:val="Default Paragraph Font"/>
    <w:link w:val="DefaultParagraphFont1"/>
    <w:qFormat/>
    <w:rPr/>
  </w:style>
  <w:style w:type="character" w:styleId="Contents5">
    <w:name w:val="Contents 5"/>
    <w:qFormat/>
    <w:rPr>
      <w:rFonts w:ascii="XO Thames" w:hAnsi="XO Thames"/>
      <w:sz w:val="28"/>
    </w:rPr>
  </w:style>
  <w:style w:type="character" w:styleId="annotationsubject">
    <w:name w:val="annotation subject"/>
    <w:basedOn w:val="Marginalia"/>
    <w:link w:val="annotationsubject1"/>
    <w:qFormat/>
    <w:rPr>
      <w:b/>
    </w:rPr>
  </w:style>
  <w:style w:type="character" w:styleId="NormalWeb">
    <w:name w:val="Normal (Web)"/>
    <w:link w:val="NormalWeb1"/>
    <w:qFormat/>
    <w:rPr>
      <w:rFonts w:ascii="Times New Roman" w:hAnsi="Times New Roman"/>
      <w:sz w:val="24"/>
    </w:rPr>
  </w:style>
  <w:style w:type="character" w:styleId="Subtitle1">
    <w:name w:val="Subtitle1"/>
    <w:qFormat/>
    <w:rPr>
      <w:rFonts w:ascii="XO Thames" w:hAnsi="XO Thames"/>
      <w:i/>
      <w:sz w:val="24"/>
    </w:rPr>
  </w:style>
  <w:style w:type="character" w:styleId="Title1">
    <w:name w:val="Title1"/>
    <w:qFormat/>
    <w:rPr>
      <w:rFonts w:ascii="XO Thames" w:hAnsi="XO Thames"/>
      <w:b/>
      <w:caps/>
      <w:sz w:val="40"/>
    </w:rPr>
  </w:style>
  <w:style w:type="character" w:styleId="Heading41">
    <w:name w:val="Heading 41"/>
    <w:qFormat/>
    <w:rPr>
      <w:rFonts w:ascii="XO Thames" w:hAnsi="XO Thames"/>
      <w:b/>
      <w:sz w:val="24"/>
    </w:rPr>
  </w:style>
  <w:style w:type="character" w:styleId="Heading21">
    <w:name w:val="Heading 21"/>
    <w:qFormat/>
    <w:rPr>
      <w:rFonts w:ascii="XO Thames" w:hAnsi="XO Thames"/>
      <w:b/>
      <w:sz w:val="28"/>
    </w:rPr>
  </w:style>
  <w:style w:type="paragraph" w:styleId="Style9">
    <w:name w:val="Заголовок"/>
    <w:basedOn w:val="Normal"/>
    <w:next w:val="BodyText"/>
    <w:qFormat/>
    <w:pPr>
      <w:keepNext w:val="true"/>
      <w:spacing w:before="240" w:after="120"/>
    </w:pPr>
    <w:rPr>
      <w:rFonts w:ascii="Liberation Sans" w:hAnsi="Liberation Sans" w:eastAsia="Tahoma" w:cs="Noto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w:rPr>
  </w:style>
  <w:style w:type="paragraph" w:styleId="Caption">
    <w:name w:val="caption"/>
    <w:basedOn w:val="Normal"/>
    <w:qFormat/>
    <w:pPr>
      <w:suppressLineNumbers/>
      <w:spacing w:before="120" w:after="120"/>
    </w:pPr>
    <w:rPr>
      <w:rFonts w:cs="Noto Sans"/>
      <w:i/>
      <w:iCs/>
      <w:sz w:val="24"/>
      <w:szCs w:val="24"/>
    </w:rPr>
  </w:style>
  <w:style w:type="paragraph" w:styleId="Style10">
    <w:name w:val="Указатель"/>
    <w:basedOn w:val="Normal"/>
    <w:qFormat/>
    <w:pPr>
      <w:suppressLineNumbers/>
    </w:pPr>
    <w:rPr>
      <w:rFonts w:cs="Noto Sans"/>
    </w:rPr>
  </w:style>
  <w:style w:type="paragraph" w:styleId="TOC2">
    <w:name w:val="toc 2"/>
    <w:next w:val="Normal"/>
    <w:uiPriority w:val="39"/>
    <w:pPr>
      <w:widowControl/>
      <w:bidi w:val="0"/>
      <w:spacing w:lineRule="auto" w:line="240" w:before="0" w:after="0"/>
      <w:ind w:hanging="0" w:start="200" w:end="0"/>
      <w:jc w:val="start"/>
    </w:pPr>
    <w:rPr>
      <w:rFonts w:ascii="XO Thames" w:hAnsi="XO Thames" w:eastAsia="Tahoma" w:cs="Noto Sans"/>
      <w:color w:val="000000"/>
      <w:spacing w:val="0"/>
      <w:kern w:val="0"/>
      <w:sz w:val="28"/>
      <w:szCs w:val="20"/>
      <w:lang w:val="ru-RU" w:eastAsia="zh-CN" w:bidi="hi-IN"/>
    </w:rPr>
  </w:style>
  <w:style w:type="paragraph" w:styleId="TOC4">
    <w:name w:val="toc 4"/>
    <w:next w:val="Normal"/>
    <w:uiPriority w:val="39"/>
    <w:pPr>
      <w:widowControl/>
      <w:bidi w:val="0"/>
      <w:spacing w:lineRule="auto" w:line="240" w:before="0" w:after="0"/>
      <w:ind w:hanging="0" w:start="600" w:end="0"/>
      <w:jc w:val="start"/>
    </w:pPr>
    <w:rPr>
      <w:rFonts w:ascii="XO Thames" w:hAnsi="XO Thames" w:eastAsia="Tahoma" w:cs="Noto Sans"/>
      <w:color w:val="000000"/>
      <w:spacing w:val="0"/>
      <w:kern w:val="0"/>
      <w:sz w:val="28"/>
      <w:szCs w:val="20"/>
      <w:lang w:val="ru-RU" w:eastAsia="zh-CN" w:bidi="hi-IN"/>
    </w:rPr>
  </w:style>
  <w:style w:type="paragraph" w:styleId="TOC6">
    <w:name w:val="toc 6"/>
    <w:next w:val="Normal"/>
    <w:uiPriority w:val="39"/>
    <w:pPr>
      <w:widowControl/>
      <w:bidi w:val="0"/>
      <w:spacing w:lineRule="auto" w:line="240" w:before="0" w:after="0"/>
      <w:ind w:hanging="0" w:start="1000" w:end="0"/>
      <w:jc w:val="start"/>
    </w:pPr>
    <w:rPr>
      <w:rFonts w:ascii="XO Thames" w:hAnsi="XO Thames" w:eastAsia="Tahoma" w:cs="Noto Sans"/>
      <w:color w:val="000000"/>
      <w:spacing w:val="0"/>
      <w:kern w:val="0"/>
      <w:sz w:val="28"/>
      <w:szCs w:val="20"/>
      <w:lang w:val="ru-RU" w:eastAsia="zh-CN" w:bidi="hi-IN"/>
    </w:rPr>
  </w:style>
  <w:style w:type="paragraph" w:styleId="Style11">
    <w:name w:val="Колонтитулы"/>
    <w:qFormat/>
    <w:pPr>
      <w:widowControl/>
      <w:bidi w:val="0"/>
      <w:spacing w:lineRule="auto" w:line="240" w:before="0" w:after="0"/>
      <w:ind w:hanging="0" w:start="0" w:end="0"/>
      <w:jc w:val="both"/>
    </w:pPr>
    <w:rPr>
      <w:rFonts w:ascii="XO Thames" w:hAnsi="XO Thames" w:eastAsia="Tahoma" w:cs="Noto Sans"/>
      <w:color w:val="000000"/>
      <w:spacing w:val="0"/>
      <w:kern w:val="0"/>
      <w:sz w:val="28"/>
      <w:szCs w:val="20"/>
      <w:lang w:val="ru-RU" w:eastAsia="zh-CN" w:bidi="hi-IN"/>
    </w:rPr>
  </w:style>
  <w:style w:type="paragraph" w:styleId="Header">
    <w:name w:val="header"/>
    <w:basedOn w:val="Normal"/>
    <w:pPr>
      <w:widowControl/>
      <w:tabs>
        <w:tab w:val="clear" w:pos="708"/>
        <w:tab w:val="center" w:pos="4677" w:leader="none"/>
        <w:tab w:val="right" w:pos="9355" w:leader="none"/>
      </w:tabs>
      <w:spacing w:lineRule="auto" w:line="240" w:before="0" w:after="0"/>
    </w:pPr>
    <w:rPr/>
  </w:style>
  <w:style w:type="paragraph" w:styleId="TOC7">
    <w:name w:val="toc 7"/>
    <w:next w:val="Normal"/>
    <w:uiPriority w:val="39"/>
    <w:pPr>
      <w:widowControl/>
      <w:bidi w:val="0"/>
      <w:spacing w:lineRule="auto" w:line="240" w:before="0" w:after="0"/>
      <w:ind w:hanging="0" w:start="1200" w:end="0"/>
      <w:jc w:val="start"/>
    </w:pPr>
    <w:rPr>
      <w:rFonts w:ascii="XO Thames" w:hAnsi="XO Thames" w:eastAsia="Tahoma" w:cs="Noto Sans"/>
      <w:color w:val="000000"/>
      <w:spacing w:val="0"/>
      <w:kern w:val="0"/>
      <w:sz w:val="28"/>
      <w:szCs w:val="20"/>
      <w:lang w:val="ru-RU" w:eastAsia="zh-CN" w:bidi="hi-IN"/>
    </w:rPr>
  </w:style>
  <w:style w:type="paragraph" w:styleId="BalloonText1">
    <w:name w:val="Balloon Text1"/>
    <w:basedOn w:val="Normal"/>
    <w:link w:val="BalloonText"/>
    <w:qFormat/>
    <w:pPr>
      <w:widowControl/>
      <w:spacing w:lineRule="auto" w:line="240" w:before="0" w:after="0"/>
    </w:pPr>
    <w:rPr>
      <w:rFonts w:ascii="Tahoma" w:hAnsi="Tahoma"/>
      <w:sz w:val="16"/>
    </w:rPr>
  </w:style>
  <w:style w:type="paragraph" w:styleId="Endnote1">
    <w:name w:val="Endnote1"/>
    <w:link w:val="Endnote"/>
    <w:qFormat/>
    <w:pPr>
      <w:widowControl/>
      <w:bidi w:val="0"/>
      <w:spacing w:lineRule="auto" w:line="240" w:before="0" w:after="0"/>
      <w:ind w:firstLine="851" w:start="0" w:end="0"/>
      <w:jc w:val="both"/>
    </w:pPr>
    <w:rPr>
      <w:rFonts w:ascii="XO Thames" w:hAnsi="XO Thames" w:eastAsia="Tahoma" w:cs="Noto Sans"/>
      <w:color w:val="000000"/>
      <w:spacing w:val="0"/>
      <w:kern w:val="0"/>
      <w:sz w:val="22"/>
      <w:szCs w:val="20"/>
      <w:lang w:val="ru-RU" w:eastAsia="zh-CN" w:bidi="hi-IN"/>
    </w:rPr>
  </w:style>
  <w:style w:type="paragraph" w:styleId="ListParagraph1">
    <w:name w:val="List Paragraph1"/>
    <w:basedOn w:val="Normal"/>
    <w:link w:val="ListParagraph"/>
    <w:qFormat/>
    <w:pPr>
      <w:widowControl/>
      <w:spacing w:lineRule="auto" w:line="240" w:before="0" w:after="0"/>
      <w:ind w:start="720"/>
      <w:contextualSpacing/>
    </w:pPr>
    <w:rPr>
      <w:rFonts w:ascii="Times New Roman" w:hAnsi="Times New Roman"/>
      <w:sz w:val="24"/>
    </w:rPr>
  </w:style>
  <w:style w:type="paragraph" w:styleId="annotationreference1">
    <w:name w:val="annotation reference1"/>
    <w:link w:val="CommentReference"/>
    <w:qFormat/>
    <w:pPr>
      <w:widowControl/>
      <w:bidi w:val="0"/>
      <w:spacing w:lineRule="auto" w:line="240" w:before="0" w:after="0"/>
      <w:ind w:hanging="0" w:start="0" w:end="0"/>
      <w:jc w:val="start"/>
    </w:pPr>
    <w:rPr>
      <w:rFonts w:ascii="Calibri" w:hAnsi="Calibri" w:eastAsia="Tahoma" w:cs="Noto Sans"/>
      <w:color w:val="000000"/>
      <w:spacing w:val="0"/>
      <w:kern w:val="0"/>
      <w:sz w:val="16"/>
      <w:szCs w:val="20"/>
      <w:lang w:val="ru-RU" w:eastAsia="zh-CN" w:bidi="hi-IN"/>
    </w:rPr>
  </w:style>
  <w:style w:type="paragraph" w:styleId="TOC3">
    <w:name w:val="toc 3"/>
    <w:next w:val="Normal"/>
    <w:uiPriority w:val="39"/>
    <w:pPr>
      <w:widowControl/>
      <w:bidi w:val="0"/>
      <w:spacing w:lineRule="auto" w:line="240" w:before="0" w:after="0"/>
      <w:ind w:hanging="0" w:start="400" w:end="0"/>
      <w:jc w:val="start"/>
    </w:pPr>
    <w:rPr>
      <w:rFonts w:ascii="XO Thames" w:hAnsi="XO Thames" w:eastAsia="Tahoma" w:cs="Noto Sans"/>
      <w:color w:val="000000"/>
      <w:spacing w:val="0"/>
      <w:kern w:val="0"/>
      <w:sz w:val="28"/>
      <w:szCs w:val="20"/>
      <w:lang w:val="ru-RU" w:eastAsia="zh-CN" w:bidi="hi-IN"/>
    </w:rPr>
  </w:style>
  <w:style w:type="paragraph" w:styleId="Footer">
    <w:name w:val="footer"/>
    <w:basedOn w:val="Normal"/>
    <w:pPr>
      <w:widowControl/>
      <w:tabs>
        <w:tab w:val="clear" w:pos="708"/>
        <w:tab w:val="center" w:pos="4677" w:leader="none"/>
        <w:tab w:val="right" w:pos="9355" w:leader="none"/>
      </w:tabs>
      <w:spacing w:lineRule="auto" w:line="240" w:before="0" w:after="0"/>
    </w:pPr>
    <w:rPr/>
  </w:style>
  <w:style w:type="paragraph" w:styleId="StrongEmphasis">
    <w:name w:val="Strong Emphasis"/>
    <w:qFormat/>
    <w:pPr>
      <w:widowControl/>
      <w:bidi w:val="0"/>
      <w:spacing w:lineRule="auto" w:line="240" w:before="0" w:after="0"/>
      <w:ind w:hanging="0" w:start="0" w:end="0"/>
      <w:jc w:val="start"/>
    </w:pPr>
    <w:rPr>
      <w:rFonts w:ascii="Calibri" w:hAnsi="Calibri" w:eastAsia="Tahoma" w:cs="Noto Sans"/>
      <w:b/>
      <w:color w:val="000000"/>
      <w:spacing w:val="0"/>
      <w:kern w:val="0"/>
      <w:sz w:val="20"/>
      <w:szCs w:val="20"/>
      <w:lang w:val="ru-RU" w:eastAsia="zh-CN" w:bidi="hi-IN"/>
    </w:rPr>
  </w:style>
  <w:style w:type="paragraph" w:styleId="CommentText">
    <w:name w:val="annotation text"/>
    <w:basedOn w:val="Normal"/>
    <w:pPr>
      <w:widowControl/>
      <w:spacing w:lineRule="auto" w:line="240"/>
    </w:pPr>
    <w:rPr>
      <w:sz w:val="20"/>
    </w:rPr>
  </w:style>
  <w:style w:type="paragraph" w:styleId="BodyText221">
    <w:name w:val="Body Text 221"/>
    <w:basedOn w:val="Normal"/>
    <w:link w:val="BodyText22"/>
    <w:qFormat/>
    <w:pPr>
      <w:widowControl/>
      <w:numPr>
        <w:ilvl w:val="0"/>
        <w:numId w:val="10"/>
      </w:numPr>
      <w:tabs>
        <w:tab w:val="clear" w:pos="708"/>
      </w:tabs>
      <w:spacing w:before="0" w:after="120"/>
      <w:ind w:hanging="0" w:start="113"/>
      <w:jc w:val="both"/>
    </w:pPr>
    <w:rPr/>
  </w:style>
  <w:style w:type="paragraph" w:styleId="Internetlink">
    <w:name w:val="Internet link"/>
    <w:qFormat/>
    <w:pPr>
      <w:widowControl/>
      <w:bidi w:val="0"/>
      <w:spacing w:lineRule="auto" w:line="240" w:before="0" w:after="0"/>
      <w:ind w:hanging="0" w:start="0" w:end="0"/>
      <w:jc w:val="start"/>
    </w:pPr>
    <w:rPr>
      <w:rFonts w:ascii="Calibri" w:hAnsi="Calibri" w:eastAsia="Tahoma" w:cs="Noto Sans"/>
      <w:color w:val="0000FF"/>
      <w:spacing w:val="0"/>
      <w:kern w:val="0"/>
      <w:sz w:val="20"/>
      <w:szCs w:val="20"/>
      <w:u w:val="single"/>
      <w:lang w:val="ru-RU" w:eastAsia="zh-CN" w:bidi="hi-IN"/>
    </w:rPr>
  </w:style>
  <w:style w:type="paragraph" w:styleId="Footnote1">
    <w:name w:val="Footnote1"/>
    <w:link w:val="Footnote"/>
    <w:qFormat/>
    <w:pPr>
      <w:widowControl/>
      <w:bidi w:val="0"/>
      <w:spacing w:lineRule="auto" w:line="240" w:before="0" w:after="0"/>
      <w:ind w:firstLine="851" w:start="0" w:end="0"/>
      <w:jc w:val="both"/>
    </w:pPr>
    <w:rPr>
      <w:rFonts w:ascii="XO Thames" w:hAnsi="XO Thames" w:eastAsia="Tahoma" w:cs="Noto Sans"/>
      <w:color w:val="000000"/>
      <w:spacing w:val="0"/>
      <w:kern w:val="0"/>
      <w:sz w:val="22"/>
      <w:szCs w:val="20"/>
      <w:lang w:val="ru-RU" w:eastAsia="zh-CN" w:bidi="hi-IN"/>
    </w:rPr>
  </w:style>
  <w:style w:type="paragraph" w:styleId="TOC1">
    <w:name w:val="toc 1"/>
    <w:next w:val="Normal"/>
    <w:uiPriority w:val="39"/>
    <w:pPr>
      <w:widowControl/>
      <w:bidi w:val="0"/>
      <w:spacing w:lineRule="auto" w:line="240" w:before="0" w:after="0"/>
      <w:ind w:hanging="0" w:start="0" w:end="0"/>
      <w:jc w:val="start"/>
    </w:pPr>
    <w:rPr>
      <w:rFonts w:ascii="XO Thames" w:hAnsi="XO Thames" w:eastAsia="Tahoma" w:cs="Noto Sans"/>
      <w:b/>
      <w:color w:val="000000"/>
      <w:spacing w:val="0"/>
      <w:kern w:val="0"/>
      <w:sz w:val="28"/>
      <w:szCs w:val="20"/>
      <w:lang w:val="ru-RU" w:eastAsia="zh-CN" w:bidi="hi-IN"/>
    </w:rPr>
  </w:style>
  <w:style w:type="paragraph" w:styleId="TOC9">
    <w:name w:val="toc 9"/>
    <w:next w:val="Normal"/>
    <w:uiPriority w:val="39"/>
    <w:pPr>
      <w:widowControl/>
      <w:bidi w:val="0"/>
      <w:spacing w:lineRule="auto" w:line="240" w:before="0" w:after="0"/>
      <w:ind w:hanging="0" w:start="1600" w:end="0"/>
      <w:jc w:val="start"/>
    </w:pPr>
    <w:rPr>
      <w:rFonts w:ascii="XO Thames" w:hAnsi="XO Thames" w:eastAsia="Tahoma" w:cs="Noto Sans"/>
      <w:color w:val="000000"/>
      <w:spacing w:val="0"/>
      <w:kern w:val="0"/>
      <w:sz w:val="28"/>
      <w:szCs w:val="20"/>
      <w:lang w:val="ru-RU" w:eastAsia="zh-CN" w:bidi="hi-IN"/>
    </w:rPr>
  </w:style>
  <w:style w:type="paragraph" w:styleId="TOC8">
    <w:name w:val="toc 8"/>
    <w:next w:val="Normal"/>
    <w:uiPriority w:val="39"/>
    <w:pPr>
      <w:widowControl/>
      <w:bidi w:val="0"/>
      <w:spacing w:lineRule="auto" w:line="240" w:before="0" w:after="0"/>
      <w:ind w:hanging="0" w:start="1400" w:end="0"/>
      <w:jc w:val="start"/>
    </w:pPr>
    <w:rPr>
      <w:rFonts w:ascii="XO Thames" w:hAnsi="XO Thames" w:eastAsia="Tahoma" w:cs="Noto Sans"/>
      <w:color w:val="000000"/>
      <w:spacing w:val="0"/>
      <w:kern w:val="0"/>
      <w:sz w:val="28"/>
      <w:szCs w:val="20"/>
      <w:lang w:val="ru-RU" w:eastAsia="zh-CN" w:bidi="hi-IN"/>
    </w:rPr>
  </w:style>
  <w:style w:type="paragraph" w:styleId="DefaultParagraphFont1">
    <w:name w:val="Default Paragraph Font1"/>
    <w:link w:val="DefaultParagraphFont"/>
    <w:qFormat/>
    <w:pPr>
      <w:widowControl/>
      <w:bidi w:val="0"/>
      <w:spacing w:lineRule="auto" w:line="240" w:before="0" w:after="0"/>
      <w:ind w:hanging="0" w:start="0" w:end="0"/>
      <w:jc w:val="start"/>
    </w:pPr>
    <w:rPr>
      <w:rFonts w:ascii="Calibri" w:hAnsi="Calibri" w:eastAsia="Tahoma" w:cs="Noto Sans"/>
      <w:color w:val="000000"/>
      <w:spacing w:val="0"/>
      <w:kern w:val="0"/>
      <w:sz w:val="20"/>
      <w:szCs w:val="20"/>
      <w:lang w:val="ru-RU" w:eastAsia="zh-CN" w:bidi="hi-IN"/>
    </w:rPr>
  </w:style>
  <w:style w:type="paragraph" w:styleId="TOC5">
    <w:name w:val="toc 5"/>
    <w:next w:val="Normal"/>
    <w:uiPriority w:val="39"/>
    <w:pPr>
      <w:widowControl/>
      <w:bidi w:val="0"/>
      <w:spacing w:lineRule="auto" w:line="240" w:before="0" w:after="0"/>
      <w:ind w:hanging="0" w:start="800" w:end="0"/>
      <w:jc w:val="start"/>
    </w:pPr>
    <w:rPr>
      <w:rFonts w:ascii="XO Thames" w:hAnsi="XO Thames" w:eastAsia="Tahoma" w:cs="Noto Sans"/>
      <w:color w:val="000000"/>
      <w:spacing w:val="0"/>
      <w:kern w:val="0"/>
      <w:sz w:val="28"/>
      <w:szCs w:val="20"/>
      <w:lang w:val="ru-RU" w:eastAsia="zh-CN" w:bidi="hi-IN"/>
    </w:rPr>
  </w:style>
  <w:style w:type="paragraph" w:styleId="annotationsubject1">
    <w:name w:val="annotation subject1"/>
    <w:basedOn w:val="CommentText"/>
    <w:next w:val="CommentText"/>
    <w:link w:val="annotationsubject"/>
    <w:qFormat/>
    <w:pPr/>
    <w:rPr>
      <w:b/>
    </w:rPr>
  </w:style>
  <w:style w:type="paragraph" w:styleId="NormalWeb1">
    <w:name w:val="Normal (Web)1"/>
    <w:basedOn w:val="Normal"/>
    <w:link w:val="NormalWeb"/>
    <w:qFormat/>
    <w:pPr>
      <w:widowControl/>
      <w:spacing w:lineRule="auto" w:line="240" w:beforeAutospacing="1" w:afterAutospacing="1"/>
    </w:pPr>
    <w:rPr>
      <w:rFonts w:ascii="Times New Roman" w:hAnsi="Times New Roman"/>
      <w:sz w:val="24"/>
    </w:rPr>
  </w:style>
  <w:style w:type="paragraph" w:styleId="Subtitle">
    <w:name w:val="Subtitle"/>
    <w:next w:val="Normal"/>
    <w:uiPriority w:val="11"/>
    <w:qFormat/>
    <w:pPr>
      <w:widowControl/>
      <w:bidi w:val="0"/>
      <w:spacing w:lineRule="auto" w:line="240" w:before="0" w:after="0"/>
      <w:ind w:hanging="0" w:start="0" w:end="0"/>
      <w:jc w:val="both"/>
    </w:pPr>
    <w:rPr>
      <w:rFonts w:ascii="XO Thames" w:hAnsi="XO Thames" w:eastAsia="Tahoma" w:cs="Noto Sans"/>
      <w:i/>
      <w:color w:val="000000"/>
      <w:spacing w:val="0"/>
      <w:kern w:val="0"/>
      <w:sz w:val="24"/>
      <w:szCs w:val="20"/>
      <w:lang w:val="ru-RU" w:eastAsia="zh-CN" w:bidi="hi-IN"/>
    </w:rPr>
  </w:style>
  <w:style w:type="paragraph" w:styleId="Title">
    <w:name w:val="Title"/>
    <w:next w:val="Normal"/>
    <w:uiPriority w:val="10"/>
    <w:qFormat/>
    <w:pPr>
      <w:widowControl/>
      <w:bidi w:val="0"/>
      <w:spacing w:lineRule="auto" w:line="240" w:before="567" w:after="567"/>
      <w:ind w:hanging="0" w:start="0" w:end="0"/>
      <w:jc w:val="center"/>
    </w:pPr>
    <w:rPr>
      <w:rFonts w:ascii="XO Thames" w:hAnsi="XO Thames" w:eastAsia="Tahoma" w:cs="Noto Sans"/>
      <w:b/>
      <w:caps/>
      <w:color w:val="000000"/>
      <w:spacing w:val="0"/>
      <w:kern w:val="0"/>
      <w:sz w:val="40"/>
      <w:szCs w:val="20"/>
      <w:lang w:val="ru-RU" w:eastAsia="zh-CN" w:bidi="hi-IN"/>
    </w:rPr>
  </w:style>
  <w:style w:type="paragraph" w:styleId="Style12">
    <w:name w:val="Содержимое врезки"/>
    <w:basedOn w:val="Normal"/>
    <w:qFormat/>
    <w:pPr/>
    <w:rPr/>
  </w:style>
  <w:style w:type="table" w:default="1" w:styleId="Style_34">
    <w:name w:val="Normal Table"/>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tileRect l="0" t="0" r="0" b="0"/>
        </a:gradFill>
        <a:gradFill>
          <a:gsLst>
            <a:gs pos="0">
              <a:schemeClr val="phClr">
                <a:shade val="51000"/>
              </a:schemeClr>
            </a:gs>
            <a:gs pos="80000">
              <a:schemeClr val="phClr">
                <a:shade val="93000"/>
              </a:schemeClr>
            </a:gs>
            <a:gs pos="100000">
              <a:schemeClr val="phClr">
                <a:shade val="94000"/>
              </a:schemeClr>
            </a:gs>
          </a:gsLst>
          <a:tileRect l="0" t="0" r="0" b="0"/>
        </a:gradFill>
      </a:fillStyleLst>
      <a:lnStyleLst>
        <a:ln w="9525">
          <a:prstDash val="solid"/>
        </a:ln>
        <a:ln w="25400">
          <a:prstDash val="solid"/>
        </a:ln>
        <a:ln w="38100">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tileRect l="0" t="0" r="0" b="0"/>
        </a:gradFill>
        <a:gradFill>
          <a:gsLst>
            <a:gs pos="0">
              <a:schemeClr val="phClr">
                <a:tint val="80000"/>
              </a:schemeClr>
            </a:gs>
            <a:gs pos="100000">
              <a:schemeClr val="phClr">
                <a:shade val="30000"/>
              </a:schemeClr>
            </a:gs>
          </a:gsLst>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LibreOffice/25.8.7.3$Linux_X86_64 LibreOffice_project/30742500f2d3eb4366ac312fa33d3dcabdb3eba5</Application>
  <AppVersion>15.0000</AppVersion>
  <Pages>25</Pages>
  <Words>7395</Words>
  <Characters>53188</Characters>
  <CharactersWithSpaces>60059</CharactersWithSpaces>
  <Paragraphs>391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2026-09-09T05:31:45Z</dcterms:created>
  <dc:creator/>
  <dc:description/>
  <dc:language>ru-RU</dc:language>
  <cp:lastModifiedBy/>
  <dcterms:modified xsi:type="dcterms:W3CDTF">2026-09-11T10:34:14Z</dcterms:modified>
  <cp:revision>1</cp:revision>
  <dc:subject/>
  <dc:title/>
</cp:coreProperties>
</file>