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_______</w:t>
      </w:r>
    </w:p>
    <w:p>
      <w:pPr>
        <w:pStyle w:val="Normal"/>
        <w:shd w:val="clear" w:color="auto" w:fill="FFFFFF"/>
        <w:spacing w:before="0" w:after="120"/>
        <w:rPr>
          <w:sz w:val="24"/>
          <w:szCs w:val="24"/>
        </w:rPr>
      </w:pPr>
      <w:r>
        <w:rPr>
          <w:sz w:val="24"/>
          <w:szCs w:val="24"/>
        </w:rPr>
        <w:t>г. Жигулевск</w:t>
        <w:tab/>
        <w:t xml:space="preserve"> </w:t>
        <w:tab/>
        <w:t xml:space="preserve">                                                                            «___» __________ 20__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заместителя директора – главного инженера Жигулевского филиала АО «Гидроремонт-ВКК» в г. Жигулевск Голубцова Игоря Алексеевича, действующего на основании доверенности № __ от __.__.202_г., с одной стороны, и</w:t>
      </w:r>
    </w:p>
    <w:p>
      <w:pPr>
        <w:pStyle w:val="Normal"/>
        <w:spacing w:before="0" w:after="120"/>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rPr>
      </w:pPr>
      <w:r>
        <w:rPr>
          <w:sz w:val="24"/>
          <w:szCs w:val="24"/>
        </w:rPr>
        <w:t xml:space="preserve">по результатам проведенного запроса котировок в электронной форме (лот 0038-РЕМ ДОХ-2025-ГРВКК-ЖигФ), что подтверждается Протоколом №____ от </w:t>
      </w:r>
      <w:r>
        <w:rPr>
          <w:bCs/>
          <w:sz w:val="24"/>
          <w:szCs w:val="24"/>
        </w:rPr>
        <w:t>«_____» _________ 20 __ г.,</w:t>
      </w:r>
      <w:r>
        <w:rPr>
          <w:sz w:val="24"/>
          <w:szCs w:val="24"/>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134" w:leader="none"/>
        </w:tabs>
        <w:spacing w:before="0" w:after="120"/>
        <w:ind w:left="0" w:firstLine="567"/>
        <w:jc w:val="both"/>
        <w:rPr>
          <w:b w:val="false"/>
          <w:sz w:val="24"/>
        </w:rPr>
      </w:pPr>
      <w:r>
        <w:rPr>
          <w:b w:val="false"/>
          <w:sz w:val="24"/>
        </w:rPr>
        <w:t xml:space="preserve">Поставщик обязуется передать Покупателю </w:t>
      </w:r>
      <w:r>
        <w:rPr>
          <w:sz w:val="24"/>
        </w:rPr>
        <w:t xml:space="preserve">строительные смеси </w:t>
      </w:r>
      <w:r>
        <w:rPr>
          <w:b w:val="false"/>
          <w:sz w:val="24"/>
        </w:rPr>
        <w:t>(далее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Жигулевского филиала АО «Гидроремонт-ВКК» в г. Жигулевск.</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Место поставки: РФ, 445351, Самарская область, г. Жигулевск, территория Жигулевская ГЭС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Срок поставки Продукции по Договору: не позднее ____________________.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Общая стоимость Продукции (далее – «Цена Договора») по Договору составляет __________(__________________) рублей _____ копеек, в том числе НДС (2</w:t>
      </w:r>
      <w:r>
        <w:rPr>
          <w:sz w:val="24"/>
          <w:szCs w:val="24"/>
        </w:rPr>
        <w:t>2</w:t>
      </w:r>
      <w:r>
        <w:rPr>
          <w:sz w:val="24"/>
          <w:szCs w:val="24"/>
        </w:rPr>
        <w:t xml:space="preserve"> %) в размере ___________(____________) рублей ____ копеек.</w:t>
      </w:r>
      <w:r>
        <w:rPr>
          <w:bCs/>
          <w:szCs w:val="28"/>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rPr>
      </w:pPr>
      <w:r>
        <w:rPr>
          <w:color w:val="000000"/>
          <w:sz w:val="24"/>
          <w:szCs w:val="24"/>
        </w:rPr>
        <w:t>Стоимость Продукции.</w:t>
      </w:r>
    </w:p>
    <w:p>
      <w:pPr>
        <w:pStyle w:val="Normal"/>
        <w:tabs>
          <w:tab w:val="clear" w:pos="720"/>
          <w:tab w:val="left" w:pos="0" w:leader="none"/>
          <w:tab w:val="left" w:pos="851" w:leader="none"/>
        </w:tabs>
        <w:spacing w:before="0" w:after="120"/>
        <w:jc w:val="both"/>
        <w:rPr>
          <w:sz w:val="24"/>
          <w:szCs w:val="24"/>
        </w:rPr>
      </w:pPr>
      <w:r>
        <w:rPr>
          <w:bCs/>
          <w:sz w:val="24"/>
          <w:szCs w:val="24"/>
        </w:rPr>
        <w:tab/>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u w:val="single"/>
        </w:rPr>
      </w:pPr>
      <w:r>
        <w:rPr>
          <w:sz w:val="24"/>
          <w:szCs w:val="24"/>
          <w:u w:val="single"/>
        </w:rPr>
        <w:t xml:space="preserve">Оплата в соответствии с Договором осуществляется следующим образом: </w:t>
      </w:r>
    </w:p>
    <w:p>
      <w:pPr>
        <w:pStyle w:val="ListParagraph"/>
        <w:numPr>
          <w:ilvl w:val="2"/>
          <w:numId w:val="6"/>
        </w:numPr>
        <w:shd w:val="clear" w:color="auto" w:fill="FFFFFF"/>
        <w:tabs>
          <w:tab w:val="clear" w:pos="720"/>
          <w:tab w:val="left" w:pos="567" w:leader="none"/>
        </w:tabs>
        <w:spacing w:before="0" w:after="120"/>
        <w:ind w:left="0" w:firstLine="567"/>
        <w:contextualSpacing/>
        <w:jc w:val="both"/>
        <w:rPr>
          <w:sz w:val="24"/>
          <w:szCs w:val="24"/>
        </w:rPr>
      </w:pPr>
      <w:r>
        <w:rPr>
          <w:sz w:val="24"/>
          <w:szCs w:val="24"/>
        </w:rPr>
        <w:t xml:space="preserve">Платеж в размере 90 % (девяносто процентов) от стоимости поставленной Продукции, согласно Спецификации (Приложение № 1), производится Покупателем </w:t>
      </w:r>
      <w:r>
        <w:rPr>
          <w:b/>
          <w:sz w:val="24"/>
          <w:szCs w:val="24"/>
        </w:rPr>
        <w:t>в течение 30 (тридцати) календарных дней / 7 (семи) рабочих дней</w:t>
      </w:r>
      <w:r>
        <w:rPr>
          <w:rStyle w:val="FootnoteReference"/>
          <w:b/>
          <w:sz w:val="24"/>
          <w:szCs w:val="24"/>
          <w:vertAlign w:val="superscript"/>
        </w:rPr>
        <w:footnoteReference w:id="2"/>
      </w:r>
      <w:r>
        <w:rPr>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w:t>
      </w:r>
    </w:p>
    <w:p>
      <w:pPr>
        <w:pStyle w:val="ListParagraph"/>
        <w:numPr>
          <w:ilvl w:val="2"/>
          <w:numId w:val="6"/>
        </w:numPr>
        <w:shd w:val="clear" w:color="auto" w:fill="FFFFFF"/>
        <w:tabs>
          <w:tab w:val="clear" w:pos="720"/>
          <w:tab w:val="left" w:pos="567" w:leader="none"/>
        </w:tabs>
        <w:spacing w:before="0" w:after="120"/>
        <w:ind w:left="0" w:firstLine="567"/>
        <w:contextualSpacing/>
        <w:jc w:val="both"/>
        <w:rPr>
          <w:sz w:val="24"/>
          <w:szCs w:val="24"/>
        </w:rPr>
      </w:pPr>
      <w:r>
        <w:rPr>
          <w:sz w:val="24"/>
          <w:szCs w:val="24"/>
        </w:rPr>
        <w:t>Обеспечительный платеж в размере 10 (десять) % от стоимости Продукции производится в течение 7 (семи) рабочих дней с даты получения счета, выставленного Поставщиком, но не ранее 70 (семидесяти) календарных дней с даты исполнения Поставщиком всех обязательств по Договору при отсутствии претензий и требований со стороны Покупателя и с учетом п.2.6. Договора</w:t>
      </w:r>
      <w:r>
        <w:rPr>
          <w:sz w:val="24"/>
          <w:szCs w:val="24"/>
          <w:lang w:val="en-US"/>
        </w:rPr>
        <w:t>.</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 xml:space="preserve"> </w:t>
      </w: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 качества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Технический паспорт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Инструкция по эксплуатации (монтажу и т.п.)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Упаковочный лист на Продукцию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 о происхождении Продукции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851" w:leader="none"/>
          <w:tab w:val="left" w:pos="1134"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Поставщику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w:t>
      </w:r>
      <w:r>
        <w:rPr>
          <w:color w:val="000000"/>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На Продукцию устанавливается гарантийный срок, равный </w:t>
      </w:r>
      <w:r>
        <w:rPr>
          <w:sz w:val="24"/>
          <w:szCs w:val="24"/>
          <w:highlight w:val="green"/>
        </w:rPr>
        <w:t>12 (двенадцати) месяцам от даты изготовления, но не менее 2/3 от срока годности на момент поставки товара на склад покупателя</w:t>
      </w:r>
      <w:r>
        <w:rPr>
          <w:sz w:val="24"/>
          <w:szCs w:val="24"/>
        </w:rPr>
        <w:t>. Момент поставки товара исчисляется с даты подписания Сторонами соответствующей товарной накладной по форме ТОРГ-12 или Универсального передаточного документа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sz w:val="28"/>
          <w:szCs w:val="28"/>
        </w:rPr>
        <w:t xml:space="preserve"> </w:t>
      </w:r>
      <w:r>
        <w:rPr>
          <w:sz w:val="24"/>
          <w:szCs w:val="24"/>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bookmarkStart w:id="2" w:name="_Hlk130023773"/>
      <w:r>
        <w:rPr>
          <w:sz w:val="24"/>
          <w:szCs w:val="24"/>
        </w:rPr>
        <w:t xml:space="preserve">В случае </w:t>
      </w:r>
      <w:bookmarkStart w:id="3" w:name="_Hlk130023740"/>
      <w:r>
        <w:rPr>
          <w:sz w:val="24"/>
          <w:szCs w:val="24"/>
        </w:rPr>
        <w:t xml:space="preserve">нарушения </w:t>
      </w:r>
      <w:bookmarkEnd w:id="3"/>
      <w:r>
        <w:rPr>
          <w:sz w:val="24"/>
          <w:szCs w:val="24"/>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2"/>
      <w:r>
        <w:rPr>
          <w:sz w:val="24"/>
          <w:szCs w:val="24"/>
        </w:rPr>
        <w:t xml:space="preserve">. </w:t>
      </w:r>
    </w:p>
    <w:p>
      <w:pPr>
        <w:pStyle w:val="Normal"/>
        <w:tabs>
          <w:tab w:val="clear" w:pos="720"/>
          <w:tab w:val="left" w:pos="1701" w:leader="none"/>
        </w:tabs>
        <w:jc w:val="both"/>
        <w:rPr>
          <w:sz w:val="24"/>
          <w:szCs w:val="24"/>
        </w:rPr>
      </w:pPr>
      <w:r>
        <w:rPr>
          <w:sz w:val="24"/>
          <w:szCs w:val="24"/>
        </w:rPr>
        <w:tab/>
      </w:r>
      <w:bookmarkStart w:id="4" w:name="_Hlk130023812"/>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numPr>
          <w:ilvl w:val="0"/>
          <w:numId w:val="15"/>
        </w:numPr>
        <w:tabs>
          <w:tab w:val="clear" w:pos="720"/>
          <w:tab w:val="left" w:pos="1701" w:leader="none"/>
        </w:tabs>
        <w:ind w:left="0" w:firstLine="709"/>
        <w:jc w:val="both"/>
        <w:rPr>
          <w:rFonts w:eastAsia="Calibri"/>
          <w:bCs/>
          <w:sz w:val="24"/>
          <w:szCs w:val="24"/>
        </w:rPr>
      </w:pPr>
      <w:r>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pPr>
        <w:pStyle w:val="Normal"/>
        <w:numPr>
          <w:ilvl w:val="0"/>
          <w:numId w:val="15"/>
        </w:numPr>
        <w:tabs>
          <w:tab w:val="clear" w:pos="720"/>
          <w:tab w:val="left" w:pos="1701" w:leader="none"/>
        </w:tabs>
        <w:ind w:left="0" w:firstLine="709"/>
        <w:jc w:val="both"/>
        <w:rPr>
          <w:rFonts w:eastAsia="Calibri"/>
          <w:bCs/>
          <w:sz w:val="24"/>
          <w:szCs w:val="24"/>
        </w:rPr>
      </w:pPr>
      <w:r>
        <w:rPr>
          <w:rFonts w:eastAsia="Calibri"/>
          <w:bCs/>
          <w:sz w:val="24"/>
          <w:szCs w:val="24"/>
        </w:rPr>
        <w:t xml:space="preserve">неустойки в размере 0,1 (ноль целых и одна десятая) процента от стоимости некачественной </w:t>
      </w:r>
      <w:r>
        <w:rPr>
          <w:sz w:val="24"/>
          <w:szCs w:val="24"/>
        </w:rPr>
        <w:t>Продукции</w:t>
      </w:r>
      <w:r>
        <w:rPr>
          <w:rFonts w:eastAsia="Calibri"/>
          <w:bCs/>
          <w:sz w:val="24"/>
          <w:szCs w:val="24"/>
        </w:rPr>
        <w:t xml:space="preserve">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не влияющих на возможность эксплуатации (использования) </w:t>
      </w:r>
      <w:r>
        <w:rPr>
          <w:sz w:val="24"/>
          <w:szCs w:val="24"/>
        </w:rPr>
        <w:t>Продукции</w:t>
      </w:r>
      <w:r>
        <w:rPr>
          <w:rFonts w:eastAsia="Calibri"/>
          <w:bCs/>
          <w:sz w:val="24"/>
          <w:szCs w:val="24"/>
        </w:rPr>
        <w:t xml:space="preserve"> в целом</w:t>
      </w:r>
      <w:bookmarkEnd w:id="4"/>
      <w:r>
        <w:rPr>
          <w:rFonts w:eastAsia="Calibri"/>
          <w:bCs/>
          <w:sz w:val="24"/>
          <w:szCs w:val="24"/>
        </w:rPr>
        <w:t>.</w:t>
      </w:r>
      <w:r>
        <w:rPr>
          <w:sz w:val="24"/>
          <w:szCs w:val="24"/>
        </w:rPr>
        <w:t xml:space="preserve">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10"/>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10"/>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10"/>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10"/>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10"/>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10"/>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10"/>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9"/>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9"/>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5" w:name="Par2"/>
      <w:bookmarkEnd w:id="5"/>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4"/>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4"/>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4"/>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4"/>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false"/>
        <w:spacing w:before="0" w:after="120"/>
        <w:ind w:left="567" w:hanging="0"/>
        <w:jc w:val="both"/>
        <w:textAlignment w:val="baseline"/>
        <w:rPr>
          <w:b w:val="false"/>
          <w:sz w:val="24"/>
          <w:szCs w:val="24"/>
        </w:rPr>
      </w:pPr>
      <w:r>
        <w:rPr>
          <w:b w:val="false"/>
          <w:sz w:val="24"/>
          <w:szCs w:val="24"/>
        </w:rPr>
        <w:t>- Приложение № 1 – Спецификация;</w:t>
      </w:r>
    </w:p>
    <w:p>
      <w:pPr>
        <w:pStyle w:val="Heading3"/>
        <w:keepNext w:val="false"/>
        <w:tabs>
          <w:tab w:val="clear" w:pos="0"/>
        </w:tabs>
        <w:overflowPunct w:val="false"/>
        <w:spacing w:before="0" w:after="120"/>
        <w:ind w:left="567" w:hanging="0"/>
        <w:jc w:val="both"/>
        <w:textAlignment w:val="baseline"/>
        <w:rPr>
          <w:b w:val="false"/>
          <w:sz w:val="24"/>
          <w:szCs w:val="24"/>
        </w:rPr>
      </w:pPr>
      <w:r>
        <w:rPr>
          <w:b w:val="false"/>
          <w:sz w:val="24"/>
          <w:szCs w:val="24"/>
        </w:rPr>
        <w:t>- Приложение № 2 – Технические требования.</w:t>
      </w:r>
    </w:p>
    <w:p>
      <w:pPr>
        <w:pStyle w:val="Heading3"/>
        <w:keepNext w:val="false"/>
        <w:tabs>
          <w:tab w:val="clear" w:pos="0"/>
        </w:tabs>
        <w:overflowPunct w:val="false"/>
        <w:spacing w:before="0" w:after="120"/>
        <w:ind w:left="567" w:hanging="0"/>
        <w:jc w:val="both"/>
        <w:textAlignment w:val="baseline"/>
        <w:rPr>
          <w:b w:val="false"/>
          <w:sz w:val="24"/>
          <w:szCs w:val="24"/>
        </w:rPr>
      </w:pPr>
      <w:bookmarkStart w:id="6" w:name="sub_1"/>
      <w:r>
        <w:rPr>
          <w:b w:val="false"/>
          <w:sz w:val="24"/>
          <w:szCs w:val="24"/>
        </w:rPr>
        <w:tab/>
      </w:r>
      <w:bookmarkEnd w:id="6"/>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b/>
                <w:sz w:val="22"/>
                <w:szCs w:val="22"/>
              </w:rPr>
            </w:pPr>
            <w:r>
              <w:rPr>
                <w:b/>
                <w:sz w:val="22"/>
                <w:szCs w:val="22"/>
              </w:rPr>
              <w:t>Акционерное общество</w:t>
            </w:r>
          </w:p>
          <w:p>
            <w:pPr>
              <w:pStyle w:val="Normal"/>
              <w:widowControl w:val="false"/>
              <w:rPr>
                <w:b/>
                <w:sz w:val="22"/>
                <w:szCs w:val="22"/>
              </w:rPr>
            </w:pPr>
            <w:r>
              <w:rPr>
                <w:b/>
                <w:sz w:val="22"/>
                <w:szCs w:val="22"/>
              </w:rPr>
              <w:t>«Гидроремонт-ВКК» (АО «Гидроремонт-ВКК»)</w:t>
            </w:r>
          </w:p>
          <w:p>
            <w:pPr>
              <w:pStyle w:val="Normal"/>
              <w:widowControl w:val="false"/>
              <w:rPr>
                <w:sz w:val="22"/>
                <w:szCs w:val="22"/>
                <w:lang w:val="x-none"/>
              </w:rPr>
            </w:pPr>
            <w:r>
              <w:rPr>
                <w:sz w:val="24"/>
                <w:szCs w:val="24"/>
                <w:lang w:val="x-none"/>
              </w:rPr>
              <w:t xml:space="preserve">Юридический адрес: </w:t>
            </w:r>
            <w:r>
              <w:rPr>
                <w:sz w:val="24"/>
                <w:szCs w:val="24"/>
              </w:rPr>
              <w:t>603140,Нижегородская обл., г.о. город Нижний Новгород, пер. Мотальный, д.8 помещ. ВП31,офис С1А</w:t>
            </w:r>
          </w:p>
          <w:p>
            <w:pPr>
              <w:pStyle w:val="Normal"/>
              <w:widowControl w:val="false"/>
              <w:rPr>
                <w:sz w:val="22"/>
                <w:szCs w:val="22"/>
                <w:lang w:val="x-none"/>
              </w:rPr>
            </w:pPr>
            <w:r>
              <w:rPr>
                <w:sz w:val="22"/>
                <w:szCs w:val="22"/>
                <w:lang w:val="x-none"/>
              </w:rPr>
              <w:t>Почтовый адрес: 445350, РФ, Самарская область, г. Жигулевск, а/я 44.</w:t>
            </w:r>
          </w:p>
          <w:p>
            <w:pPr>
              <w:pStyle w:val="Normal"/>
              <w:widowControl w:val="false"/>
              <w:rPr>
                <w:sz w:val="22"/>
                <w:szCs w:val="22"/>
              </w:rPr>
            </w:pPr>
            <w:r>
              <w:rPr>
                <w:sz w:val="22"/>
                <w:szCs w:val="22"/>
              </w:rPr>
              <w:t>Грузоп</w:t>
            </w:r>
            <w:r>
              <w:rPr>
                <w:sz w:val="22"/>
                <w:szCs w:val="22"/>
                <w:lang w:val="x-none"/>
              </w:rPr>
              <w:t xml:space="preserve">олучатель: </w:t>
            </w:r>
            <w:r>
              <w:rPr>
                <w:sz w:val="22"/>
                <w:szCs w:val="22"/>
              </w:rPr>
              <w:t>Жигулевский филиал АО «Гидроремонт-ВКК» в г. Жигулевск, 445351, РФ, Самарская область, г. Жигулевск, Жигулевская ГЭС</w:t>
            </w:r>
            <w:r>
              <w:rPr>
                <w:sz w:val="22"/>
                <w:szCs w:val="22"/>
                <w:lang w:val="x-none"/>
              </w:rPr>
              <w:t xml:space="preserve"> </w:t>
            </w:r>
            <w:r>
              <w:rPr>
                <w:sz w:val="22"/>
                <w:szCs w:val="22"/>
              </w:rPr>
              <w:br/>
              <w:t>ОГРН 1036301733005</w:t>
            </w:r>
          </w:p>
          <w:p>
            <w:pPr>
              <w:pStyle w:val="Normal"/>
              <w:widowControl w:val="false"/>
              <w:rPr>
                <w:sz w:val="22"/>
                <w:szCs w:val="22"/>
                <w:lang w:val="x-none"/>
              </w:rPr>
            </w:pPr>
            <w:r>
              <w:rPr>
                <w:sz w:val="22"/>
                <w:szCs w:val="22"/>
                <w:lang w:val="x-none"/>
              </w:rPr>
              <w:t>ИНН/КПП 6345012488/634543001</w:t>
            </w:r>
          </w:p>
          <w:p>
            <w:pPr>
              <w:pStyle w:val="Normal"/>
              <w:widowControl w:val="false"/>
              <w:rPr>
                <w:sz w:val="22"/>
                <w:szCs w:val="22"/>
              </w:rPr>
            </w:pPr>
            <w:r>
              <w:rPr>
                <w:sz w:val="22"/>
                <w:szCs w:val="22"/>
                <w:lang w:val="x-none"/>
              </w:rPr>
              <w:t xml:space="preserve">Наименование банка: </w:t>
            </w:r>
            <w:r>
              <w:rPr>
                <w:sz w:val="22"/>
                <w:szCs w:val="22"/>
              </w:rPr>
              <w:t>Банк ГПБ (АО) г Москва</w:t>
            </w:r>
          </w:p>
          <w:p>
            <w:pPr>
              <w:pStyle w:val="Normal"/>
              <w:widowControl w:val="false"/>
              <w:rPr>
                <w:sz w:val="22"/>
                <w:szCs w:val="22"/>
              </w:rPr>
            </w:pPr>
            <w:r>
              <w:rPr>
                <w:sz w:val="22"/>
                <w:szCs w:val="22"/>
              </w:rPr>
              <w:t>БИК 044525823, К/с № 30101810200000000823 в  ГУ Банка России по ЦФО</w:t>
            </w:r>
          </w:p>
          <w:p>
            <w:pPr>
              <w:pStyle w:val="Normal"/>
              <w:widowControl w:val="false"/>
              <w:rPr>
                <w:sz w:val="22"/>
                <w:szCs w:val="22"/>
              </w:rPr>
            </w:pPr>
            <w:r>
              <w:rPr>
                <w:sz w:val="22"/>
                <w:szCs w:val="22"/>
                <w:lang w:val="x-none"/>
              </w:rPr>
              <w:t xml:space="preserve">Расчетный счет № </w:t>
            </w:r>
            <w:r>
              <w:rPr>
                <w:sz w:val="22"/>
                <w:szCs w:val="22"/>
                <w:u w:val="single"/>
              </w:rPr>
              <w:t>40702810200000046755</w:t>
            </w:r>
          </w:p>
          <w:p>
            <w:pPr>
              <w:pStyle w:val="Normal"/>
              <w:widowControl w:val="false"/>
              <w:rPr>
                <w:sz w:val="22"/>
                <w:szCs w:val="22"/>
                <w:u w:val="single"/>
              </w:rPr>
            </w:pPr>
            <w:r>
              <w:rPr>
                <w:sz w:val="22"/>
                <w:szCs w:val="22"/>
                <w:u w:val="single"/>
                <w:lang w:val="en-US"/>
              </w:rPr>
              <w:t>E</w:t>
            </w:r>
            <w:r>
              <w:rPr>
                <w:sz w:val="22"/>
                <w:szCs w:val="22"/>
                <w:u w:val="single"/>
              </w:rPr>
              <w:t>-</w:t>
            </w:r>
            <w:r>
              <w:rPr>
                <w:sz w:val="22"/>
                <w:szCs w:val="22"/>
                <w:u w:val="single"/>
                <w:lang w:val="en-US"/>
              </w:rPr>
              <w:t>mail</w:t>
            </w:r>
            <w:r>
              <w:rPr>
                <w:sz w:val="22"/>
                <w:szCs w:val="22"/>
                <w:u w:val="single"/>
              </w:rPr>
              <w:t xml:space="preserve">: </w:t>
            </w:r>
            <w:hyperlink r:id="rId5">
              <w:r>
                <w:rPr>
                  <w:rStyle w:val="Hyperlink"/>
                </w:rPr>
                <w:t>zhigulevsk@rushydro.ru</w:t>
              </w:r>
            </w:hyperlink>
          </w:p>
          <w:p>
            <w:pPr>
              <w:pStyle w:val="Normal"/>
              <w:widowControl w:val="false"/>
              <w:rPr>
                <w:sz w:val="22"/>
                <w:szCs w:val="22"/>
              </w:rPr>
            </w:pPr>
            <w:r>
              <w:rPr>
                <w:sz w:val="22"/>
                <w:szCs w:val="22"/>
              </w:rPr>
              <w:t xml:space="preserve">Тел.: </w:t>
            </w:r>
            <w:r>
              <w:rPr>
                <w:sz w:val="22"/>
                <w:szCs w:val="22"/>
                <w:lang w:val="x-none"/>
              </w:rPr>
              <w:t>(84862) 71-6-91</w:t>
            </w:r>
          </w:p>
          <w:p>
            <w:pPr>
              <w:pStyle w:val="Normal"/>
              <w:widowControl w:val="false"/>
              <w:rPr>
                <w:sz w:val="22"/>
                <w:szCs w:val="22"/>
              </w:rPr>
            </w:pPr>
            <w:r>
              <w:rPr>
                <w:sz w:val="22"/>
                <w:szCs w:val="22"/>
              </w:rPr>
            </w:r>
          </w:p>
        </w:tc>
        <w:tc>
          <w:tcPr>
            <w:tcW w:w="4786" w:type="dxa"/>
            <w:tcBorders/>
          </w:tcPr>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rPr>
            </w:pPr>
            <w:r>
              <w:rPr>
                <w:sz w:val="22"/>
                <w:szCs w:val="22"/>
              </w:rPr>
              <w:t xml:space="preserve">Директор Жигулевского филиала </w:t>
              <w:br/>
              <w:t>АО «Гидроремонт-ВКК» в г. Жигулевск</w:t>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Голубцов И.А.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br/>
              <w:b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6"/>
          <w:footerReference w:type="even" r:id="rId7"/>
          <w:footerReference w:type="default" r:id="rId8"/>
          <w:footerReference w:type="first" r:id="rId9"/>
          <w:footnotePr>
            <w:numFmt w:val="decimal"/>
          </w:footnotePr>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rPr>
      </w:pPr>
      <w:r>
        <w:rPr>
          <w:b/>
          <w:sz w:val="24"/>
          <w:szCs w:val="24"/>
        </w:rPr>
        <w:t>Спецификация №__</w:t>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tbl>
      <w:tblPr>
        <w:tblW w:w="10632"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710"/>
        <w:gridCol w:w="852"/>
        <w:gridCol w:w="421"/>
        <w:gridCol w:w="1703"/>
        <w:gridCol w:w="1559"/>
        <w:gridCol w:w="708"/>
        <w:gridCol w:w="711"/>
        <w:gridCol w:w="849"/>
        <w:gridCol w:w="1701"/>
        <w:gridCol w:w="1417"/>
      </w:tblGrid>
      <w:tr>
        <w:trPr>
          <w:trHeight w:val="510"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27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bCs/>
                <w:sz w:val="22"/>
                <w:szCs w:val="22"/>
              </w:rPr>
            </w:pPr>
            <w:r>
              <w:rPr>
                <w:sz w:val="24"/>
                <w:szCs w:val="24"/>
              </w:rPr>
              <w:t>Страна происхождения Продукции / цифровой код страны</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273"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1703"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szCs w:val="24"/>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273"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1703"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5" w:hRule="atLeast"/>
        </w:trPr>
        <w:tc>
          <w:tcPr>
            <w:tcW w:w="156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b/>
                <w:sz w:val="22"/>
                <w:szCs w:val="24"/>
              </w:rPr>
            </w:pPr>
            <w:r>
              <w:rPr>
                <w:b/>
                <w:sz w:val="22"/>
                <w:szCs w:val="24"/>
              </w:rPr>
            </w:r>
          </w:p>
        </w:tc>
        <w:tc>
          <w:tcPr>
            <w:tcW w:w="7652"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5" w:hRule="atLeast"/>
        </w:trPr>
        <w:tc>
          <w:tcPr>
            <w:tcW w:w="156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sz w:val="22"/>
                <w:szCs w:val="24"/>
              </w:rPr>
            </w:pPr>
            <w:r>
              <w:rPr>
                <w:sz w:val="22"/>
                <w:szCs w:val="24"/>
              </w:rPr>
            </w:r>
          </w:p>
        </w:tc>
        <w:tc>
          <w:tcPr>
            <w:tcW w:w="7652"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18"/>
        </w:numPr>
        <w:tabs>
          <w:tab w:val="left" w:pos="720" w:leader="none"/>
        </w:tabs>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19"/>
        </w:numPr>
        <w:tabs>
          <w:tab w:val="left" w:pos="720" w:leader="none"/>
        </w:tabs>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0"/>
        </w:numPr>
        <w:tabs>
          <w:tab w:val="left" w:pos="720" w:leader="none"/>
        </w:tabs>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1"/>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BodyText"/>
        <w:spacing w:before="0" w:after="120"/>
        <w:ind w:firstLine="567"/>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p>
          <w:p>
            <w:pPr>
              <w:pStyle w:val="Style18"/>
              <w:widowControl w:val="false"/>
              <w:spacing w:before="0" w:after="120"/>
              <w:ind w:left="567" w:hanging="0"/>
              <w:rPr>
                <w:rFonts w:ascii="Times New Roman" w:hAnsi="Times New Roman"/>
                <w:sz w:val="24"/>
                <w:szCs w:val="24"/>
                <w:lang w:val="ru-RU"/>
              </w:rPr>
            </w:pPr>
            <w:r>
              <w:rPr>
                <w:rFonts w:ascii="Times New Roman" w:hAnsi="Times New Roman"/>
                <w:sz w:val="24"/>
                <w:szCs w:val="24"/>
                <w:lang w:val="ru-RU"/>
              </w:rPr>
              <w:t xml:space="preserve">Директор Жигулевского филиала </w:t>
              <w:br/>
              <w:t xml:space="preserve">АО «Гидроремонт-ВКК» в </w:t>
              <w:br/>
              <w:t>г. Жигулевск</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Голубцов И.А.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t>Приложение № 2</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jc w:val="center"/>
        <w:outlineLvl w:val="0"/>
        <w:rPr>
          <w:b/>
          <w:bCs/>
          <w:sz w:val="24"/>
          <w:szCs w:val="24"/>
        </w:rPr>
      </w:pPr>
      <w:r>
        <w:rPr>
          <w:b/>
          <w:bCs/>
          <w:sz w:val="24"/>
          <w:szCs w:val="24"/>
        </w:rPr>
        <w:t>ТЕХНИЧЕСКИЕ ТРЕБОВАНИЯ</w:t>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p>
          <w:p>
            <w:pPr>
              <w:pStyle w:val="Style18"/>
              <w:widowControl w:val="false"/>
              <w:spacing w:lineRule="auto" w:line="240" w:before="0" w:after="120"/>
              <w:ind w:left="567" w:hanging="0"/>
              <w:jc w:val="left"/>
              <w:rPr>
                <w:rFonts w:ascii="Times New Roman" w:hAnsi="Times New Roman"/>
                <w:sz w:val="24"/>
                <w:szCs w:val="24"/>
                <w:lang w:val="ru-RU"/>
              </w:rPr>
            </w:pPr>
            <w:r>
              <w:rPr>
                <w:rFonts w:ascii="Times New Roman" w:hAnsi="Times New Roman"/>
                <w:sz w:val="24"/>
                <w:szCs w:val="24"/>
              </w:rPr>
              <w:t>Д</w:t>
            </w:r>
            <w:r>
              <w:rPr>
                <w:rFonts w:ascii="Times New Roman" w:hAnsi="Times New Roman"/>
                <w:sz w:val="24"/>
                <w:szCs w:val="24"/>
                <w:lang w:val="ru-RU"/>
              </w:rPr>
              <w:t>иректор</w:t>
            </w:r>
            <w:bookmarkStart w:id="7" w:name="_GoBack"/>
            <w:bookmarkEnd w:id="7"/>
            <w:r>
              <w:rPr>
                <w:rFonts w:ascii="Times New Roman" w:hAnsi="Times New Roman"/>
                <w:sz w:val="24"/>
                <w:szCs w:val="24"/>
                <w:lang w:val="ru-RU"/>
              </w:rPr>
              <w:t xml:space="preserve"> Жигулевского филиала </w:t>
              <w:br/>
              <w:t xml:space="preserve">АО «Гидроремонт-ВКК» в </w:t>
              <w:br/>
              <w:t>г. Жигулевск</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Голубцов И.А.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r>
    </w:p>
    <w:sectPr>
      <w:headerReference w:type="default" r:id="rId10"/>
      <w:headerReference w:type="first" r:id="rId11"/>
      <w:footerReference w:type="even" r:id="rId12"/>
      <w:footerReference w:type="default" r:id="rId13"/>
      <w:footerReference w:type="first" r:id="rId14"/>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fillcolor="white" stroked="f" o:allowincell="f" style="position:absolute;margin-left:457.65pt;margin-top:0.05pt;width:10pt;height:11.4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fillcolor="white" stroked="f" o:allowincell="f" style="position:absolute;margin-left:457.65pt;margin-top:0.05pt;width:10pt;height:11.4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4">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fillcolor="white" stroked="f" o:allowincell="f" style="position:absolute;margin-left:457.65pt;margin-top:0.05pt;width:10pt;height:11.4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4">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fillcolor="white" stroked="f" o:allowincell="f" style="position:absolute;margin-left:457.65pt;margin-top:0.05pt;width:10pt;height:11.4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txbxContent>
              </v:textbox>
              <w10:wrap type="square"/>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9">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1">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6"/>
    <w:lvlOverride w:ilvl="0">
      <w:startOverride w:val="1"/>
    </w:lvlOverride>
  </w:num>
  <w:num w:numId="19">
    <w:abstractNumId w:val="16"/>
  </w:num>
  <w:num w:numId="20">
    <w:abstractNumId w:val="16"/>
  </w:num>
  <w:num w:numId="21">
    <w:abstractNumId w:val="16"/>
  </w:num>
</w:numbering>
</file>

<file path=word/settings.xml><?xml version="1.0" encoding="utf-8"?>
<w:settings xmlns:w="http://schemas.openxmlformats.org/wordprocessingml/2006/main">
  <w:zoom w:percent="100"/>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uiPriority w:val="99"/>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b11d27"/>
    <w:rPr/>
  </w:style>
  <w:style w:type="character" w:styleId="1" w:customStyle="1">
    <w:name w:val="1. Статья Знак"/>
    <w:link w:val="12"/>
    <w:qFormat/>
    <w:rsid w:val="00b11d27"/>
    <w:rPr>
      <w:sz w:val="24"/>
      <w:szCs w:val="24"/>
      <w:lang w:val="x-none" w:eastAsia="x-none"/>
    </w:rPr>
  </w:style>
  <w:style w:type="character" w:styleId="Style13">
    <w:name w:val="Символ концевой сноски"/>
    <w:qFormat/>
    <w:rPr/>
  </w:style>
  <w:style w:type="character" w:styleId="EndnoteReference">
    <w:name w:val="Endnote Reference"/>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11"/>
      </w:numPr>
      <w:tabs>
        <w:tab w:val="left" w:pos="0" w:leader="none"/>
        <w:tab w:val="left" w:pos="2340" w:leader="none"/>
      </w:tabs>
      <w:overflowPunct w:val="fals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1"/>
      </w:numPr>
      <w:overflowPunct w:val="fals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1"/>
      </w:numPr>
      <w:tabs>
        <w:tab w:val="left" w:pos="0" w:leader="none"/>
        <w:tab w:val="left" w:pos="1620" w:leader="none"/>
      </w:tabs>
      <w:overflowPunct w:val="false"/>
      <w:jc w:val="both"/>
      <w:textAlignment w:val="baseline"/>
    </w:pPr>
    <w:rPr>
      <w:bCs/>
      <w:sz w:val="24"/>
      <w:szCs w:val="24"/>
      <w:lang w:val="x-none" w:eastAsia="x-none"/>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zhigulevsk@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8D959-19C3-46D3-A03D-0EEB6B0CC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Application>AlterOffice/3.4.0.9$Linux_X86_64 LibreOffice_project/b8daf9e823b1a5463a2f48435ddc2e8696e7d4fc</Application>
  <AppVersion>15.0000</AppVersion>
  <Pages>20</Pages>
  <Words>6699</Words>
  <Characters>47612</Characters>
  <CharactersWithSpaces>53934</CharactersWithSpaces>
  <Paragraphs>350</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2023-04-12T07:01:00Z</dcterms:created>
  <dc:creator>Света &amp; Алла (Twix)</dc:creator>
  <dc:description/>
  <dc:language>ru-RU</dc:language>
  <cp:lastModifiedBy>filatovaey@corp.gidroogk.com</cp:lastModifiedBy>
  <cp:lastPrinted>2017-11-07T14:48:00Z</cp:lastPrinted>
  <dcterms:modified xsi:type="dcterms:W3CDTF">2026-02-12T14:15:10Z</dcterms:modified>
  <cp:revision>51</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