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numbering.xml" ContentType="application/vnd.openxmlformats-officedocument.wordprocessingml.numbering+xml"/>
  <Override PartName="/word/footer4.xml" ContentType="application/vnd.openxmlformats-officedocument.wordprocessingml.footer+xml"/>
  <Override PartName="/word/theme/theme1.xml" ContentType="application/vnd.openxmlformats-officedocument.theme+xml"/>
  <Override PartName="/word/styles.xml" ContentType="application/vnd.openxmlformats-officedocument.wordprocessingml.styles+xml"/>
  <Override PartName="/word/header1.xml" ContentType="application/vnd.openxmlformats-officedocument.wordprocessingml.header+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header2.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header3.xml" ContentType="application/vnd.openxmlformats-officedocument.wordprocessingml.header+xml"/>
  <Override PartName="/word/fontTable.xml" ContentType="application/vnd.openxmlformats-officedocument.wordprocessingml.fontTable+xml"/>
  <Override PartName="/word/footer3.xml" ContentType="application/vnd.openxmlformats-officedocument.wordprocessingml.footer+xml"/>
  <Override PartName="/word/header4.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hd w:val="clear" w:color="auto" w:fill="FFFFFF"/>
        <w:tabs>
          <w:tab w:val="clear" w:pos="709"/>
          <w:tab w:val="left" w:pos="3148" w:leader="none"/>
          <w:tab w:val="center" w:pos="4818" w:leader="none"/>
          <w:tab w:val="left" w:pos="6926" w:leader="none"/>
        </w:tabs>
        <w:spacing w:lineRule="auto" w:line="240"/>
        <w:ind w:hanging="0"/>
        <w:jc w:val="center"/>
        <w:rPr>
          <w:b/>
          <w:b/>
          <w:sz w:val="24"/>
          <w:szCs w:val="24"/>
        </w:rPr>
      </w:pPr>
      <w:r>
        <w:rPr>
          <w:b/>
          <w:bCs/>
          <w:color w:val="000000"/>
          <w:sz w:val="24"/>
          <w:szCs w:val="24"/>
        </w:rPr>
        <w:t>Договор субподряда № ____</w:t>
      </w:r>
    </w:p>
    <w:p>
      <w:pPr>
        <w:pStyle w:val="Normal"/>
        <w:shd w:val="clear" w:color="auto" w:fill="FFFFFF"/>
        <w:spacing w:lineRule="auto" w:line="240"/>
        <w:ind w:hanging="0"/>
        <w:rPr>
          <w:b/>
          <w:b/>
          <w:bCs/>
          <w:color w:val="000000"/>
          <w:sz w:val="24"/>
          <w:szCs w:val="24"/>
        </w:rPr>
      </w:pPr>
      <w:r>
        <w:rPr>
          <w:b/>
          <w:bCs/>
          <w:color w:val="000000"/>
          <w:sz w:val="24"/>
          <w:szCs w:val="24"/>
        </w:rPr>
      </w:r>
    </w:p>
    <w:p>
      <w:pPr>
        <w:pStyle w:val="Normal"/>
        <w:shd w:val="clear" w:color="auto" w:fill="FFFFFF"/>
        <w:tabs>
          <w:tab w:val="clear" w:pos="709"/>
          <w:tab w:val="right" w:pos="993" w:leader="none"/>
        </w:tabs>
        <w:spacing w:lineRule="auto" w:line="240"/>
        <w:ind w:hanging="0"/>
        <w:rPr>
          <w:bCs/>
          <w:color w:val="000000"/>
          <w:sz w:val="24"/>
          <w:szCs w:val="24"/>
        </w:rPr>
      </w:pPr>
      <w:r>
        <w:rPr>
          <w:bCs/>
          <w:color w:val="000000"/>
          <w:sz w:val="24"/>
          <w:szCs w:val="24"/>
        </w:rPr>
        <w:t xml:space="preserve">г. Санкт-Петербург </w:t>
        <w:tab/>
        <w:tab/>
        <w:tab/>
        <w:tab/>
        <w:tab/>
        <w:tab/>
        <w:t xml:space="preserve">                    </w:t>
      </w:r>
      <w:r>
        <w:rPr>
          <w:bCs/>
          <w:sz w:val="24"/>
          <w:szCs w:val="24"/>
        </w:rPr>
        <w:t>«___» ___________ 2026 г.</w:t>
      </w:r>
    </w:p>
    <w:p>
      <w:pPr>
        <w:pStyle w:val="Normal"/>
        <w:shd w:val="clear" w:color="auto" w:fill="FFFFFF"/>
        <w:tabs>
          <w:tab w:val="clear" w:pos="709"/>
          <w:tab w:val="right" w:pos="9639" w:leader="none"/>
        </w:tabs>
        <w:spacing w:lineRule="auto" w:line="240"/>
        <w:ind w:hanging="0"/>
        <w:rPr>
          <w:bCs/>
          <w:color w:val="000000"/>
          <w:sz w:val="24"/>
          <w:szCs w:val="24"/>
        </w:rPr>
      </w:pPr>
      <w:r>
        <w:rPr>
          <w:bCs/>
          <w:color w:val="000000"/>
          <w:sz w:val="24"/>
          <w:szCs w:val="24"/>
        </w:rPr>
      </w:r>
    </w:p>
    <w:p>
      <w:pPr>
        <w:pStyle w:val="BodyText3"/>
        <w:ind w:firstLine="708"/>
        <w:rPr>
          <w:color w:val="auto"/>
        </w:rPr>
      </w:pPr>
      <w:r>
        <w:rPr>
          <w:b/>
          <w:color w:val="auto"/>
        </w:rPr>
        <w:t>Акционерное общество «Всероссийский научно-исследовательский институт гидротехники имени Б.Е. Веденеева» (АО «ВНИИГ им. Б.Е. Веденеева»)</w:t>
      </w:r>
      <w:r>
        <w:rPr>
          <w:b/>
          <w:color w:val="auto"/>
          <w:lang w:val="ru-RU"/>
        </w:rPr>
        <w:t xml:space="preserve">, </w:t>
      </w:r>
      <w:r>
        <w:rPr>
          <w:color w:val="auto"/>
        </w:rPr>
        <w:t xml:space="preserve">  (далее – «Генподрядч</w:t>
      </w:r>
      <w:r>
        <w:rPr>
          <w:color w:val="000000"/>
          <w:shd w:fill="auto" w:val="clear"/>
        </w:rPr>
        <w:t xml:space="preserve">ик»), в лице _______________ действующего на основании ______________, с одной стороны, и </w:t>
      </w:r>
    </w:p>
    <w:p>
      <w:pPr>
        <w:pStyle w:val="BodyText3"/>
        <w:ind w:firstLine="708"/>
        <w:rPr>
          <w:shd w:fill="auto" w:val="clear"/>
        </w:rPr>
      </w:pPr>
      <w:r>
        <w:rPr>
          <w:color w:val="000000"/>
          <w:shd w:fill="auto" w:val="clear"/>
        </w:rPr>
        <w:t xml:space="preserve">________________________ (далее – «Субподрядчик»), в лице ________________, действующего на основании ______________, с другой стороны, </w:t>
      </w:r>
    </w:p>
    <w:p>
      <w:pPr>
        <w:pStyle w:val="BodyText3"/>
        <w:rPr>
          <w:shd w:fill="auto" w:val="clear"/>
        </w:rPr>
      </w:pPr>
      <w:r>
        <w:rPr>
          <w:color w:val="000000"/>
          <w:shd w:fill="auto" w:val="clear"/>
        </w:rPr>
        <w:t>совместно в дальнейшем именуемые «Стороны», а по отдельности – «Сторона», заключили настоящий договор (далее – «Договор») о нижеследующем:</w:t>
      </w:r>
    </w:p>
    <w:p>
      <w:pPr>
        <w:pStyle w:val="ListParagraph"/>
        <w:shd w:val="clear" w:color="auto" w:fill="FFFFFF"/>
        <w:tabs>
          <w:tab w:val="clear" w:pos="709"/>
          <w:tab w:val="left" w:pos="284" w:leader="none"/>
        </w:tabs>
        <w:ind w:left="0" w:hanging="0"/>
        <w:jc w:val="center"/>
        <w:rPr>
          <w:b/>
          <w:b/>
          <w:bCs/>
        </w:rPr>
      </w:pPr>
      <w:r>
        <w:rPr>
          <w:b/>
          <w:bCs/>
        </w:rPr>
      </w:r>
    </w:p>
    <w:p>
      <w:pPr>
        <w:pStyle w:val="ListParagraph"/>
        <w:shd w:val="clear" w:color="auto" w:fill="FFFFFF"/>
        <w:tabs>
          <w:tab w:val="clear" w:pos="709"/>
          <w:tab w:val="left" w:pos="284" w:leader="none"/>
        </w:tabs>
        <w:ind w:left="0" w:hanging="0"/>
        <w:jc w:val="center"/>
        <w:rPr>
          <w:b/>
          <w:b/>
          <w:bCs/>
        </w:rPr>
      </w:pPr>
      <w:r>
        <w:rPr>
          <w:b/>
          <w:bCs/>
        </w:rPr>
        <w:t>Термины и определения</w:t>
      </w:r>
    </w:p>
    <w:p>
      <w:pPr>
        <w:pStyle w:val="BodyText3"/>
        <w:ind w:firstLine="708"/>
        <w:rPr>
          <w:color w:val="auto"/>
          <w:lang w:val="ru-RU"/>
        </w:rPr>
      </w:pPr>
      <w:r>
        <w:rPr>
          <w:color w:val="auto"/>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widowControl w:val="false"/>
        <w:shd w:val="clear" w:color="auto" w:fill="FFFFFF"/>
        <w:tabs>
          <w:tab w:val="clear" w:pos="709"/>
          <w:tab w:val="left" w:pos="567" w:leader="none"/>
          <w:tab w:val="left" w:pos="1134" w:leader="none"/>
        </w:tabs>
        <w:ind w:left="0" w:firstLine="708"/>
        <w:jc w:val="both"/>
        <w:rPr>
          <w:lang w:eastAsia="en-US"/>
        </w:rPr>
      </w:pPr>
      <w:r>
        <w:rPr>
          <w:b/>
          <w:lang w:eastAsia="en-US"/>
        </w:rPr>
        <w:t>«Договор»</w:t>
      </w:r>
      <w:r>
        <w:rPr>
          <w:lang w:eastAsia="en-US"/>
        </w:rPr>
        <w:t xml:space="preserve"> – настоящий договор, подписанный Генподрядчиком и Субподрядчиком,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widowControl w:val="false"/>
        <w:shd w:val="clear" w:color="auto" w:fill="FFFFFF"/>
        <w:tabs>
          <w:tab w:val="clear" w:pos="709"/>
          <w:tab w:val="left" w:pos="567" w:leader="none"/>
          <w:tab w:val="left" w:pos="1134" w:leader="none"/>
        </w:tabs>
        <w:ind w:left="0" w:firstLine="709"/>
        <w:jc w:val="both"/>
        <w:rPr>
          <w:lang w:eastAsia="en-US"/>
        </w:rPr>
      </w:pPr>
      <w:r>
        <w:rPr>
          <w:b/>
          <w:lang w:eastAsia="en-US"/>
        </w:rPr>
        <w:t>«Исходно-разрешительная документация»</w:t>
      </w:r>
      <w:r>
        <w:rPr>
          <w:lang w:eastAsia="en-US"/>
        </w:rPr>
        <w:t xml:space="preserve"> – совокупность документов, оформляемых в соответствии с требованиями Применимого права с участием компетентных органов государственной власти и местного самоуправления и / или других организаций для проведения Инженерных изысканий и обеспечения разработки Проектной документации. </w:t>
      </w:r>
    </w:p>
    <w:p>
      <w:pPr>
        <w:pStyle w:val="Normal"/>
        <w:widowControl w:val="false"/>
        <w:shd w:val="clear" w:color="auto" w:fill="FFFFFF"/>
        <w:tabs>
          <w:tab w:val="clear" w:pos="709"/>
          <w:tab w:val="left" w:pos="567" w:leader="none"/>
          <w:tab w:val="left" w:pos="1134" w:leader="none"/>
        </w:tabs>
        <w:spacing w:lineRule="auto" w:line="240"/>
        <w:ind w:firstLine="709"/>
        <w:rPr>
          <w:sz w:val="24"/>
          <w:szCs w:val="24"/>
          <w:lang w:eastAsia="en-US"/>
        </w:rPr>
      </w:pPr>
      <w:r>
        <w:rPr>
          <w:sz w:val="24"/>
          <w:szCs w:val="24"/>
          <w:lang w:eastAsia="en-US"/>
        </w:rPr>
        <w:t>К Исходно-разрешительной документации относятся:</w:t>
      </w:r>
    </w:p>
    <w:p>
      <w:pPr>
        <w:pStyle w:val="ListParagraph"/>
        <w:widowControl w:val="false"/>
        <w:numPr>
          <w:ilvl w:val="0"/>
          <w:numId w:val="16"/>
        </w:numPr>
        <w:shd w:val="clear" w:color="auto" w:fill="FFFFFF"/>
        <w:tabs>
          <w:tab w:val="clear" w:pos="709"/>
          <w:tab w:val="left" w:pos="567" w:leader="none"/>
          <w:tab w:val="left" w:pos="1134" w:leader="none"/>
        </w:tabs>
        <w:ind w:left="0" w:firstLine="709"/>
        <w:jc w:val="both"/>
        <w:rPr>
          <w:lang w:eastAsia="en-US"/>
        </w:rPr>
      </w:pPr>
      <w:r>
        <w:rPr>
          <w:lang w:eastAsia="en-US"/>
        </w:rPr>
        <w:t xml:space="preserve">документы в отношении земельных участков, необходимых для строительства / реконструкции проектируемых объектов капитального строительства (включая документы территориального планирования, документы кадастрового учета и т.п.);  </w:t>
      </w:r>
    </w:p>
    <w:p>
      <w:pPr>
        <w:pStyle w:val="ListParagraph"/>
        <w:widowControl w:val="false"/>
        <w:numPr>
          <w:ilvl w:val="0"/>
          <w:numId w:val="16"/>
        </w:numPr>
        <w:shd w:val="clear" w:color="auto" w:fill="FFFFFF"/>
        <w:tabs>
          <w:tab w:val="clear" w:pos="709"/>
          <w:tab w:val="left" w:pos="567" w:leader="none"/>
          <w:tab w:val="left" w:pos="1134" w:leader="none"/>
        </w:tabs>
        <w:ind w:left="0" w:firstLine="709"/>
        <w:jc w:val="both"/>
        <w:rPr>
          <w:lang w:eastAsia="en-US"/>
        </w:rPr>
      </w:pPr>
      <w:r>
        <w:rPr>
          <w:lang w:eastAsia="en-US"/>
        </w:rPr>
        <w:t>технические условия на подключение к инженерным сетям и / или коммуникациям;</w:t>
      </w:r>
    </w:p>
    <w:p>
      <w:pPr>
        <w:pStyle w:val="ListParagraph"/>
        <w:widowControl w:val="false"/>
        <w:numPr>
          <w:ilvl w:val="0"/>
          <w:numId w:val="16"/>
        </w:numPr>
        <w:shd w:val="clear" w:color="auto" w:fill="FFFFFF"/>
        <w:tabs>
          <w:tab w:val="clear" w:pos="709"/>
          <w:tab w:val="left" w:pos="567" w:leader="none"/>
          <w:tab w:val="left" w:pos="1134" w:leader="none"/>
        </w:tabs>
        <w:ind w:left="0" w:firstLine="709"/>
        <w:jc w:val="both"/>
        <w:rPr>
          <w:lang w:eastAsia="en-US"/>
        </w:rPr>
      </w:pPr>
      <w:r>
        <w:rPr>
          <w:lang w:eastAsia="en-US"/>
        </w:rPr>
        <w:t>технические условия на вынос / переустройство наземных и подземных инженерных сетей и / или коммуникаций с территории застройки земельного участка;</w:t>
      </w:r>
    </w:p>
    <w:p>
      <w:pPr>
        <w:pStyle w:val="ListParagraph"/>
        <w:widowControl w:val="false"/>
        <w:numPr>
          <w:ilvl w:val="0"/>
          <w:numId w:val="16"/>
        </w:numPr>
        <w:shd w:val="clear" w:color="auto" w:fill="FFFFFF"/>
        <w:tabs>
          <w:tab w:val="clear" w:pos="709"/>
          <w:tab w:val="left" w:pos="567" w:leader="none"/>
          <w:tab w:val="left" w:pos="1134" w:leader="none"/>
        </w:tabs>
        <w:ind w:left="0" w:firstLine="709"/>
        <w:jc w:val="both"/>
        <w:rPr>
          <w:lang w:eastAsia="en-US"/>
        </w:rPr>
      </w:pPr>
      <w:r>
        <w:rPr>
          <w:lang w:eastAsia="en-US"/>
        </w:rPr>
        <w:t>разрешительные и / или распорядительные документы;</w:t>
      </w:r>
    </w:p>
    <w:p>
      <w:pPr>
        <w:pStyle w:val="ListParagraph"/>
        <w:widowControl w:val="false"/>
        <w:numPr>
          <w:ilvl w:val="0"/>
          <w:numId w:val="16"/>
        </w:numPr>
        <w:shd w:val="clear" w:color="auto" w:fill="FFFFFF"/>
        <w:tabs>
          <w:tab w:val="clear" w:pos="709"/>
          <w:tab w:val="left" w:pos="567" w:leader="none"/>
          <w:tab w:val="left" w:pos="1134" w:leader="none"/>
        </w:tabs>
        <w:ind w:left="0" w:firstLine="709"/>
        <w:jc w:val="both"/>
        <w:rPr>
          <w:lang w:eastAsia="en-US"/>
        </w:rPr>
      </w:pPr>
      <w:r>
        <w:rPr>
          <w:lang w:eastAsia="en-US"/>
        </w:rPr>
        <w:t>справки, заключения, согласования.</w:t>
      </w:r>
    </w:p>
    <w:p>
      <w:pPr>
        <w:pStyle w:val="ListParagraph"/>
        <w:widowControl w:val="false"/>
        <w:shd w:val="clear" w:color="auto" w:fill="FFFFFF"/>
        <w:tabs>
          <w:tab w:val="clear" w:pos="709"/>
          <w:tab w:val="left" w:pos="567" w:leader="none"/>
          <w:tab w:val="left" w:pos="1134" w:leader="none"/>
        </w:tabs>
        <w:ind w:left="0" w:firstLine="708"/>
        <w:jc w:val="both"/>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иную коммерческую выгоду. </w:t>
      </w:r>
    </w:p>
    <w:p>
      <w:pPr>
        <w:pStyle w:val="ListParagraph"/>
        <w:widowControl w:val="false"/>
        <w:shd w:val="clear" w:color="auto" w:fill="FFFFFF"/>
        <w:tabs>
          <w:tab w:val="clear" w:pos="709"/>
          <w:tab w:val="left" w:pos="567" w:leader="none"/>
          <w:tab w:val="left" w:pos="1134" w:leader="none"/>
        </w:tabs>
        <w:ind w:left="0" w:firstLine="708"/>
        <w:jc w:val="both"/>
        <w:rPr>
          <w:lang w:eastAsia="en-US"/>
        </w:rPr>
      </w:pPr>
      <w:r>
        <w:rPr>
          <w:b/>
          <w:lang w:eastAsia="en-US"/>
        </w:rPr>
        <w:t>«Лимит на непредвиденные работы и затраты»</w:t>
      </w:r>
      <w:r>
        <w:rPr>
          <w:lang w:eastAsia="en-US"/>
        </w:rPr>
        <w:t xml:space="preserve"> – резерв средств на работы </w:t>
        <w:br/>
        <w:t xml:space="preserve">и затраты, предназначенный для возмещения стоимости работ и затрат, потребность </w:t>
        <w:br/>
        <w:t>в которых возникает у Субподрядчика в процессе выполнения Работ по Договору в результате уточнения проектных решений и / или условий выполнения Работ.</w:t>
      </w:r>
    </w:p>
    <w:p>
      <w:pPr>
        <w:pStyle w:val="ListParagraph"/>
        <w:widowControl w:val="false"/>
        <w:shd w:val="clear" w:color="auto" w:fill="FFFFFF"/>
        <w:tabs>
          <w:tab w:val="clear" w:pos="709"/>
          <w:tab w:val="left" w:pos="567" w:leader="none"/>
          <w:tab w:val="left" w:pos="1134" w:leader="none"/>
        </w:tabs>
        <w:ind w:left="0" w:firstLine="708"/>
        <w:jc w:val="both"/>
        <w:rPr>
          <w:lang w:eastAsia="en-US"/>
        </w:rPr>
      </w:pPr>
      <w:r>
        <w:rPr>
          <w:b/>
          <w:lang w:eastAsia="en-US"/>
        </w:rPr>
        <w:t xml:space="preserve"> </w:t>
      </w: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Normal"/>
        <w:spacing w:lineRule="auto" w:line="240"/>
        <w:ind w:firstLine="709"/>
        <w:rPr>
          <w:sz w:val="24"/>
          <w:szCs w:val="24"/>
        </w:rPr>
      </w:pPr>
      <w:r>
        <w:rPr>
          <w:b/>
          <w:sz w:val="24"/>
          <w:szCs w:val="24"/>
        </w:rPr>
        <w:t xml:space="preserve"> </w:t>
      </w:r>
      <w:r>
        <w:rPr>
          <w:b/>
          <w:sz w:val="24"/>
          <w:szCs w:val="24"/>
        </w:rPr>
        <w:t>«Предварительная смета»</w:t>
      </w:r>
      <w:r>
        <w:rPr>
          <w:sz w:val="24"/>
          <w:szCs w:val="24"/>
        </w:rPr>
        <w:t xml:space="preserve"> </w:t>
      </w:r>
      <w:r>
        <w:rPr>
          <w:sz w:val="24"/>
          <w:szCs w:val="24"/>
          <w:lang w:eastAsia="en-US"/>
        </w:rPr>
        <w:t>–</w:t>
      </w:r>
      <w:r>
        <w:rPr>
          <w:sz w:val="24"/>
          <w:szCs w:val="24"/>
        </w:rPr>
        <w:t xml:space="preserve"> </w:t>
      </w:r>
      <w:r>
        <w:rPr>
          <w:color w:val="000000"/>
          <w:sz w:val="24"/>
          <w:szCs w:val="24"/>
        </w:rPr>
        <w:t>сметный расчет стоимости планируемых изыскательских работ, составляемый на основе технического задания Генподрядчика и программы изысканий в соответствии с действующим порядком ценообразования в инженерных изысканиях, составленный с применением сметных нормативов, сведения о которых включены в Федеральный реестр сметных нормативов, подлежащих применению при определении сметной стоимости объектов капитального строительства, строительство которых финансируется с привлечением средств федерального бюджета,</w:t>
      </w:r>
      <w:r>
        <w:rPr/>
        <w:t xml:space="preserve"> </w:t>
      </w:r>
      <w:r>
        <w:rPr>
          <w:color w:val="000000"/>
          <w:sz w:val="24"/>
          <w:szCs w:val="24"/>
        </w:rPr>
        <w:t>и подлежащий корректировке в соответствии с фактически выполненными объемами работ.</w:t>
      </w:r>
    </w:p>
    <w:p>
      <w:pPr>
        <w:pStyle w:val="3"/>
        <w:keepNext w:val="false"/>
        <w:widowControl w:val="false"/>
        <w:tabs>
          <w:tab w:val="clear" w:pos="709"/>
          <w:tab w:val="left" w:pos="567" w:leader="none"/>
        </w:tabs>
        <w:spacing w:before="0" w:after="0"/>
        <w:ind w:firstLine="708"/>
        <w:jc w:val="both"/>
        <w:rPr>
          <w:b w:val="false"/>
          <w:b w:val="false"/>
          <w:sz w:val="24"/>
          <w:szCs w:val="24"/>
          <w:lang w:val="ru-RU" w:eastAsia="en-US"/>
        </w:rPr>
      </w:pPr>
      <w:r>
        <w:rPr>
          <w:sz w:val="24"/>
          <w:szCs w:val="24"/>
          <w:lang w:val="ru-RU" w:eastAsia="en-US"/>
        </w:rPr>
        <w:t>«Применимое право»</w:t>
      </w:r>
      <w:r>
        <w:rPr>
          <w:b w:val="false"/>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а также строительные нормы и правила (СНиП), методическая документация в строительстве (МДС), руководящие документы (РД), своды правил по проектированию и строительству (СП), технические регламенты, национальные стандарты (ГОСТ Р), иные нормативно-правовые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производства работ и охраны труда персонала, относящиеся к Работам.</w:t>
      </w:r>
    </w:p>
    <w:p>
      <w:pPr>
        <w:pStyle w:val="3"/>
        <w:keepNext w:val="false"/>
        <w:widowControl w:val="false"/>
        <w:tabs>
          <w:tab w:val="clear" w:pos="709"/>
          <w:tab w:val="left" w:pos="567" w:leader="none"/>
        </w:tabs>
        <w:spacing w:before="0" w:after="0"/>
        <w:ind w:firstLine="708"/>
        <w:jc w:val="both"/>
        <w:rPr>
          <w:b w:val="false"/>
          <w:b w:val="false"/>
          <w:sz w:val="24"/>
          <w:szCs w:val="24"/>
          <w:lang w:val="ru-RU" w:eastAsia="en-US"/>
        </w:rPr>
      </w:pPr>
      <w:r>
        <w:rPr>
          <w:sz w:val="24"/>
          <w:szCs w:val="24"/>
          <w:lang w:val="ru-RU" w:eastAsia="en-US"/>
        </w:rPr>
        <w:t>«Проектная документация»</w:t>
      </w:r>
      <w:r>
        <w:rPr>
          <w:b w:val="false"/>
          <w:sz w:val="24"/>
          <w:szCs w:val="24"/>
          <w:lang w:val="ru-RU"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реконструкции, модернизации, технического перевооружения объектов капитального строительства, их частей. </w:t>
      </w:r>
    </w:p>
    <w:p>
      <w:pPr>
        <w:pStyle w:val="3"/>
        <w:keepNext w:val="false"/>
        <w:widowControl w:val="false"/>
        <w:tabs>
          <w:tab w:val="clear" w:pos="709"/>
          <w:tab w:val="left" w:pos="567" w:leader="none"/>
        </w:tabs>
        <w:spacing w:before="0" w:after="0"/>
        <w:ind w:firstLine="708"/>
        <w:jc w:val="both"/>
        <w:rPr>
          <w:b w:val="false"/>
          <w:b w:val="false"/>
          <w:sz w:val="24"/>
          <w:szCs w:val="24"/>
          <w:lang w:val="ru-RU" w:eastAsia="en-US"/>
        </w:rPr>
      </w:pPr>
      <w:r>
        <w:rPr>
          <w:b w:val="false"/>
          <w:sz w:val="24"/>
          <w:szCs w:val="24"/>
          <w:lang w:val="ru-RU" w:eastAsia="en-US"/>
        </w:rPr>
        <w:t xml:space="preserve">Состав разделов Проектной документации определяется Применимым правом. </w:t>
      </w:r>
    </w:p>
    <w:p>
      <w:pPr>
        <w:pStyle w:val="3"/>
        <w:keepNext w:val="false"/>
        <w:widowControl w:val="false"/>
        <w:tabs>
          <w:tab w:val="clear" w:pos="709"/>
          <w:tab w:val="left" w:pos="567" w:leader="none"/>
        </w:tabs>
        <w:spacing w:before="0" w:after="0"/>
        <w:ind w:firstLine="708"/>
        <w:jc w:val="both"/>
        <w:rPr>
          <w:b w:val="false"/>
          <w:b w:val="false"/>
          <w:sz w:val="24"/>
          <w:szCs w:val="24"/>
          <w:lang w:val="ru-RU" w:eastAsia="en-US"/>
        </w:rPr>
      </w:pPr>
      <w:r>
        <w:rPr>
          <w:b w:val="false"/>
          <w:sz w:val="24"/>
          <w:szCs w:val="24"/>
          <w:lang w:val="ru-RU" w:eastAsia="en-US"/>
        </w:rPr>
        <w:t>В состав Проектной документации может включаться также иная документация, необходимая для выполнения Работ и эксплуатации объекта капитального строительства, разработанная, в том числе, на основании Технического задания Генподрядчика.</w:t>
      </w:r>
    </w:p>
    <w:p>
      <w:pPr>
        <w:pStyle w:val="3"/>
        <w:keepNext w:val="false"/>
        <w:widowControl w:val="false"/>
        <w:tabs>
          <w:tab w:val="clear" w:pos="709"/>
          <w:tab w:val="left" w:pos="567" w:leader="none"/>
        </w:tabs>
        <w:spacing w:before="0" w:after="0"/>
        <w:ind w:firstLine="708"/>
        <w:jc w:val="both"/>
        <w:rPr>
          <w:sz w:val="24"/>
          <w:szCs w:val="24"/>
          <w:lang w:eastAsia="ru-RU"/>
        </w:rPr>
      </w:pPr>
      <w:r>
        <w:rPr>
          <w:sz w:val="24"/>
          <w:szCs w:val="24"/>
          <w:lang w:val="ru-RU" w:eastAsia="en-US"/>
        </w:rPr>
        <w:t>«Работы»</w:t>
      </w:r>
      <w:r>
        <w:rPr>
          <w:b w:val="false"/>
          <w:sz w:val="24"/>
          <w:szCs w:val="24"/>
          <w:lang w:val="ru-RU" w:eastAsia="en-US"/>
        </w:rPr>
        <w:t xml:space="preserve"> – все выполняемые Субподрядчиком на свой риск, с использованием своих и / или привлеченных за свой счет сил и средств (оборудования, инструмента), в соответствии с условиями Договора и Применимым правом работы, в том числе: работы по исправлению</w:t>
      </w:r>
      <w:r>
        <w:rPr>
          <w:sz w:val="24"/>
          <w:szCs w:val="24"/>
          <w:lang w:eastAsia="ru-RU"/>
        </w:rPr>
        <w:t xml:space="preserve"> </w:t>
      </w:r>
      <w:r>
        <w:rPr>
          <w:b w:val="false"/>
          <w:sz w:val="24"/>
          <w:szCs w:val="24"/>
          <w:lang w:val="ru-RU" w:eastAsia="ru-RU"/>
        </w:rPr>
        <w:t>выявленных</w:t>
      </w:r>
      <w:r>
        <w:rPr>
          <w:sz w:val="24"/>
          <w:szCs w:val="24"/>
          <w:lang w:val="ru-RU" w:eastAsia="ru-RU"/>
        </w:rPr>
        <w:t xml:space="preserve"> </w:t>
      </w:r>
      <w:r>
        <w:rPr>
          <w:b w:val="false"/>
          <w:sz w:val="24"/>
          <w:szCs w:val="24"/>
          <w:lang w:eastAsia="ru-RU"/>
        </w:rPr>
        <w:t>недостатков, несоответстви</w:t>
      </w:r>
      <w:r>
        <w:rPr>
          <w:b w:val="false"/>
          <w:sz w:val="24"/>
          <w:szCs w:val="24"/>
          <w:lang w:val="ru-RU" w:eastAsia="ru-RU"/>
        </w:rPr>
        <w:t>й</w:t>
      </w:r>
      <w:r>
        <w:rPr>
          <w:b w:val="false"/>
          <w:sz w:val="24"/>
          <w:szCs w:val="24"/>
          <w:lang w:eastAsia="ru-RU"/>
        </w:rPr>
        <w:t xml:space="preserve"> в </w:t>
      </w:r>
      <w:r>
        <w:rPr>
          <w:b w:val="false"/>
          <w:sz w:val="24"/>
          <w:szCs w:val="24"/>
          <w:lang w:val="ru-RU" w:eastAsia="ru-RU"/>
        </w:rPr>
        <w:t>Результате</w:t>
      </w:r>
      <w:r>
        <w:rPr>
          <w:b w:val="false"/>
          <w:sz w:val="24"/>
          <w:szCs w:val="24"/>
          <w:lang w:eastAsia="ru-RU"/>
        </w:rPr>
        <w:t xml:space="preserve"> </w:t>
      </w:r>
      <w:r>
        <w:rPr>
          <w:b w:val="false"/>
          <w:sz w:val="24"/>
          <w:szCs w:val="24"/>
          <w:lang w:val="ru-RU" w:eastAsia="ru-RU"/>
        </w:rPr>
        <w:t>Работ</w:t>
      </w:r>
      <w:r>
        <w:rPr>
          <w:b w:val="false"/>
          <w:sz w:val="24"/>
          <w:szCs w:val="24"/>
          <w:lang w:eastAsia="ru-RU"/>
        </w:rPr>
        <w:t xml:space="preserve">, а также любые иные работы, необходимые для выполнения Субподрядчиком своих обязательств по Договору, независимо от </w:t>
      </w:r>
      <w:r>
        <w:rPr>
          <w:b w:val="false"/>
          <w:sz w:val="24"/>
          <w:szCs w:val="24"/>
          <w:lang w:val="ru-RU" w:eastAsia="ru-RU"/>
        </w:rPr>
        <w:t>их</w:t>
      </w:r>
      <w:r>
        <w:rPr>
          <w:b w:val="false"/>
          <w:sz w:val="24"/>
          <w:szCs w:val="24"/>
          <w:lang w:eastAsia="ru-RU"/>
        </w:rPr>
        <w:t xml:space="preserve"> прямо</w:t>
      </w:r>
      <w:r>
        <w:rPr>
          <w:b w:val="false"/>
          <w:sz w:val="24"/>
          <w:szCs w:val="24"/>
          <w:lang w:val="ru-RU" w:eastAsia="ru-RU"/>
        </w:rPr>
        <w:t>го указания</w:t>
      </w:r>
      <w:r>
        <w:rPr>
          <w:b w:val="false"/>
          <w:sz w:val="24"/>
          <w:szCs w:val="24"/>
          <w:lang w:eastAsia="ru-RU"/>
        </w:rPr>
        <w:t xml:space="preserve"> в Договоре.</w:t>
      </w:r>
      <w:r>
        <w:rPr>
          <w:sz w:val="24"/>
          <w:szCs w:val="24"/>
          <w:lang w:eastAsia="ru-RU"/>
        </w:rPr>
        <w:t xml:space="preserve"> </w:t>
      </w:r>
    </w:p>
    <w:p>
      <w:pPr>
        <w:pStyle w:val="Normal"/>
        <w:widowControl w:val="false"/>
        <w:tabs>
          <w:tab w:val="clear" w:pos="709"/>
          <w:tab w:val="left" w:pos="567" w:leader="none"/>
        </w:tabs>
        <w:spacing w:lineRule="auto" w:line="240"/>
        <w:ind w:firstLine="708"/>
        <w:rPr>
          <w:sz w:val="24"/>
          <w:szCs w:val="24"/>
        </w:rPr>
      </w:pPr>
      <w:r>
        <w:rPr>
          <w:sz w:val="24"/>
          <w:szCs w:val="24"/>
        </w:rPr>
        <w:t xml:space="preserve">Термин «Работы» включает в себя упомянутые в настоящем пункте обязанности Субподрядчика независимо от возможного использования в тексте Договора терминов, обозначающих такие обязанности, совместно с термином «Работы». </w:t>
      </w:r>
    </w:p>
    <w:p>
      <w:pPr>
        <w:pStyle w:val="Normal"/>
        <w:widowControl w:val="false"/>
        <w:tabs>
          <w:tab w:val="clear" w:pos="709"/>
          <w:tab w:val="left" w:pos="567" w:leader="none"/>
        </w:tabs>
        <w:spacing w:lineRule="auto" w:line="240"/>
        <w:ind w:firstLine="708"/>
        <w:rPr>
          <w:sz w:val="24"/>
          <w:szCs w:val="24"/>
        </w:rPr>
      </w:pPr>
      <w:r>
        <w:rPr>
          <w:b/>
          <w:sz w:val="24"/>
          <w:szCs w:val="24"/>
        </w:rPr>
        <w:t xml:space="preserve"> </w:t>
      </w:r>
      <w:r>
        <w:rPr>
          <w:b/>
          <w:sz w:val="24"/>
          <w:szCs w:val="24"/>
        </w:rPr>
        <w:t>«Рабочий день»</w:t>
      </w:r>
      <w:r>
        <w:rPr>
          <w:sz w:val="24"/>
          <w:szCs w:val="24"/>
        </w:rPr>
        <w:t xml:space="preserve"> – день, который в соответствии с Применимым правом, является рабочим днем в Российской Федерации.</w:t>
      </w:r>
    </w:p>
    <w:p>
      <w:pPr>
        <w:pStyle w:val="3"/>
        <w:keepNext w:val="false"/>
        <w:widowControl w:val="false"/>
        <w:tabs>
          <w:tab w:val="clear" w:pos="709"/>
          <w:tab w:val="left" w:pos="567" w:leader="none"/>
        </w:tabs>
        <w:spacing w:before="0" w:after="0"/>
        <w:ind w:firstLine="708"/>
        <w:jc w:val="both"/>
        <w:rPr>
          <w:b w:val="false"/>
          <w:b w:val="false"/>
          <w:sz w:val="24"/>
          <w:szCs w:val="24"/>
          <w:lang w:val="ru-RU" w:eastAsia="en-US"/>
        </w:rPr>
      </w:pPr>
      <w:r>
        <w:rPr>
          <w:sz w:val="24"/>
          <w:szCs w:val="24"/>
          <w:lang w:val="ru-RU" w:eastAsia="en-US"/>
        </w:rPr>
        <w:t>«Результ</w:t>
      </w:r>
      <w:r>
        <w:rPr>
          <w:sz w:val="24"/>
          <w:szCs w:val="24"/>
          <w:shd w:fill="auto" w:val="clear"/>
          <w:lang w:val="ru-RU" w:eastAsia="en-US"/>
        </w:rPr>
        <w:t>ат Работ»</w:t>
      </w:r>
      <w:r>
        <w:rPr>
          <w:b w:val="false"/>
          <w:sz w:val="24"/>
          <w:szCs w:val="24"/>
          <w:shd w:fill="auto" w:val="clear"/>
          <w:lang w:val="ru-RU" w:eastAsia="en-US"/>
        </w:rPr>
        <w:t xml:space="preserve"> – выполненная Субподрядчиком и принятая Генподрядчиком по Акту сдачи-приемки выполненных работ Рабочей документации или иной результат  Работ, соответствующий требованиям, изложенным в Техническом задании (Приложение № 1 к Договору), в том числе требованиям к отчетным документам (состав, количество, формат, носитель и т.д.), подлежащим передаче Субподрядчиком Генподрядчику в составе Результата Работ.</w:t>
      </w:r>
    </w:p>
    <w:p>
      <w:pPr>
        <w:pStyle w:val="Normal"/>
        <w:widowControl w:val="false"/>
        <w:tabs>
          <w:tab w:val="clear" w:pos="709"/>
          <w:tab w:val="left" w:pos="567" w:leader="none"/>
        </w:tabs>
        <w:spacing w:lineRule="auto" w:line="240"/>
        <w:ind w:firstLine="708"/>
        <w:rPr>
          <w:shd w:fill="auto" w:val="clear"/>
        </w:rPr>
      </w:pPr>
      <w:r>
        <w:rPr>
          <w:b/>
          <w:sz w:val="24"/>
          <w:szCs w:val="24"/>
          <w:shd w:fill="auto" w:val="clear"/>
          <w:lang w:eastAsia="en-US"/>
        </w:rPr>
        <w:t xml:space="preserve">«Рабочая документация» – </w:t>
      </w:r>
      <w:r>
        <w:rPr>
          <w:sz w:val="24"/>
          <w:szCs w:val="24"/>
          <w:shd w:fill="auto" w:val="clear"/>
          <w:lang w:eastAsia="en-US"/>
        </w:rPr>
        <w:t xml:space="preserve">совокупность текстовых и графических документов на русском языке, обеспечивающих реализацию принятых в утвержденной Проектной документации технических решений объекта капитального строительства, необходимых для производства строительных и монтажных работ, обеспечения строительства оборудованием, изделиями и материалами и / или изготовления строительных изделий, содержащая: </w:t>
      </w:r>
    </w:p>
    <w:p>
      <w:pPr>
        <w:pStyle w:val="ListParagraph"/>
        <w:widowControl w:val="false"/>
        <w:numPr>
          <w:ilvl w:val="0"/>
          <w:numId w:val="8"/>
        </w:numPr>
        <w:shd w:val="clear" w:color="auto" w:fill="FFFFFF"/>
        <w:tabs>
          <w:tab w:val="clear" w:pos="709"/>
          <w:tab w:val="left" w:pos="567" w:leader="none"/>
          <w:tab w:val="left" w:pos="1134" w:leader="none"/>
        </w:tabs>
        <w:overflowPunct w:val="false"/>
        <w:ind w:left="0" w:firstLine="708"/>
        <w:jc w:val="both"/>
        <w:textAlignment w:val="baseline"/>
        <w:rPr>
          <w:shd w:fill="auto" w:val="clear"/>
        </w:rPr>
      </w:pPr>
      <w:r>
        <w:rPr>
          <w:shd w:fill="auto" w:val="clear"/>
          <w:lang w:eastAsia="en-US"/>
        </w:rPr>
        <w:t>рабочие чертежи основного комплекта, спецификации оборудования и изделий;</w:t>
      </w:r>
    </w:p>
    <w:p>
      <w:pPr>
        <w:pStyle w:val="ListParagraph"/>
        <w:widowControl w:val="false"/>
        <w:numPr>
          <w:ilvl w:val="0"/>
          <w:numId w:val="8"/>
        </w:numPr>
        <w:shd w:val="clear" w:color="auto" w:fill="FFFFFF"/>
        <w:tabs>
          <w:tab w:val="clear" w:pos="709"/>
          <w:tab w:val="left" w:pos="567" w:leader="none"/>
          <w:tab w:val="left" w:pos="1134" w:leader="none"/>
        </w:tabs>
        <w:overflowPunct w:val="false"/>
        <w:ind w:left="0" w:firstLine="708"/>
        <w:jc w:val="both"/>
        <w:textAlignment w:val="baseline"/>
        <w:rPr>
          <w:shd w:fill="auto" w:val="clear"/>
        </w:rPr>
      </w:pPr>
      <w:r>
        <w:rPr>
          <w:shd w:fill="auto" w:val="clear"/>
          <w:lang w:eastAsia="en-US"/>
        </w:rPr>
        <w:t>документы, разработанные в дополнение к рабочим чертежам основного комплекта;</w:t>
      </w:r>
    </w:p>
    <w:p>
      <w:pPr>
        <w:pStyle w:val="ListParagraph"/>
        <w:widowControl w:val="false"/>
        <w:numPr>
          <w:ilvl w:val="0"/>
          <w:numId w:val="8"/>
        </w:numPr>
        <w:shd w:val="clear" w:color="auto" w:fill="FFFFFF"/>
        <w:tabs>
          <w:tab w:val="clear" w:pos="709"/>
          <w:tab w:val="left" w:pos="567" w:leader="none"/>
          <w:tab w:val="left" w:pos="1134" w:leader="none"/>
        </w:tabs>
        <w:overflowPunct w:val="false"/>
        <w:ind w:left="0" w:firstLine="708"/>
        <w:jc w:val="both"/>
        <w:textAlignment w:val="baseline"/>
        <w:rPr>
          <w:shd w:fill="auto" w:val="clear"/>
        </w:rPr>
      </w:pPr>
      <w:r>
        <w:rPr>
          <w:b w:val="false"/>
          <w:sz w:val="24"/>
          <w:szCs w:val="24"/>
          <w:shd w:fill="auto" w:val="clear"/>
          <w:lang w:val="ru-RU" w:eastAsia="en-US"/>
        </w:rPr>
        <w:t>сметную документацию.</w:t>
      </w:r>
    </w:p>
    <w:p>
      <w:pPr>
        <w:pStyle w:val="3"/>
        <w:keepNext w:val="false"/>
        <w:widowControl w:val="false"/>
        <w:tabs>
          <w:tab w:val="clear" w:pos="709"/>
          <w:tab w:val="left" w:pos="567" w:leader="none"/>
        </w:tabs>
        <w:spacing w:before="0" w:after="0"/>
        <w:ind w:firstLine="708"/>
        <w:jc w:val="both"/>
        <w:rPr>
          <w:b w:val="false"/>
          <w:b w:val="false"/>
          <w:sz w:val="24"/>
          <w:szCs w:val="24"/>
          <w:lang w:val="ru-RU" w:eastAsia="en-US"/>
        </w:rPr>
      </w:pPr>
      <w:r>
        <w:rPr>
          <w:sz w:val="24"/>
          <w:szCs w:val="24"/>
          <w:lang w:val="ru-RU" w:eastAsia="en-US"/>
        </w:rPr>
        <w:t xml:space="preserve"> </w:t>
      </w:r>
      <w:r>
        <w:rPr>
          <w:sz w:val="24"/>
          <w:szCs w:val="24"/>
          <w:lang w:val="ru-RU" w:eastAsia="en-US"/>
        </w:rPr>
        <w:t>«Смета»</w:t>
      </w:r>
      <w:r>
        <w:rPr>
          <w:b w:val="false"/>
          <w:sz w:val="24"/>
          <w:szCs w:val="24"/>
          <w:lang w:val="ru-RU" w:eastAsia="en-US"/>
        </w:rPr>
        <w:t xml:space="preserve"> – сметный расчет стоимости Работ, составляемый в соответствии с требованиями Генподрядчика к оформлению и составлению сметной документации на выполнение Проектных работ.</w:t>
      </w:r>
    </w:p>
    <w:p>
      <w:pPr>
        <w:pStyle w:val="3"/>
        <w:keepNext w:val="false"/>
        <w:widowControl w:val="false"/>
        <w:tabs>
          <w:tab w:val="clear" w:pos="709"/>
          <w:tab w:val="left" w:pos="567" w:leader="none"/>
        </w:tabs>
        <w:spacing w:before="0" w:after="0"/>
        <w:ind w:firstLine="708"/>
        <w:jc w:val="both"/>
        <w:rPr>
          <w:sz w:val="24"/>
          <w:szCs w:val="24"/>
          <w:lang w:eastAsia="en-US"/>
        </w:rPr>
      </w:pPr>
      <w:r>
        <w:rPr>
          <w:sz w:val="24"/>
          <w:szCs w:val="24"/>
          <w:lang w:val="ru-RU" w:eastAsia="en-US"/>
        </w:rPr>
        <w:t>«Сводная смета»</w:t>
      </w:r>
      <w:r>
        <w:rPr>
          <w:b w:val="false"/>
          <w:sz w:val="24"/>
          <w:szCs w:val="24"/>
          <w:lang w:val="ru-RU" w:eastAsia="en-US"/>
        </w:rPr>
        <w:t xml:space="preserve"> – сметный расчет, составляемый в случае, если комплект сметной документации на выполнение Работ по Договору включает в себя несколько Смет.</w:t>
      </w:r>
    </w:p>
    <w:p>
      <w:pPr>
        <w:pStyle w:val="Normal"/>
        <w:spacing w:lineRule="auto" w:line="240"/>
        <w:ind w:firstLine="709"/>
        <w:rPr>
          <w:sz w:val="24"/>
          <w:szCs w:val="24"/>
          <w:lang w:eastAsia="en-US"/>
        </w:rPr>
      </w:pPr>
      <w:r>
        <w:rPr>
          <w:b/>
          <w:sz w:val="24"/>
          <w:szCs w:val="24"/>
          <w:lang w:eastAsia="en-US"/>
        </w:rPr>
        <w:t>«Субъект МСП»</w:t>
      </w:r>
      <w:r>
        <w:rPr>
          <w:sz w:val="24"/>
          <w:szCs w:val="24"/>
          <w:lang w:eastAsia="en-US"/>
        </w:rPr>
        <w:t xml:space="preserve"> – субъект малого и среднего предпринимательства.</w:t>
      </w:r>
    </w:p>
    <w:p>
      <w:pPr>
        <w:pStyle w:val="3"/>
        <w:keepNext w:val="false"/>
        <w:widowControl w:val="false"/>
        <w:tabs>
          <w:tab w:val="clear" w:pos="709"/>
          <w:tab w:val="left" w:pos="567" w:leader="none"/>
        </w:tabs>
        <w:spacing w:before="0" w:after="0"/>
        <w:ind w:firstLine="708"/>
        <w:jc w:val="both"/>
        <w:rPr>
          <w:b w:val="false"/>
          <w:b w:val="false"/>
          <w:sz w:val="24"/>
          <w:szCs w:val="24"/>
          <w:lang w:val="ru-RU" w:eastAsia="en-US"/>
        </w:rPr>
      </w:pPr>
      <w:r>
        <w:rPr>
          <w:sz w:val="24"/>
          <w:szCs w:val="24"/>
          <w:lang w:val="ru-RU" w:eastAsia="en-US"/>
        </w:rPr>
        <w:t xml:space="preserve"> </w:t>
      </w:r>
      <w:r>
        <w:rPr>
          <w:sz w:val="24"/>
          <w:szCs w:val="24"/>
          <w:lang w:val="ru-RU" w:eastAsia="en-US"/>
        </w:rPr>
        <w:t>«Субсубподрядчик»</w:t>
      </w:r>
      <w:r>
        <w:rPr>
          <w:b w:val="false"/>
          <w:sz w:val="24"/>
          <w:szCs w:val="24"/>
          <w:lang w:val="ru-RU" w:eastAsia="en-US"/>
        </w:rPr>
        <w:t xml:space="preserve"> – юридическое лицо или индивидуальный предприниматель, нанятые Субподрядчиком посредством заключения договора для выполнения части обязательств Субподрядчика по Договору, в том числе для выполнения любых Работ по Договору.</w:t>
      </w:r>
    </w:p>
    <w:p>
      <w:pPr>
        <w:pStyle w:val="3"/>
        <w:keepNext w:val="false"/>
        <w:widowControl w:val="false"/>
        <w:tabs>
          <w:tab w:val="clear" w:pos="709"/>
          <w:tab w:val="left" w:pos="567" w:leader="none"/>
        </w:tabs>
        <w:spacing w:before="0" w:after="0"/>
        <w:ind w:firstLine="708"/>
        <w:jc w:val="both"/>
        <w:rPr>
          <w:b w:val="false"/>
          <w:b w:val="false"/>
          <w:sz w:val="24"/>
          <w:szCs w:val="24"/>
          <w:lang w:val="ru-RU" w:eastAsia="en-US"/>
        </w:rPr>
      </w:pPr>
      <w:r>
        <w:rPr>
          <w:sz w:val="24"/>
          <w:szCs w:val="24"/>
          <w:lang w:val="ru-RU" w:eastAsia="en-US"/>
        </w:rPr>
        <w:t>«Техническое задание»</w:t>
      </w:r>
      <w:r>
        <w:rPr>
          <w:b w:val="false"/>
          <w:sz w:val="24"/>
          <w:szCs w:val="24"/>
          <w:lang w:val="ru-RU" w:eastAsia="en-US"/>
        </w:rPr>
        <w:t xml:space="preserve"> – документ, содержащий указание на состав исходных данных, объем и состав Работ по Договору, а также требования Генподрядчика к выполнению Субподрядчиком Работ по Договору в целом.</w:t>
      </w:r>
    </w:p>
    <w:p>
      <w:pPr>
        <w:pStyle w:val="3"/>
        <w:keepNext w:val="false"/>
        <w:widowControl w:val="false"/>
        <w:tabs>
          <w:tab w:val="clear" w:pos="709"/>
          <w:tab w:val="left" w:pos="567" w:leader="none"/>
        </w:tabs>
        <w:spacing w:before="0" w:after="0"/>
        <w:ind w:firstLine="708"/>
        <w:jc w:val="both"/>
        <w:rPr>
          <w:b w:val="false"/>
          <w:b w:val="false"/>
          <w:sz w:val="24"/>
          <w:szCs w:val="24"/>
          <w:lang w:val="ru-RU" w:eastAsia="en-US"/>
        </w:rPr>
      </w:pPr>
      <w:r>
        <w:rPr>
          <w:sz w:val="24"/>
          <w:szCs w:val="24"/>
          <w:lang w:val="ru-RU" w:eastAsia="en-US"/>
        </w:rPr>
        <w:t xml:space="preserve"> </w:t>
      </w:r>
      <w:r>
        <w:rPr>
          <w:sz w:val="24"/>
          <w:szCs w:val="24"/>
          <w:lang w:val="ru-RU" w:eastAsia="en-US"/>
        </w:rPr>
        <w:t>«Цена Договора»</w:t>
      </w:r>
      <w:r>
        <w:rPr>
          <w:b w:val="false"/>
          <w:sz w:val="24"/>
          <w:szCs w:val="24"/>
          <w:lang w:val="ru-RU" w:eastAsia="en-US"/>
        </w:rPr>
        <w:t xml:space="preserve"> – определяемая в соответствии с разделом 3 Договора сумма, которую Генподрядчик обязуется уплатить Субподрядчику в порядке и на условиях, установленных Договором, включающая компенсацию всех издержек Субподрядчика и причитающееся ему вознаграждение, а также инфляционные риски</w:t>
      </w:r>
      <w:r>
        <w:rPr>
          <w:sz w:val="24"/>
          <w:szCs w:val="24"/>
        </w:rPr>
        <w:t xml:space="preserve"> </w:t>
      </w:r>
      <w:r>
        <w:rPr>
          <w:b w:val="false"/>
          <w:sz w:val="24"/>
          <w:szCs w:val="24"/>
          <w:lang w:val="ru-RU" w:eastAsia="en-US"/>
        </w:rPr>
        <w:t xml:space="preserve">на весь период действия Договора. </w:t>
      </w:r>
    </w:p>
    <w:p>
      <w:pPr>
        <w:pStyle w:val="3"/>
        <w:keepNext w:val="false"/>
        <w:widowControl w:val="false"/>
        <w:tabs>
          <w:tab w:val="clear" w:pos="709"/>
          <w:tab w:val="left" w:pos="567" w:leader="none"/>
        </w:tabs>
        <w:spacing w:before="0" w:after="0"/>
        <w:ind w:firstLine="708"/>
        <w:jc w:val="both"/>
        <w:textAlignment w:val="baseline"/>
        <w:rPr>
          <w:shd w:fill="auto" w:val="clear"/>
        </w:rPr>
      </w:pPr>
      <w:r>
        <w:rPr>
          <w:b/>
          <w:bCs/>
          <w:sz w:val="24"/>
          <w:szCs w:val="24"/>
          <w:shd w:fill="auto" w:val="clear"/>
          <w:lang w:val="ru-RU" w:eastAsia="en-US"/>
        </w:rPr>
        <w:t xml:space="preserve">«УПД» </w:t>
      </w:r>
      <w:r>
        <w:rPr>
          <w:b w:val="false"/>
          <w:bCs/>
          <w:sz w:val="24"/>
          <w:szCs w:val="24"/>
          <w:shd w:fill="auto" w:val="clear"/>
          <w:lang w:val="ru-RU" w:eastAsia="en-US"/>
        </w:rPr>
        <w:t xml:space="preserve">– </w:t>
      </w:r>
      <w:r>
        <w:rPr>
          <w:b w:val="false"/>
          <w:sz w:val="24"/>
          <w:szCs w:val="24"/>
          <w:shd w:fill="auto" w:val="clear"/>
          <w:lang w:val="ru-RU" w:eastAsia="en-US"/>
        </w:rPr>
        <w:t>форма документа, рекомендованная для применения письмом ФНС России от 21.10.2013 № ММВ-20-3/96@ и приказом ФНС России от 19 декабря 2023 года № ЕД-7-26/970@</w:t>
      </w:r>
      <w:r>
        <w:rPr>
          <w:rStyle w:val="Style6"/>
          <w:b w:val="false"/>
          <w:sz w:val="24"/>
          <w:szCs w:val="24"/>
          <w:shd w:fill="auto" w:val="clear"/>
          <w:lang w:val="ru-RU" w:eastAsia="en-US"/>
        </w:rPr>
        <w:footnoteReference w:id="2"/>
      </w:r>
      <w:r>
        <w:rPr>
          <w:b w:val="false"/>
          <w:sz w:val="24"/>
          <w:szCs w:val="24"/>
          <w:shd w:fill="auto" w:val="clear"/>
          <w:lang w:val="ru-RU" w:eastAsia="en-US"/>
        </w:rPr>
        <w:t xml:space="preserve"> (объединяет реквизиты счета-фактуры и первичного документа о передаче товаров, работ, услуг).</w:t>
      </w:r>
    </w:p>
    <w:p>
      <w:pPr>
        <w:pStyle w:val="3"/>
        <w:keepNext w:val="false"/>
        <w:widowControl w:val="false"/>
        <w:tabs>
          <w:tab w:val="clear" w:pos="709"/>
          <w:tab w:val="left" w:pos="567" w:leader="none"/>
        </w:tabs>
        <w:spacing w:before="0" w:after="0"/>
        <w:ind w:firstLine="708"/>
        <w:jc w:val="both"/>
        <w:rPr>
          <w:b w:val="false"/>
          <w:b w:val="false"/>
          <w:sz w:val="24"/>
          <w:szCs w:val="24"/>
          <w:lang w:val="ru-RU" w:eastAsia="en-US"/>
        </w:rPr>
      </w:pPr>
      <w:r>
        <w:rPr>
          <w:b/>
          <w:sz w:val="24"/>
          <w:szCs w:val="24"/>
          <w:lang w:val="ru-RU" w:eastAsia="en-US"/>
        </w:rPr>
        <w:t>«Генеральный договор»</w:t>
      </w:r>
      <w:r>
        <w:rPr>
          <w:b w:val="false"/>
          <w:sz w:val="24"/>
          <w:szCs w:val="24"/>
          <w:lang w:val="ru-RU" w:eastAsia="en-US"/>
        </w:rPr>
        <w:t xml:space="preserve"> – договор 1520-106-2025/3-ТПИР-ПИР-2025-ПФ / 1-113-2453 от 18.06.2026г</w:t>
      </w:r>
      <w:r>
        <w:rPr>
          <w:b w:val="false"/>
          <w:sz w:val="24"/>
          <w:lang w:val="ru-RU" w:eastAsia="en-US"/>
        </w:rPr>
        <w:t>.</w:t>
      </w:r>
      <w:r>
        <w:rPr>
          <w:b w:val="false"/>
          <w:sz w:val="24"/>
          <w:szCs w:val="24"/>
          <w:lang w:val="ru-RU" w:eastAsia="en-US"/>
        </w:rPr>
        <w:t>, заключенный между Филиал</w:t>
      </w:r>
      <w:r>
        <w:rPr>
          <w:b w:val="false"/>
          <w:sz w:val="24"/>
          <w:szCs w:val="24"/>
          <w:lang w:val="ru-RU" w:eastAsia="en-US"/>
        </w:rPr>
        <w:t>ом</w:t>
      </w:r>
      <w:r>
        <w:rPr>
          <w:b w:val="false"/>
          <w:sz w:val="24"/>
          <w:szCs w:val="24"/>
          <w:lang w:val="ru-RU" w:eastAsia="en-US"/>
        </w:rPr>
        <w:t xml:space="preserve"> ПАО «РусГидро» - «Приморский»(далее – Заказчик) и Акционерным обществом «Всероссийский научно-исследовательский институт гидротехники имени Б.Е. Веденеева (Генподрядчик).</w:t>
      </w:r>
    </w:p>
    <w:p>
      <w:pPr>
        <w:pStyle w:val="Normal"/>
        <w:shd w:val="clear" w:color="auto" w:fill="FFFFFF"/>
        <w:tabs>
          <w:tab w:val="left" w:pos="567" w:leader="none"/>
          <w:tab w:val="left" w:pos="709" w:leader="none"/>
        </w:tabs>
        <w:spacing w:lineRule="auto" w:line="240"/>
        <w:rPr>
          <w:sz w:val="24"/>
          <w:szCs w:val="24"/>
        </w:rPr>
      </w:pPr>
      <w:r>
        <w:rPr>
          <w:b/>
          <w:sz w:val="24"/>
          <w:szCs w:val="24"/>
        </w:rPr>
        <w:t xml:space="preserve">«Заказчик» </w:t>
      </w:r>
      <w:r>
        <w:rPr>
          <w:b w:val="false"/>
          <w:bCs w:val="false"/>
          <w:sz w:val="24"/>
          <w:szCs w:val="24"/>
        </w:rPr>
        <w:t>Филиал ПАО «РусГидро» - «Приморский».</w:t>
      </w:r>
    </w:p>
    <w:p>
      <w:pPr>
        <w:pStyle w:val="Normal"/>
        <w:spacing w:lineRule="auto" w:line="240"/>
        <w:rPr/>
      </w:pPr>
      <w:r>
        <w:rPr/>
      </w:r>
    </w:p>
    <w:p>
      <w:pPr>
        <w:pStyle w:val="ListParagraph"/>
        <w:numPr>
          <w:ilvl w:val="0"/>
          <w:numId w:val="3"/>
        </w:numPr>
        <w:shd w:val="clear" w:color="auto" w:fill="FFFFFF"/>
        <w:tabs>
          <w:tab w:val="clear" w:pos="709"/>
          <w:tab w:val="left" w:pos="284" w:leader="none"/>
        </w:tabs>
        <w:ind w:left="0" w:hanging="0"/>
        <w:jc w:val="center"/>
        <w:rPr>
          <w:b/>
          <w:b/>
          <w:bCs/>
        </w:rPr>
      </w:pPr>
      <w:r>
        <w:rPr>
          <w:b/>
          <w:bCs/>
        </w:rPr>
        <w:t>Предмет Договора</w:t>
      </w:r>
    </w:p>
    <w:p>
      <w:pPr>
        <w:pStyle w:val="ListParagraph"/>
        <w:numPr>
          <w:ilvl w:val="1"/>
          <w:numId w:val="3"/>
        </w:numPr>
        <w:shd w:val="clear" w:color="auto" w:fill="FFFFFF"/>
        <w:tabs>
          <w:tab w:val="clear" w:pos="709"/>
          <w:tab w:val="left" w:pos="1134" w:leader="none"/>
        </w:tabs>
        <w:ind w:left="0" w:firstLine="567"/>
        <w:jc w:val="both"/>
        <w:rPr>
          <w:bCs/>
        </w:rPr>
      </w:pPr>
      <w:bookmarkStart w:id="0" w:name="_Ref361410951"/>
      <w:r>
        <w:rPr>
          <w:bCs/>
        </w:rPr>
        <w:t xml:space="preserve">Субподрядчик обязуется по заданию Генподрядчика в соответствии с Техническим заданием (Приложение № 1 к Договору) выполнить следующие работы: </w:t>
      </w:r>
      <w:r>
        <w:rPr>
          <w:b/>
          <w:bCs/>
          <w:sz w:val="24"/>
          <w:szCs w:val="24"/>
        </w:rPr>
        <w:t>«</w:t>
      </w:r>
      <w:r>
        <w:rPr>
          <w:rFonts w:eastAsia="Calibri"/>
          <w:b/>
          <w:bCs/>
          <w:color w:val="000000"/>
          <w:kern w:val="0"/>
          <w:sz w:val="24"/>
          <w:szCs w:val="24"/>
          <w:shd w:fill="auto" w:val="clear"/>
          <w:lang w:val="ru-RU" w:eastAsia="en-US" w:bidi="ar-SA"/>
        </w:rPr>
        <w:t>ОКПД 2. 71.12.19. Разработка специализированных разделов рабочей документации (СС, ОВиК) по объекту: «Модернизация химводоочистки технологического оборудования Владивостокской ТЭЦ-2</w:t>
      </w:r>
      <w:r>
        <w:rPr>
          <w:b/>
          <w:bCs/>
          <w:i w:val="false"/>
          <w:strike w:val="false"/>
          <w:dstrike w:val="false"/>
          <w:outline w:val="false"/>
          <w:shadow w:val="false"/>
          <w:sz w:val="24"/>
          <w:szCs w:val="24"/>
          <w:u w:val="none"/>
          <w:em w:val="none"/>
        </w:rPr>
        <w:t>»</w:t>
      </w:r>
      <w:r>
        <w:rPr>
          <w:b/>
          <w:bCs/>
          <w:sz w:val="24"/>
          <w:szCs w:val="24"/>
        </w:rPr>
        <w:t xml:space="preserve"> </w:t>
      </w:r>
      <w:r>
        <w:rPr>
          <w:bCs/>
        </w:rPr>
        <w:t>(далее по тексту – «Работы»), а также сдать Результат работ Генподрядчику, а Генподрядчик обязуется создать Субподрядчику указанные в Договоре условия для выполнения Работ, принять Результат Работ и уплатить Цену Договора.</w:t>
      </w:r>
      <w:bookmarkEnd w:id="0"/>
    </w:p>
    <w:p>
      <w:pPr>
        <w:pStyle w:val="ListParagraph"/>
        <w:numPr>
          <w:ilvl w:val="1"/>
          <w:numId w:val="3"/>
        </w:numPr>
        <w:shd w:val="clear" w:color="auto" w:fill="FFFFFF"/>
        <w:tabs>
          <w:tab w:val="clear" w:pos="709"/>
          <w:tab w:val="left" w:pos="1134" w:leader="none"/>
        </w:tabs>
        <w:ind w:left="0" w:firstLine="567"/>
        <w:jc w:val="both"/>
        <w:rPr>
          <w:bCs/>
        </w:rPr>
      </w:pPr>
      <w:r>
        <w:rPr>
          <w:bCs/>
        </w:rPr>
        <w:t>В состав Работ по Договору входят:</w:t>
      </w:r>
    </w:p>
    <w:p>
      <w:pPr>
        <w:pStyle w:val="ListParagraph"/>
        <w:numPr>
          <w:ilvl w:val="2"/>
          <w:numId w:val="3"/>
        </w:numPr>
        <w:shd w:val="clear" w:color="auto" w:fill="FFFFFF"/>
        <w:tabs>
          <w:tab w:val="clear" w:pos="709"/>
          <w:tab w:val="left" w:pos="1418" w:leader="none"/>
        </w:tabs>
        <w:ind w:left="0" w:firstLine="709"/>
        <w:jc w:val="both"/>
        <w:rPr>
          <w:bCs/>
        </w:rPr>
      </w:pPr>
      <w:r>
        <w:rPr>
          <w:bCs/>
        </w:rPr>
        <w:t>Разработка Рабочей документации</w:t>
      </w:r>
      <w:r>
        <w:rPr>
          <w:lang w:val="en-US"/>
        </w:rPr>
        <w:t>;</w:t>
      </w:r>
    </w:p>
    <w:p>
      <w:pPr>
        <w:pStyle w:val="ListParagraph"/>
        <w:numPr>
          <w:ilvl w:val="1"/>
          <w:numId w:val="3"/>
        </w:numPr>
        <w:shd w:val="clear" w:color="auto" w:fill="FFFFFF"/>
        <w:tabs>
          <w:tab w:val="clear" w:pos="709"/>
          <w:tab w:val="left" w:pos="1134" w:leader="none"/>
        </w:tabs>
        <w:ind w:left="0" w:firstLine="709"/>
        <w:jc w:val="both"/>
        <w:rPr>
          <w:bCs/>
        </w:rPr>
      </w:pPr>
      <w:r>
        <w:rPr>
          <w:bCs/>
        </w:rPr>
        <w:t>Объем и состав Работ по Договору определяется Техническим заданием (Приложение № 1 к Договору). Работы по Договору подлежат выполнению Субподрядчиком в строгом соответствии с требованиями Применимого права и указаниями Генподрядчика.</w:t>
      </w:r>
    </w:p>
    <w:p>
      <w:pPr>
        <w:pStyle w:val="ListParagraph"/>
        <w:numPr>
          <w:ilvl w:val="1"/>
          <w:numId w:val="3"/>
        </w:numPr>
        <w:shd w:val="clear" w:color="auto" w:fill="FFFFFF"/>
        <w:tabs>
          <w:tab w:val="clear" w:pos="709"/>
          <w:tab w:val="left" w:pos="1134" w:leader="none"/>
        </w:tabs>
        <w:ind w:left="0" w:firstLine="709"/>
        <w:jc w:val="both"/>
        <w:rPr>
          <w:bCs/>
        </w:rPr>
      </w:pPr>
      <w:bookmarkStart w:id="1" w:name="_Ref361320424"/>
      <w:r>
        <w:rPr>
          <w:bCs/>
        </w:rPr>
        <w:t>Работы выполняются Субподрядчиком в следующие сроки:</w:t>
      </w:r>
      <w:bookmarkEnd w:id="1"/>
    </w:p>
    <w:p>
      <w:pPr>
        <w:pStyle w:val="ListParagraph"/>
        <w:numPr>
          <w:ilvl w:val="2"/>
          <w:numId w:val="3"/>
        </w:numPr>
        <w:shd w:val="clear" w:color="auto" w:fill="FFFFFF"/>
        <w:tabs>
          <w:tab w:val="clear" w:pos="709"/>
          <w:tab w:val="left" w:pos="1418" w:leader="none"/>
        </w:tabs>
        <w:jc w:val="both"/>
        <w:rPr>
          <w:b/>
          <w:b/>
        </w:rPr>
      </w:pPr>
      <w:r>
        <w:rPr>
          <w:bCs/>
        </w:rPr>
        <w:t xml:space="preserve">начало выполнения Работ: </w:t>
      </w:r>
      <w:r>
        <w:rPr>
          <w:b/>
        </w:rPr>
        <w:t>с даты, следующей за датой заключения Договора.</w:t>
      </w:r>
    </w:p>
    <w:p>
      <w:pPr>
        <w:pStyle w:val="ListParagraph"/>
        <w:numPr>
          <w:ilvl w:val="2"/>
          <w:numId w:val="3"/>
        </w:numPr>
        <w:shd w:val="clear" w:color="auto" w:fill="FFFFFF"/>
        <w:tabs>
          <w:tab w:val="clear" w:pos="709"/>
          <w:tab w:val="left" w:pos="1418" w:leader="none"/>
        </w:tabs>
        <w:jc w:val="both"/>
        <w:rPr/>
      </w:pPr>
      <w:bookmarkStart w:id="2" w:name="_Ref158824684"/>
      <w:r>
        <w:rPr>
          <w:bCs/>
        </w:rPr>
        <w:t>окончание выполнения Работ</w:t>
      </w:r>
      <w:r>
        <w:rPr>
          <w:b/>
          <w:bCs/>
        </w:rPr>
        <w:t xml:space="preserve">: </w:t>
      </w:r>
      <w:bookmarkEnd w:id="2"/>
      <w:r>
        <w:rPr>
          <w:b/>
          <w:bCs/>
        </w:rPr>
        <w:t>30.12.2026г.</w:t>
      </w:r>
    </w:p>
    <w:p>
      <w:pPr>
        <w:pStyle w:val="ListParagraph"/>
        <w:numPr>
          <w:ilvl w:val="1"/>
          <w:numId w:val="3"/>
        </w:numPr>
        <w:shd w:val="clear" w:color="auto" w:fill="FFFFFF"/>
        <w:tabs>
          <w:tab w:val="clear" w:pos="709"/>
          <w:tab w:val="left" w:pos="1134" w:leader="none"/>
        </w:tabs>
        <w:ind w:left="0" w:firstLine="709"/>
        <w:jc w:val="both"/>
        <w:rPr>
          <w:bCs/>
        </w:rPr>
      </w:pPr>
      <w:r>
        <w:rPr>
          <w:bCs/>
        </w:rPr>
        <w:t>Работы выполняются в один этап.</w:t>
      </w:r>
    </w:p>
    <w:p>
      <w:pPr>
        <w:pStyle w:val="Normal"/>
        <w:widowControl w:val="false"/>
        <w:shd w:val="clear" w:color="auto" w:fill="FFFFFF"/>
        <w:spacing w:lineRule="auto" w:line="240"/>
        <w:ind w:left="567" w:hanging="0"/>
        <w:rPr>
          <w:sz w:val="24"/>
          <w:szCs w:val="24"/>
        </w:rPr>
      </w:pPr>
      <w:r>
        <w:rPr>
          <w:sz w:val="24"/>
          <w:szCs w:val="24"/>
        </w:rPr>
      </w:r>
    </w:p>
    <w:p>
      <w:pPr>
        <w:pStyle w:val="ListParagraph"/>
        <w:numPr>
          <w:ilvl w:val="0"/>
          <w:numId w:val="3"/>
        </w:numPr>
        <w:shd w:val="clear" w:color="auto" w:fill="FFFFFF"/>
        <w:tabs>
          <w:tab w:val="clear" w:pos="709"/>
          <w:tab w:val="left" w:pos="284" w:leader="none"/>
        </w:tabs>
        <w:ind w:left="0" w:hanging="0"/>
        <w:jc w:val="center"/>
        <w:rPr>
          <w:b/>
          <w:b/>
          <w:bCs/>
        </w:rPr>
      </w:pPr>
      <w:r>
        <w:rPr>
          <w:b/>
          <w:bCs/>
        </w:rPr>
        <w:t xml:space="preserve">Права и обязанности Сторон </w:t>
      </w:r>
    </w:p>
    <w:p>
      <w:pPr>
        <w:pStyle w:val="ListParagraph"/>
        <w:numPr>
          <w:ilvl w:val="1"/>
          <w:numId w:val="3"/>
        </w:numPr>
        <w:shd w:val="clear" w:color="auto" w:fill="FFFFFF"/>
        <w:tabs>
          <w:tab w:val="clear" w:pos="709"/>
          <w:tab w:val="left" w:pos="1134" w:leader="none"/>
        </w:tabs>
        <w:ind w:left="0" w:firstLine="709"/>
        <w:jc w:val="both"/>
        <w:rPr>
          <w:bCs/>
        </w:rPr>
      </w:pPr>
      <w:r>
        <w:rPr>
          <w:bCs/>
          <w:u w:val="single"/>
        </w:rPr>
        <w:t>Генподрядчик обязан</w:t>
      </w:r>
      <w:r>
        <w:rPr>
          <w:bCs/>
        </w:rPr>
        <w:t>:</w:t>
      </w:r>
    </w:p>
    <w:p>
      <w:pPr>
        <w:pStyle w:val="ListParagraph"/>
        <w:numPr>
          <w:ilvl w:val="2"/>
          <w:numId w:val="3"/>
        </w:numPr>
        <w:shd w:val="clear" w:color="auto" w:fill="FFFFFF"/>
        <w:tabs>
          <w:tab w:val="clear" w:pos="709"/>
          <w:tab w:val="left" w:pos="1418" w:leader="none"/>
        </w:tabs>
        <w:ind w:left="0" w:firstLine="709"/>
        <w:jc w:val="both"/>
        <w:rPr>
          <w:bCs/>
        </w:rPr>
      </w:pPr>
      <w:r>
        <w:rPr>
          <w:bCs/>
        </w:rPr>
        <w:t xml:space="preserve">Сообщить Субподрядчику контакты и должность представителей Генподрядчика уполномоченных на оперативное рассмотрение и решение технических и организационных вопросов, связанных с выполнением Работ. </w:t>
      </w:r>
    </w:p>
    <w:p>
      <w:pPr>
        <w:pStyle w:val="ListParagraph"/>
        <w:numPr>
          <w:ilvl w:val="2"/>
          <w:numId w:val="3"/>
        </w:numPr>
        <w:shd w:val="clear" w:color="auto" w:fill="FFFFFF"/>
        <w:tabs>
          <w:tab w:val="clear" w:pos="709"/>
          <w:tab w:val="left" w:pos="1418" w:leader="none"/>
        </w:tabs>
        <w:ind w:left="0" w:firstLine="709"/>
        <w:jc w:val="both"/>
        <w:rPr/>
      </w:pPr>
      <w:bookmarkStart w:id="3" w:name="_Ref158824639"/>
      <w:bookmarkStart w:id="4" w:name="_Ref361396847"/>
      <w:bookmarkStart w:id="5" w:name="_Ref361320734"/>
      <w:bookmarkStart w:id="6" w:name="_Ref361401696"/>
      <w:bookmarkEnd w:id="4"/>
      <w:bookmarkEnd w:id="5"/>
      <w:bookmarkEnd w:id="6"/>
      <w:r>
        <w:rPr>
          <w:bCs/>
        </w:rPr>
        <w:t>В течение 3 (трех) рабочих дней от даты вступления Договора в силу, но не ранее получения соответствующего письменного запроса Субподрядчика, передать (предоставить) последнему:</w:t>
      </w:r>
      <w:bookmarkEnd w:id="3"/>
    </w:p>
    <w:p>
      <w:pPr>
        <w:pStyle w:val="ListParagraph"/>
        <w:numPr>
          <w:ilvl w:val="0"/>
          <w:numId w:val="6"/>
        </w:numPr>
        <w:shd w:val="clear" w:color="auto" w:fill="FFFFFF"/>
        <w:tabs>
          <w:tab w:val="left" w:pos="709" w:leader="none"/>
          <w:tab w:val="left" w:pos="1418" w:leader="none"/>
        </w:tabs>
        <w:ind w:left="0" w:firstLine="709"/>
        <w:jc w:val="both"/>
        <w:rPr/>
      </w:pPr>
      <w:r>
        <w:rPr/>
        <w:t>техническую и иную документацию, указанную в Техническом задании (Приложение № 1 к Договору), содержащую исходные данные для выполнения Субподрядчиком Работ по Договору, по Акту сдачи-приемки технической и иной документации (Приложение № 4.2 к Договору).</w:t>
      </w:r>
    </w:p>
    <w:p>
      <w:pPr>
        <w:pStyle w:val="ListParagraph"/>
        <w:numPr>
          <w:ilvl w:val="2"/>
          <w:numId w:val="3"/>
        </w:numPr>
        <w:shd w:val="clear" w:color="auto" w:fill="FFFFFF"/>
        <w:tabs>
          <w:tab w:val="clear" w:pos="709"/>
          <w:tab w:val="left" w:pos="1418" w:leader="none"/>
        </w:tabs>
        <w:ind w:left="0" w:firstLine="709"/>
        <w:jc w:val="both"/>
        <w:rPr>
          <w:bCs/>
        </w:rPr>
      </w:pPr>
      <w:bookmarkStart w:id="7" w:name="_Ref158824665"/>
      <w:bookmarkStart w:id="8" w:name="_Ref3613968471"/>
      <w:bookmarkStart w:id="9" w:name="_Ref3613207341"/>
      <w:bookmarkStart w:id="10" w:name="_Ref3614016961"/>
      <w:bookmarkEnd w:id="8"/>
      <w:bookmarkEnd w:id="9"/>
      <w:bookmarkEnd w:id="10"/>
      <w:r>
        <w:rPr>
          <w:bCs/>
        </w:rPr>
        <w:t>При наличии технической возможности обеспечить Субподрядчику возможность подключения к имеющимся у Генподрядчика бытовым источникам электроснабжения, водоснабжения, канализации для целей выполнения Работ по Договору (в части Инженерных изысканий).</w:t>
      </w:r>
      <w:bookmarkEnd w:id="7"/>
    </w:p>
    <w:p>
      <w:pPr>
        <w:pStyle w:val="ListParagraph"/>
        <w:numPr>
          <w:ilvl w:val="2"/>
          <w:numId w:val="3"/>
        </w:numPr>
        <w:shd w:val="clear" w:color="auto" w:fill="FFFFFF"/>
        <w:tabs>
          <w:tab w:val="clear" w:pos="709"/>
          <w:tab w:val="left" w:pos="1418" w:leader="none"/>
        </w:tabs>
        <w:ind w:left="0" w:firstLine="709"/>
        <w:jc w:val="both"/>
        <w:rPr>
          <w:bCs/>
        </w:rPr>
      </w:pPr>
      <w:r>
        <w:rPr>
          <w:bCs/>
        </w:rPr>
        <w:t xml:space="preserve">Ознакомить Субподрядчика с локальными нормативными актами Генподрядчика, устанавливающими требования по охране труда, промышленной и пожарной безопасности, правилами пропускного и внутриобъектового режима Генподрядчика. </w:t>
      </w:r>
    </w:p>
    <w:p>
      <w:pPr>
        <w:pStyle w:val="ListParagraph"/>
        <w:numPr>
          <w:ilvl w:val="2"/>
          <w:numId w:val="3"/>
        </w:numPr>
        <w:shd w:val="clear" w:color="auto" w:fill="FFFFFF"/>
        <w:tabs>
          <w:tab w:val="left" w:pos="709" w:leader="none"/>
        </w:tabs>
        <w:ind w:left="0" w:firstLine="709"/>
        <w:jc w:val="both"/>
        <w:rPr>
          <w:bCs/>
        </w:rPr>
      </w:pPr>
      <w:r>
        <w:rPr>
          <w:bCs/>
        </w:rPr>
        <w:t>Принять и оплатить выполненные Субподрядчиком Работы на условиях, по цене и в сроки, предусмотренные Договором.</w:t>
      </w:r>
    </w:p>
    <w:p>
      <w:pPr>
        <w:pStyle w:val="ListParagraph"/>
        <w:numPr>
          <w:ilvl w:val="2"/>
          <w:numId w:val="3"/>
        </w:numPr>
        <w:shd w:val="clear" w:color="auto" w:fill="FFFFFF"/>
        <w:tabs>
          <w:tab w:val="left" w:pos="709" w:leader="none"/>
        </w:tabs>
        <w:ind w:left="0" w:firstLine="710"/>
        <w:jc w:val="both"/>
        <w:rPr>
          <w:bCs/>
        </w:rPr>
      </w:pPr>
      <w:r>
        <w:rPr>
          <w:bCs/>
        </w:rPr>
        <w:t>В случае необходимости выдать Субподрядчику доверенность на совершение действий, необходимых для выполнения последним своих обязательств по Договору.</w:t>
      </w:r>
    </w:p>
    <w:p>
      <w:pPr>
        <w:pStyle w:val="ListParagraph"/>
        <w:numPr>
          <w:ilvl w:val="2"/>
          <w:numId w:val="3"/>
        </w:numPr>
        <w:shd w:val="clear" w:color="auto" w:fill="FFFFFF"/>
        <w:tabs>
          <w:tab w:val="left" w:pos="709" w:leader="none"/>
        </w:tabs>
        <w:ind w:left="0" w:firstLine="709"/>
        <w:jc w:val="both"/>
        <w:rPr>
          <w:bCs/>
        </w:rPr>
      </w:pPr>
      <w:r>
        <w:rPr>
          <w:bCs/>
        </w:rPr>
        <w:t>Выполнять иные обязанности, предусмотренные Договором.</w:t>
      </w:r>
    </w:p>
    <w:p>
      <w:pPr>
        <w:pStyle w:val="Normal"/>
        <w:tabs>
          <w:tab w:val="left" w:pos="709" w:leader="none"/>
        </w:tabs>
        <w:spacing w:lineRule="auto" w:line="240"/>
        <w:ind w:hanging="0"/>
        <w:rPr>
          <w:b/>
          <w:b/>
          <w:sz w:val="24"/>
          <w:szCs w:val="24"/>
        </w:rPr>
      </w:pPr>
      <w:r>
        <w:rPr>
          <w:b/>
          <w:sz w:val="24"/>
          <w:szCs w:val="24"/>
        </w:rPr>
      </w:r>
    </w:p>
    <w:p>
      <w:pPr>
        <w:pStyle w:val="ListParagraph"/>
        <w:numPr>
          <w:ilvl w:val="1"/>
          <w:numId w:val="3"/>
        </w:numPr>
        <w:shd w:val="clear" w:color="auto" w:fill="FFFFFF"/>
        <w:tabs>
          <w:tab w:val="clear" w:pos="709"/>
          <w:tab w:val="left" w:pos="1134" w:leader="none"/>
        </w:tabs>
        <w:ind w:left="0" w:firstLine="709"/>
        <w:jc w:val="both"/>
        <w:rPr>
          <w:bCs/>
        </w:rPr>
      </w:pPr>
      <w:r>
        <w:rPr>
          <w:bCs/>
          <w:u w:val="single"/>
        </w:rPr>
        <w:t>Генподрядчик имеет право</w:t>
      </w:r>
      <w:r>
        <w:rPr>
          <w:bCs/>
        </w:rPr>
        <w:t>:</w:t>
      </w:r>
    </w:p>
    <w:p>
      <w:pPr>
        <w:pStyle w:val="ListParagraph"/>
        <w:numPr>
          <w:ilvl w:val="2"/>
          <w:numId w:val="3"/>
        </w:numPr>
        <w:shd w:val="clear" w:color="auto" w:fill="FFFFFF"/>
        <w:tabs>
          <w:tab w:val="clear" w:pos="709"/>
          <w:tab w:val="left" w:pos="1418" w:leader="none"/>
        </w:tabs>
        <w:ind w:left="0" w:firstLine="709"/>
        <w:jc w:val="both"/>
        <w:rPr>
          <w:bCs/>
        </w:rPr>
      </w:pPr>
      <w:r>
        <w:rPr>
          <w:bCs/>
        </w:rPr>
        <w:t>Самостоятельно или с привлечением третьих лиц осуществлять контроль и надзор за ходом и качеством выполняемых Субподрядчиком и СубСубподрядчиками по Договору Работ, соблюдением сроков выполнения, не вмешиваясь при этом в их оперативно-хозяйственную деятельность. Проведение Генподрядчиком контроля не снимает с Субподрядчика ответственности за ненадлежащее выполнение Работ.</w:t>
      </w:r>
    </w:p>
    <w:p>
      <w:pPr>
        <w:pStyle w:val="ListParagraph"/>
        <w:numPr>
          <w:ilvl w:val="2"/>
          <w:numId w:val="3"/>
        </w:numPr>
        <w:shd w:val="clear" w:color="auto" w:fill="FFFFFF"/>
        <w:tabs>
          <w:tab w:val="clear" w:pos="709"/>
          <w:tab w:val="left" w:pos="1418" w:leader="none"/>
        </w:tabs>
        <w:ind w:left="0" w:firstLine="709"/>
        <w:jc w:val="both"/>
        <w:rPr>
          <w:bCs/>
        </w:rPr>
      </w:pPr>
      <w:r>
        <w:rPr>
          <w:bCs/>
        </w:rPr>
        <w:t>Круглосуточно осуществлять доступ к месту производства Работ.</w:t>
      </w:r>
    </w:p>
    <w:p>
      <w:pPr>
        <w:pStyle w:val="ListParagraph"/>
        <w:numPr>
          <w:ilvl w:val="2"/>
          <w:numId w:val="3"/>
        </w:numPr>
        <w:shd w:val="clear" w:color="auto" w:fill="FFFFFF"/>
        <w:tabs>
          <w:tab w:val="clear" w:pos="709"/>
          <w:tab w:val="left" w:pos="1418" w:leader="none"/>
        </w:tabs>
        <w:ind w:left="0" w:firstLine="709"/>
        <w:jc w:val="both"/>
        <w:rPr>
          <w:bCs/>
        </w:rPr>
      </w:pPr>
      <w:bookmarkStart w:id="11" w:name="_Ref361334652"/>
      <w:bookmarkStart w:id="12" w:name="_Ref158824704"/>
      <w:r>
        <w:rPr>
          <w:bCs/>
        </w:rPr>
        <w:t>Приостанавливать осуществление любых платежей (независимо от наличия оснований и наступления сроков таких платежей) и производство Работ по Договору путем направления Субподрядчику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выполнения Работ, требований Технического задания, Применимого права, до устранения таких нарушений или их последствий, устанавливать сроки устранения таких нарушений. При этом Генподрядчик не будет считаться просрочившим и / или нарушившим свои обязательства по Договору. Приостановка Работ по причинам, указанным в настоящем пункте, не является основанием для продления сроков выполнения Субподрядчиком Работ, установленных Договором. В случае, когда в результате такой приостановки становится очевидной невозможность завершения Работ в срок, установленный Договором, Генподрядчик вправе отказаться от его исполнения и потребовать возмещения причиненных убытков.</w:t>
      </w:r>
      <w:bookmarkEnd w:id="11"/>
      <w:bookmarkEnd w:id="12"/>
      <w:r>
        <w:rPr>
          <w:bCs/>
        </w:rPr>
        <w:t xml:space="preserve"> </w:t>
      </w:r>
    </w:p>
    <w:p>
      <w:pPr>
        <w:pStyle w:val="ListParagraph"/>
        <w:numPr>
          <w:ilvl w:val="2"/>
          <w:numId w:val="3"/>
        </w:numPr>
        <w:shd w:val="clear" w:color="auto" w:fill="FFFFFF"/>
        <w:tabs>
          <w:tab w:val="clear" w:pos="709"/>
          <w:tab w:val="left" w:pos="1418" w:leader="none"/>
        </w:tabs>
        <w:ind w:left="0" w:firstLine="709"/>
        <w:jc w:val="both"/>
        <w:rPr>
          <w:bCs/>
        </w:rPr>
      </w:pPr>
      <w:bookmarkStart w:id="13" w:name="_Ref361334468"/>
      <w:r>
        <w:rPr>
          <w:bCs/>
        </w:rPr>
        <w:t>Изымать пропуска и не допускать на территорию Заказчика работников Субподрядчика и / или привлеченных им СубСубподрядчиков при выявлении нарушений такими работниками пропускного и внутриобъектового режима, требований охраны труда, пожарной и промышленной безопасности, природоохранного законодательства, на период до принятия совместного решения Сторон о возобновлении допуска.</w:t>
      </w:r>
      <w:bookmarkEnd w:id="13"/>
    </w:p>
    <w:p>
      <w:pPr>
        <w:pStyle w:val="ListParagraph"/>
        <w:numPr>
          <w:ilvl w:val="2"/>
          <w:numId w:val="3"/>
        </w:numPr>
        <w:shd w:val="clear" w:color="auto" w:fill="FFFFFF"/>
        <w:tabs>
          <w:tab w:val="clear" w:pos="709"/>
          <w:tab w:val="left" w:pos="1418" w:leader="none"/>
        </w:tabs>
        <w:ind w:left="0" w:firstLine="709"/>
        <w:jc w:val="both"/>
        <w:rPr>
          <w:bCs/>
        </w:rPr>
      </w:pPr>
      <w:bookmarkStart w:id="14" w:name="_Ref361319348"/>
      <w:r>
        <w:rPr>
          <w:bCs/>
        </w:rPr>
        <w:t>Вносить изменения в Техническое задание при условии, если вызываемые этим дополнительные работы не меняют характера предусмотренных в Договоре Работ таким образом, что выполнение указаний Генподрядчика потребовало бы от Субподрядчика получения отсутствующих у него допусков, разрешений и / или лицензий. В целях внесения соответствующих изменений Генподрядчик обязан направить Субподрядчику письменное распоряжение, обязательное к выполнению Субподрядчиком.</w:t>
      </w:r>
      <w:bookmarkEnd w:id="14"/>
      <w:r>
        <w:rPr>
          <w:bCs/>
        </w:rPr>
        <w:t xml:space="preserve"> </w:t>
      </w:r>
    </w:p>
    <w:p>
      <w:pPr>
        <w:pStyle w:val="ListParagraph"/>
        <w:numPr>
          <w:ilvl w:val="2"/>
          <w:numId w:val="3"/>
        </w:numPr>
        <w:shd w:val="clear" w:color="auto" w:fill="FFFFFF"/>
        <w:tabs>
          <w:tab w:val="clear" w:pos="709"/>
          <w:tab w:val="left" w:pos="1418" w:leader="none"/>
        </w:tabs>
        <w:ind w:left="0" w:firstLine="709"/>
        <w:jc w:val="both"/>
        <w:rPr>
          <w:bCs/>
        </w:rPr>
      </w:pPr>
      <w:r>
        <w:rPr>
          <w:bCs/>
        </w:rPr>
        <w:t>Давать Субподрядчику указания о способе выполнения Работ, если такие указания не противоречат условиям Договора и не являются вмешательством в деятельность Субподрядчика.</w:t>
      </w:r>
    </w:p>
    <w:p>
      <w:pPr>
        <w:pStyle w:val="ListParagraph"/>
        <w:numPr>
          <w:ilvl w:val="2"/>
          <w:numId w:val="3"/>
        </w:numPr>
        <w:shd w:val="clear" w:color="auto" w:fill="FFFFFF"/>
        <w:tabs>
          <w:tab w:val="clear" w:pos="709"/>
          <w:tab w:val="left" w:pos="1418" w:leader="none"/>
        </w:tabs>
        <w:ind w:left="0" w:firstLine="710"/>
        <w:jc w:val="both"/>
        <w:rPr>
          <w:bCs/>
        </w:rPr>
      </w:pPr>
      <w:r>
        <w:rPr>
          <w:bCs/>
        </w:rPr>
        <w:t>В течение действия Договора обращаться к Субподрядчику с устными и письменными запросами с целью разъяснения (уточнения, конкретизации) расчетов, заключений, выводов, содержащихся в Результате Работ.</w:t>
      </w:r>
    </w:p>
    <w:p>
      <w:pPr>
        <w:pStyle w:val="ListParagraph"/>
        <w:numPr>
          <w:ilvl w:val="2"/>
          <w:numId w:val="3"/>
        </w:numPr>
        <w:shd w:val="clear" w:color="auto" w:fill="FFFFFF"/>
        <w:tabs>
          <w:tab w:val="clear" w:pos="709"/>
          <w:tab w:val="left" w:pos="1418" w:leader="none"/>
        </w:tabs>
        <w:ind w:left="0" w:firstLine="709"/>
        <w:jc w:val="both"/>
        <w:rPr>
          <w:bCs/>
        </w:rPr>
      </w:pPr>
      <w:r>
        <w:rPr>
          <w:bCs/>
        </w:rPr>
        <w:t>Требовать от Субподрядчика представления информации и пояснений о ходе выполнения Работ, требовать представления Генподрядчику документов, полученных Субподрядчиком в ходе выполнения своих обязательств по Договору, в том числе копий предписаний контролирующих и надзорных органов, выданных Субподрядчику и/или привлеченным им СубСубподрядчикам.</w:t>
      </w:r>
    </w:p>
    <w:p>
      <w:pPr>
        <w:pStyle w:val="ListParagraph"/>
        <w:numPr>
          <w:ilvl w:val="2"/>
          <w:numId w:val="3"/>
        </w:numPr>
        <w:shd w:val="clear" w:color="auto" w:fill="FFFFFF"/>
        <w:tabs>
          <w:tab w:val="left" w:pos="709" w:leader="none"/>
        </w:tabs>
        <w:ind w:left="0" w:firstLine="709"/>
        <w:jc w:val="both"/>
        <w:rPr>
          <w:bCs/>
        </w:rPr>
      </w:pPr>
      <w:r>
        <w:rPr>
          <w:bCs/>
        </w:rPr>
        <w:t>Использовать Результат Работ по своему усмотрению, в том числе передавать Результат Работ третьим лицам без письменного согласия Субподрядчика.</w:t>
      </w:r>
    </w:p>
    <w:p>
      <w:pPr>
        <w:pStyle w:val="ListParagraph"/>
        <w:numPr>
          <w:ilvl w:val="2"/>
          <w:numId w:val="3"/>
        </w:numPr>
        <w:shd w:val="clear" w:color="auto" w:fill="FFFFFF"/>
        <w:tabs>
          <w:tab w:val="left" w:pos="709" w:leader="none"/>
        </w:tabs>
        <w:ind w:left="0" w:firstLine="709"/>
        <w:jc w:val="both"/>
        <w:rPr>
          <w:bCs/>
        </w:rPr>
      </w:pPr>
      <w:r>
        <w:rPr>
          <w:bCs/>
        </w:rPr>
        <w:t xml:space="preserve">Приостановить действие договора в случае приостановки Генерального договора </w:t>
      </w:r>
    </w:p>
    <w:p>
      <w:pPr>
        <w:pStyle w:val="Normal"/>
        <w:numPr>
          <w:ilvl w:val="2"/>
          <w:numId w:val="3"/>
        </w:numPr>
        <w:shd w:val="clear" w:color="auto" w:fill="FFFFFF"/>
        <w:tabs>
          <w:tab w:val="clear" w:pos="709"/>
          <w:tab w:val="left" w:pos="0" w:leader="none"/>
        </w:tabs>
        <w:spacing w:lineRule="auto" w:line="240" w:before="0" w:after="0"/>
        <w:ind w:left="0" w:firstLine="709"/>
        <w:contextualSpacing/>
        <w:rPr>
          <w:bCs/>
          <w:sz w:val="24"/>
          <w:szCs w:val="24"/>
        </w:rPr>
      </w:pPr>
      <w:r>
        <w:rPr>
          <w:color w:val="000000"/>
          <w:sz w:val="24"/>
          <w:szCs w:val="24"/>
        </w:rPr>
        <w:t>Б</w:t>
      </w:r>
      <w:r>
        <w:rPr>
          <w:rFonts w:eastAsia="Arial" w:eastAsiaTheme="minorEastAsia"/>
          <w:color w:val="000000"/>
          <w:sz w:val="24"/>
          <w:szCs w:val="24"/>
        </w:rPr>
        <w:t xml:space="preserve">ез письменного согласия </w:t>
      </w:r>
      <w:r>
        <w:rPr>
          <w:color w:val="000000"/>
          <w:sz w:val="24"/>
          <w:szCs w:val="24"/>
        </w:rPr>
        <w:t>Субподрядчика</w:t>
      </w:r>
      <w:r>
        <w:rPr>
          <w:rFonts w:eastAsia="Arial" w:eastAsiaTheme="minorEastAsia"/>
          <w:color w:val="000000"/>
          <w:sz w:val="24"/>
          <w:szCs w:val="24"/>
        </w:rPr>
        <w:t xml:space="preserve"> передать первичные бухгалтерские документы по Договору (договор с приложениями, все заключаемые дополнительные соглашения к нему, счета, акты, акты выполненных работ, акты сверки взаимных расчетов и иные документы в рамках исполнения договора) в АО «РусГидро - ОЦО» осуществляющее оказание услуг </w:t>
      </w:r>
      <w:r>
        <w:rPr>
          <w:color w:val="000000"/>
          <w:sz w:val="24"/>
          <w:szCs w:val="24"/>
        </w:rPr>
        <w:t>Генподрядчику</w:t>
      </w:r>
      <w:r>
        <w:rPr>
          <w:rFonts w:eastAsia="Arial" w:eastAsiaTheme="minorEastAsia"/>
          <w:color w:val="000000"/>
          <w:sz w:val="24"/>
          <w:szCs w:val="24"/>
        </w:rPr>
        <w:t xml:space="preserve"> по бухгалтерскому и налоговому учету.</w:t>
      </w:r>
    </w:p>
    <w:p>
      <w:pPr>
        <w:pStyle w:val="ListParagraph"/>
        <w:shd w:val="clear" w:color="auto" w:fill="FFFFFF"/>
        <w:tabs>
          <w:tab w:val="clear" w:pos="709"/>
          <w:tab w:val="left" w:pos="567" w:leader="none"/>
        </w:tabs>
        <w:ind w:left="0" w:firstLine="567"/>
        <w:jc w:val="both"/>
        <w:rPr>
          <w:bCs/>
          <w:color w:val="FF0000"/>
        </w:rPr>
      </w:pPr>
      <w:r>
        <w:rPr>
          <w:bCs/>
          <w:color w:val="FF0000"/>
        </w:rPr>
      </w:r>
    </w:p>
    <w:p>
      <w:pPr>
        <w:pStyle w:val="ListParagraph"/>
        <w:numPr>
          <w:ilvl w:val="1"/>
          <w:numId w:val="3"/>
        </w:numPr>
        <w:shd w:val="clear" w:color="auto" w:fill="FFFFFF"/>
        <w:tabs>
          <w:tab w:val="clear" w:pos="709"/>
          <w:tab w:val="left" w:pos="1134" w:leader="none"/>
        </w:tabs>
        <w:ind w:left="0" w:firstLine="709"/>
        <w:jc w:val="both"/>
        <w:rPr>
          <w:bCs/>
        </w:rPr>
      </w:pPr>
      <w:r>
        <w:rPr>
          <w:bCs/>
          <w:u w:val="single"/>
        </w:rPr>
        <w:t>Субподрядчик обязан</w:t>
      </w:r>
      <w:r>
        <w:rPr>
          <w:bCs/>
        </w:rPr>
        <w:t>:</w:t>
      </w:r>
    </w:p>
    <w:p>
      <w:pPr>
        <w:pStyle w:val="ListParagraph"/>
        <w:numPr>
          <w:ilvl w:val="2"/>
          <w:numId w:val="3"/>
        </w:numPr>
        <w:shd w:val="clear" w:color="auto" w:fill="FFFFFF"/>
        <w:tabs>
          <w:tab w:val="clear" w:pos="709"/>
          <w:tab w:val="left" w:pos="1418" w:leader="none"/>
        </w:tabs>
        <w:ind w:left="0" w:firstLine="709"/>
        <w:jc w:val="both"/>
        <w:rPr>
          <w:bCs/>
        </w:rPr>
      </w:pPr>
      <w:r>
        <w:rPr>
          <w:bCs/>
        </w:rPr>
        <w:t>Выполнить Работы в объеме, сроки и с качеством, соответствующим требованиям Договора и Применимого права</w:t>
      </w:r>
      <w:r>
        <w:rPr/>
        <w:t xml:space="preserve"> </w:t>
      </w:r>
      <w:r>
        <w:rPr>
          <w:bCs/>
        </w:rPr>
        <w:t>и сдать их результат Генподрядчику.</w:t>
      </w:r>
    </w:p>
    <w:p>
      <w:pPr>
        <w:pStyle w:val="ListParagraph"/>
        <w:numPr>
          <w:ilvl w:val="2"/>
          <w:numId w:val="3"/>
        </w:numPr>
        <w:shd w:val="clear" w:color="auto" w:fill="FFFFFF"/>
        <w:tabs>
          <w:tab w:val="clear" w:pos="709"/>
          <w:tab w:val="left" w:pos="1418" w:leader="none"/>
        </w:tabs>
        <w:ind w:left="0" w:firstLine="709"/>
        <w:jc w:val="both"/>
        <w:rPr>
          <w:bCs/>
        </w:rPr>
      </w:pPr>
      <w:r>
        <w:rPr>
          <w:bCs/>
        </w:rPr>
        <w:t xml:space="preserve">В срок, указанный в пункте </w:t>
      </w:r>
      <w:r>
        <w:rPr>
          <w:bCs/>
        </w:rPr>
        <w:fldChar w:fldCharType="begin"/>
      </w:r>
      <w:r>
        <w:rPr>
          <w:bCs/>
        </w:rPr>
        <w:instrText> REF _Ref158824639 \r \h </w:instrText>
      </w:r>
      <w:r>
        <w:rPr>
          <w:bCs/>
        </w:rPr>
        <w:fldChar w:fldCharType="separate"/>
      </w:r>
      <w:r>
        <w:rPr>
          <w:bCs/>
        </w:rPr>
        <w:t>2.1.2.</w:t>
      </w:r>
      <w:r>
        <w:rPr>
          <w:bCs/>
        </w:rPr>
        <w:fldChar w:fldCharType="end"/>
      </w:r>
      <w:r>
        <w:rPr>
          <w:bCs/>
        </w:rPr>
        <w:t xml:space="preserve"> Договора, принять от Генподрядчика/Заказчика на время выполнения Работ по Договору: </w:t>
      </w:r>
    </w:p>
    <w:p>
      <w:pPr>
        <w:pStyle w:val="ListParagraph"/>
        <w:numPr>
          <w:ilvl w:val="0"/>
          <w:numId w:val="14"/>
        </w:numPr>
        <w:shd w:val="clear" w:color="auto" w:fill="FFFFFF"/>
        <w:tabs>
          <w:tab w:val="clear" w:pos="709"/>
          <w:tab w:val="left" w:pos="1418" w:leader="none"/>
        </w:tabs>
        <w:ind w:left="0" w:firstLine="709"/>
        <w:jc w:val="both"/>
        <w:rPr>
          <w:bCs/>
        </w:rPr>
      </w:pPr>
      <w:r>
        <w:rPr>
          <w:bCs/>
        </w:rPr>
        <w:t>техническую и иную документацию, указанную в Техническом задании (Приложение № 1 к Договору) по Акту сдачи-приемки технической и иной документации (Приложение № 4.2 к Договору).</w:t>
      </w:r>
    </w:p>
    <w:p>
      <w:pPr>
        <w:pStyle w:val="ListParagraph"/>
        <w:shd w:val="clear" w:color="auto" w:fill="FFFFFF"/>
        <w:tabs>
          <w:tab w:val="left" w:pos="709" w:leader="none"/>
        </w:tabs>
        <w:ind w:left="0" w:firstLine="709"/>
        <w:jc w:val="both"/>
        <w:rPr>
          <w:bCs/>
        </w:rPr>
      </w:pPr>
      <w:r>
        <w:rPr/>
        <w:t>В случае невыполнения данной обязанности Субподрядчик лишается права предъявлять Генподрядчику какие-либо претензии, в том числе относительно увеличения объема или сроков выполнения Работ, вызванные наличием у Субподрядчика замечаний к переданным Генподрядчиком местам (помещению).</w:t>
      </w:r>
    </w:p>
    <w:p>
      <w:pPr>
        <w:pStyle w:val="ListParagraph"/>
        <w:numPr>
          <w:ilvl w:val="2"/>
          <w:numId w:val="3"/>
        </w:numPr>
        <w:shd w:val="clear" w:color="auto" w:fill="FFFFFF"/>
        <w:tabs>
          <w:tab w:val="clear" w:pos="709"/>
          <w:tab w:val="left" w:pos="1418" w:leader="none"/>
        </w:tabs>
        <w:ind w:left="0" w:firstLine="709"/>
        <w:jc w:val="both"/>
        <w:rPr>
          <w:bCs/>
        </w:rPr>
      </w:pPr>
      <w:r>
        <w:rPr>
          <w:bCs/>
        </w:rPr>
        <w:t>Выдать замечания в отношении технической и иной документации, предоставленной Генподрядчиком, в течение 10 (десяти) рабочих дней от даты принятия ее по Акту сдачи-приемки технической и иной документации (Приложение № 4.2 к Договору). Отсутствие таких замечаний в указанный срок свидетельствует о проверке Субподрядчиком технической и иной документации и лишает Субподрядчика права ссылаться на недостатки данной документации в дальнейшем.</w:t>
      </w:r>
    </w:p>
    <w:p>
      <w:pPr>
        <w:pStyle w:val="Normal"/>
        <w:widowControl w:val="false"/>
        <w:numPr>
          <w:ilvl w:val="2"/>
          <w:numId w:val="3"/>
        </w:numPr>
        <w:tabs>
          <w:tab w:val="left" w:pos="709" w:leader="none"/>
          <w:tab w:val="left" w:pos="1430" w:leader="none"/>
        </w:tabs>
        <w:spacing w:lineRule="auto" w:line="240"/>
        <w:ind w:left="0" w:firstLine="709"/>
        <w:rPr>
          <w:bCs/>
          <w:sz w:val="24"/>
          <w:szCs w:val="24"/>
        </w:rPr>
      </w:pPr>
      <w:r>
        <w:rPr>
          <w:bCs/>
          <w:sz w:val="24"/>
          <w:szCs w:val="24"/>
        </w:rPr>
        <w:t xml:space="preserve">В случае недостаточности для производства Работ по Договору в части Инженерных изысканий источников электроснабжения, водоснабжения или канализации, предоставленных Генподрядчиком в соответствии с пунктом </w:t>
      </w:r>
      <w:r>
        <w:rPr>
          <w:bCs/>
          <w:sz w:val="24"/>
          <w:szCs w:val="24"/>
        </w:rPr>
        <w:fldChar w:fldCharType="begin"/>
      </w:r>
      <w:r>
        <w:rPr>
          <w:sz w:val="24"/>
          <w:szCs w:val="24"/>
          <w:bCs/>
        </w:rPr>
        <w:instrText> REF _Ref158824665 \r \h </w:instrText>
      </w:r>
      <w:r>
        <w:rPr>
          <w:sz w:val="24"/>
          <w:szCs w:val="24"/>
          <w:bCs/>
        </w:rPr>
        <w:fldChar w:fldCharType="separate"/>
      </w:r>
      <w:r>
        <w:rPr>
          <w:sz w:val="24"/>
          <w:szCs w:val="24"/>
          <w:bCs/>
        </w:rPr>
        <w:t>2.1.3.</w:t>
      </w:r>
      <w:r>
        <w:rPr>
          <w:sz w:val="24"/>
          <w:szCs w:val="24"/>
          <w:bCs/>
        </w:rPr>
        <w:fldChar w:fldCharType="end"/>
      </w:r>
      <w:r>
        <w:rPr>
          <w:bCs/>
          <w:sz w:val="24"/>
          <w:szCs w:val="24"/>
        </w:rPr>
        <w:t xml:space="preserve"> Договора, а также при отсутствии таких источников в месте производства Работ, самостоятельно обеспечить наличие электроэнергии, воды и других ресурсов, необходимых для выполнения Работ.</w:t>
      </w:r>
    </w:p>
    <w:p>
      <w:pPr>
        <w:pStyle w:val="Normal"/>
        <w:widowControl w:val="false"/>
        <w:numPr>
          <w:ilvl w:val="2"/>
          <w:numId w:val="3"/>
        </w:numPr>
        <w:tabs>
          <w:tab w:val="left" w:pos="709" w:leader="none"/>
          <w:tab w:val="left" w:pos="1430" w:leader="none"/>
        </w:tabs>
        <w:spacing w:lineRule="auto" w:line="240"/>
        <w:ind w:left="0" w:firstLine="709"/>
        <w:rPr>
          <w:sz w:val="24"/>
          <w:szCs w:val="24"/>
        </w:rPr>
      </w:pPr>
      <w:r>
        <w:rPr>
          <w:sz w:val="24"/>
          <w:szCs w:val="24"/>
        </w:rPr>
        <w:t>Запрашивать и получать все исходные данные, необходимые для выполнения Работ по Договору, за исключением исходных данных, содержащихся в технической и иной документации, которую в соответствии Техническим заданием (Приложение № 1 к Договору) должен предоставить Генподрядчик.</w:t>
      </w:r>
    </w:p>
    <w:p>
      <w:pPr>
        <w:pStyle w:val="ListParagraph"/>
        <w:numPr>
          <w:ilvl w:val="2"/>
          <w:numId w:val="3"/>
        </w:numPr>
        <w:shd w:val="clear" w:color="auto" w:fill="FFFFFF"/>
        <w:tabs>
          <w:tab w:val="clear" w:pos="709"/>
          <w:tab w:val="left" w:pos="1418" w:leader="none"/>
        </w:tabs>
        <w:ind w:left="0" w:firstLine="709"/>
        <w:jc w:val="both"/>
        <w:rPr>
          <w:bCs/>
        </w:rPr>
      </w:pPr>
      <w:r>
        <w:rPr/>
        <w:t>До фактического начала выполнения Работ предоставить Генподрядчику</w:t>
      </w:r>
      <w:r>
        <w:rPr>
          <w:bCs/>
        </w:rPr>
        <w:t>:</w:t>
      </w:r>
    </w:p>
    <w:p>
      <w:pPr>
        <w:pStyle w:val="ListParagraph"/>
        <w:numPr>
          <w:ilvl w:val="0"/>
          <w:numId w:val="12"/>
        </w:numPr>
        <w:shd w:val="clear" w:color="auto" w:fill="FFFFFF"/>
        <w:tabs>
          <w:tab w:val="clear" w:pos="709"/>
          <w:tab w:val="left" w:pos="1418" w:leader="none"/>
        </w:tabs>
        <w:ind w:left="0" w:firstLine="709"/>
        <w:jc w:val="both"/>
        <w:rPr/>
      </w:pPr>
      <w:r>
        <w:rPr/>
        <w:t>контакты и должность представителей Субподрядчика, уполномоченных на оперативное рассмотрение и решение технических и организационных вопросов, связанных с выполнением Работ</w:t>
      </w:r>
      <w:r>
        <w:rPr>
          <w:bCs/>
        </w:rPr>
        <w:t xml:space="preserve">; </w:t>
      </w:r>
    </w:p>
    <w:p>
      <w:pPr>
        <w:pStyle w:val="ListParagraph"/>
        <w:numPr>
          <w:ilvl w:val="0"/>
          <w:numId w:val="12"/>
        </w:numPr>
        <w:shd w:val="clear" w:color="auto" w:fill="FFFFFF"/>
        <w:tabs>
          <w:tab w:val="clear" w:pos="709"/>
          <w:tab w:val="left" w:pos="1418" w:leader="none"/>
        </w:tabs>
        <w:ind w:left="0" w:firstLine="709"/>
        <w:jc w:val="both"/>
        <w:rPr>
          <w:bCs/>
        </w:rPr>
      </w:pPr>
      <w:r>
        <w:rPr>
          <w:bCs/>
        </w:rPr>
        <w:t>контакты и должность представителя Субподрядчика, ответственного за соблюдение норм и правил в области охраны труда, электробезопасности, пожарной и промышленной безопасности, природоохранного законодательства в Месте производства Работ. Субподрядчик обязан обеспечить присутствие указанного лица в Месте производства Работ в течение всего срока их выполнения.</w:t>
      </w:r>
    </w:p>
    <w:p>
      <w:pPr>
        <w:pStyle w:val="ListParagraph"/>
        <w:numPr>
          <w:ilvl w:val="2"/>
          <w:numId w:val="3"/>
        </w:numPr>
        <w:shd w:val="clear" w:color="auto" w:fill="FFFFFF"/>
        <w:tabs>
          <w:tab w:val="clear" w:pos="709"/>
          <w:tab w:val="left" w:pos="1418" w:leader="none"/>
        </w:tabs>
        <w:ind w:left="0" w:firstLine="709"/>
        <w:jc w:val="both"/>
        <w:rPr>
          <w:bCs/>
        </w:rPr>
      </w:pPr>
      <w:r>
        <w:rPr>
          <w:bCs/>
        </w:rPr>
        <w:t xml:space="preserve">Обеспечить сохранность переданной Генподрядчиком по соответствующим актам сдачи-приемки Места выполнения Работ, технической и иной документации, а также возврат ее Генподрядчику не позднее даты окончания выполнения Работ, указанной в пункте </w:t>
      </w:r>
      <w:r>
        <w:rPr>
          <w:bCs/>
        </w:rPr>
        <w:fldChar w:fldCharType="begin"/>
      </w:r>
      <w:r>
        <w:rPr>
          <w:bCs/>
        </w:rPr>
        <w:instrText> REF _Ref158824684 \r \h </w:instrText>
      </w:r>
      <w:r>
        <w:rPr>
          <w:bCs/>
        </w:rPr>
        <w:fldChar w:fldCharType="separate"/>
      </w:r>
      <w:r>
        <w:rPr>
          <w:bCs/>
        </w:rPr>
        <w:t>1.4.2.</w:t>
      </w:r>
      <w:r>
        <w:rPr>
          <w:bCs/>
        </w:rPr>
        <w:fldChar w:fldCharType="end"/>
      </w:r>
      <w:r>
        <w:rPr>
          <w:bCs/>
        </w:rPr>
        <w:t xml:space="preserve"> Договора, либо, в случаях прекращения (расторжения) Договора, указанных в пункте </w:t>
      </w:r>
      <w:r>
        <w:rPr>
          <w:bCs/>
        </w:rPr>
        <w:fldChar w:fldCharType="begin"/>
      </w:r>
      <w:r>
        <w:rPr>
          <w:bCs/>
        </w:rPr>
        <w:instrText> REF _Ref158824704 \r \h </w:instrText>
      </w:r>
      <w:r>
        <w:rPr>
          <w:bCs/>
        </w:rPr>
        <w:fldChar w:fldCharType="separate"/>
      </w:r>
      <w:r>
        <w:rPr>
          <w:bCs/>
        </w:rPr>
        <w:t>2.2.3.</w:t>
      </w:r>
      <w:r>
        <w:rPr>
          <w:bCs/>
        </w:rPr>
        <w:fldChar w:fldCharType="end"/>
      </w:r>
      <w:r>
        <w:rPr>
          <w:bCs/>
        </w:rPr>
        <w:t xml:space="preserve"> и разделе 15 Договора, – не позднее 3 (трех) рабочих дней с даты получения соответствующего требования Генподрядчика. </w:t>
      </w:r>
    </w:p>
    <w:p>
      <w:pPr>
        <w:pStyle w:val="ListParagraph"/>
        <w:numPr>
          <w:ilvl w:val="2"/>
          <w:numId w:val="3"/>
        </w:numPr>
        <w:shd w:val="clear" w:color="auto" w:fill="FFFFFF"/>
        <w:tabs>
          <w:tab w:val="clear" w:pos="709"/>
          <w:tab w:val="left" w:pos="1418" w:leader="none"/>
        </w:tabs>
        <w:ind w:left="0" w:firstLine="709"/>
        <w:jc w:val="both"/>
        <w:rPr/>
      </w:pPr>
      <w:r>
        <w:rPr/>
        <w:t>Обеспечить наличие допусков, разрешений и лицензий, необходимых для производства Работ.</w:t>
      </w:r>
    </w:p>
    <w:p>
      <w:pPr>
        <w:pStyle w:val="ListParagraph"/>
        <w:shd w:val="clear" w:color="auto" w:fill="FFFFFF"/>
        <w:tabs>
          <w:tab w:val="clear" w:pos="709"/>
          <w:tab w:val="left" w:pos="1418" w:leader="none"/>
        </w:tabs>
        <w:ind w:left="0" w:firstLine="709"/>
        <w:jc w:val="both"/>
        <w:rPr/>
      </w:pPr>
      <w:r>
        <w:rPr/>
        <w:t>Субподрядчик обязан незамедлительно, но в любом случае не позднее рабочего дня, следующего за днем наступлением соответствующего обстоятельства, сообщать Генподрядчику об отзыве, прекращении, приостановлении действия, признании недействительными или утрате по другим основаниям допусков, разрешений и лицензий, необходимых для надлежащего исполнения Субподрядчиком своих обязательств по Договору</w:t>
      </w:r>
      <w:r>
        <w:rPr>
          <w:bCs/>
        </w:rPr>
        <w:t>, в том числе указанных в Приложении № 5 к Договору</w:t>
      </w:r>
      <w:r>
        <w:rPr/>
        <w:t xml:space="preserve">, а также в разумный срок обеспечить получение соответствующих допусков, разрешений и лицензий в срок, обеспечивающих надлежащее исполнение Субподрядчиком обязательств по Договору. </w:t>
      </w:r>
    </w:p>
    <w:p>
      <w:pPr>
        <w:pStyle w:val="ListParagraph"/>
        <w:shd w:val="clear" w:color="auto" w:fill="FFFFFF"/>
        <w:tabs>
          <w:tab w:val="clear" w:pos="709"/>
          <w:tab w:val="left" w:pos="1418" w:leader="none"/>
        </w:tabs>
        <w:ind w:left="0" w:firstLine="709"/>
        <w:jc w:val="both"/>
        <w:rPr/>
      </w:pPr>
      <w:r>
        <w:rPr/>
        <w:t>Если в процессе выполнения Работ по Договору законом или иным нормативным правовым актом будет установлена обязанность Субподрядчика получить дополнительные допуски, разрешения и / или лицензии, Субподрядчик обязан направить Генподрядчику соответствующее письменное уведомление, а также в разумный срок получить необходимые допуски, разрешения и / или лицензии и направить их копии Генподрядчику.</w:t>
      </w:r>
    </w:p>
    <w:p>
      <w:pPr>
        <w:pStyle w:val="ListParagraph"/>
        <w:shd w:val="clear" w:color="auto" w:fill="FFFFFF"/>
        <w:tabs>
          <w:tab w:val="clear" w:pos="709"/>
          <w:tab w:val="left" w:pos="1418" w:leader="none"/>
        </w:tabs>
        <w:ind w:left="0" w:firstLine="709"/>
        <w:jc w:val="both"/>
        <w:rPr/>
      </w:pPr>
      <w:r>
        <w:rPr/>
        <w:t xml:space="preserve">Во избежание сомнений, принятие соответствующего закона или иного нормативного правового акта не будет рассматриваться для целей Договора как обстоятельство непреодолимой силы (форс-мажор), указанное в пункте </w:t>
      </w:r>
      <w:r>
        <w:rPr/>
        <w:fldChar w:fldCharType="begin"/>
      </w:r>
      <w:r>
        <w:rPr/>
        <w:instrText> REF _Ref158824754 \r \h </w:instrText>
      </w:r>
      <w:r>
        <w:rPr/>
        <w:fldChar w:fldCharType="separate"/>
      </w:r>
      <w:r>
        <w:rPr/>
        <w:t>11.1.</w:t>
      </w:r>
      <w:r>
        <w:rPr/>
        <w:fldChar w:fldCharType="end"/>
      </w:r>
      <w:r>
        <w:rPr/>
        <w:t xml:space="preserve"> Договора, и Субподрядчик не будет иметь права на продление сроков выполнения Работ или увеличение стоимости Работ, если Сторонами письменно не согласовано иное.</w:t>
      </w:r>
    </w:p>
    <w:p>
      <w:pPr>
        <w:pStyle w:val="ListParagraph"/>
        <w:numPr>
          <w:ilvl w:val="2"/>
          <w:numId w:val="3"/>
        </w:numPr>
        <w:shd w:val="clear" w:color="auto" w:fill="FFFFFF"/>
        <w:tabs>
          <w:tab w:val="clear" w:pos="709"/>
          <w:tab w:val="left" w:pos="1418" w:leader="none"/>
        </w:tabs>
        <w:ind w:left="0" w:firstLine="709"/>
        <w:jc w:val="both"/>
        <w:rPr>
          <w:bCs/>
        </w:rPr>
      </w:pPr>
      <w:r>
        <w:rPr/>
        <w:t>Выполнять</w:t>
      </w:r>
      <w:r>
        <w:rPr>
          <w:bCs/>
        </w:rPr>
        <w:t xml:space="preserve"> Работы силами квалифицированных специалистов , прошедших соответствующую подготовку, квалификация, опыт и компетенция которых позволяет обеспечить надлежащее и качественное выполнение Работ. </w:t>
      </w:r>
    </w:p>
    <w:p>
      <w:pPr>
        <w:pStyle w:val="ListParagraph"/>
        <w:numPr>
          <w:ilvl w:val="2"/>
          <w:numId w:val="3"/>
        </w:numPr>
        <w:shd w:val="clear" w:color="auto" w:fill="FFFFFF"/>
        <w:tabs>
          <w:tab w:val="clear" w:pos="709"/>
          <w:tab w:val="left" w:pos="1418" w:leader="none"/>
        </w:tabs>
        <w:ind w:left="0" w:firstLine="709"/>
        <w:jc w:val="both"/>
        <w:rPr>
          <w:bCs/>
        </w:rPr>
      </w:pPr>
      <w:r>
        <w:rPr>
          <w:bCs/>
        </w:rPr>
        <w:t>В случаях, установленных правилами пропускного и внутриобъектового режима Генподрядчика /Заказчика, предварительно согласовать с Генподрядчиком /Заказчиком пофамильные списки персонала, задействованного при производстве Работ.</w:t>
      </w:r>
    </w:p>
    <w:p>
      <w:pPr>
        <w:pStyle w:val="ListParagraph"/>
        <w:numPr>
          <w:ilvl w:val="2"/>
          <w:numId w:val="3"/>
        </w:numPr>
        <w:shd w:val="clear" w:color="auto" w:fill="FFFFFF"/>
        <w:tabs>
          <w:tab w:val="clear" w:pos="709"/>
          <w:tab w:val="left" w:pos="1418" w:leader="none"/>
        </w:tabs>
        <w:ind w:left="0" w:firstLine="709"/>
        <w:jc w:val="both"/>
        <w:rPr>
          <w:bCs/>
        </w:rPr>
      </w:pPr>
      <w:r>
        <w:rPr>
          <w:bCs/>
        </w:rPr>
        <w:t>Провести инструктаж персонала, задействованного при выполнении Работ на территории Генподрядчика /Заказчика, обеспечить соблюдение (в том числе указанным персоналом) правил эксплуатации электроустановок, требований охраны труда, пожарной и промышленной безопасности, экологических, санитарных требований и правил, а также иных нормативных правовых актов и требований локальных нормативных актов Генподрядчика.</w:t>
      </w:r>
    </w:p>
    <w:p>
      <w:pPr>
        <w:pStyle w:val="ListParagraph"/>
        <w:numPr>
          <w:ilvl w:val="2"/>
          <w:numId w:val="3"/>
        </w:numPr>
        <w:shd w:val="clear" w:color="auto" w:fill="FFFFFF"/>
        <w:tabs>
          <w:tab w:val="clear" w:pos="709"/>
          <w:tab w:val="left" w:pos="1418" w:leader="none"/>
        </w:tabs>
        <w:ind w:left="0" w:firstLine="709"/>
        <w:jc w:val="both"/>
        <w:rPr>
          <w:bCs/>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Генподрядчику /Заказчику по условиям Договора, на такую передачу, а также осуществление Генподрядчиком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Генподрядчика /Заказчика предоставить документы, подтверждающие получение такого согласия.</w:t>
      </w:r>
    </w:p>
    <w:p>
      <w:pPr>
        <w:pStyle w:val="ListParagraph"/>
        <w:numPr>
          <w:ilvl w:val="2"/>
          <w:numId w:val="3"/>
        </w:numPr>
        <w:shd w:val="clear" w:color="auto" w:fill="FFFFFF"/>
        <w:tabs>
          <w:tab w:val="clear" w:pos="709"/>
          <w:tab w:val="left" w:pos="1418" w:leader="none"/>
        </w:tabs>
        <w:ind w:left="0" w:firstLine="709"/>
        <w:jc w:val="both"/>
        <w:rPr>
          <w:bCs/>
        </w:rPr>
      </w:pPr>
      <w:r>
        <w:rPr>
          <w:bCs/>
        </w:rPr>
        <w:t>В случае применения контролирующими органами штрафных санкций к Генподрядчику, Заказчику по фактам нарушения Субподрядчиком/ Субсубподрядчиком требований охраны труда, электробезопасности, пожарной и промышленной безопасности, природоохранного законодательства или иных нормативных правовых актов, возмещать Генподрядчику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3"/>
        </w:numPr>
        <w:shd w:val="clear" w:color="auto" w:fill="FFFFFF"/>
        <w:tabs>
          <w:tab w:val="clear" w:pos="709"/>
          <w:tab w:val="left" w:pos="1418" w:leader="none"/>
        </w:tabs>
        <w:ind w:left="0" w:firstLine="709"/>
        <w:jc w:val="both"/>
        <w:rPr>
          <w:bCs/>
        </w:rPr>
      </w:pPr>
      <w:r>
        <w:rPr>
          <w:bCs/>
        </w:rPr>
        <w:t xml:space="preserve">Передать Генподрядчику Результат Работ, соответствующий требованиям Договора. </w:t>
      </w:r>
    </w:p>
    <w:p>
      <w:pPr>
        <w:pStyle w:val="ListParagraph"/>
        <w:numPr>
          <w:ilvl w:val="2"/>
          <w:numId w:val="3"/>
        </w:numPr>
        <w:shd w:val="clear" w:color="auto" w:fill="FFFFFF"/>
        <w:tabs>
          <w:tab w:val="clear" w:pos="709"/>
          <w:tab w:val="left" w:pos="1418" w:leader="none"/>
        </w:tabs>
        <w:ind w:left="0" w:firstLine="709"/>
        <w:jc w:val="both"/>
        <w:rPr>
          <w:bCs/>
        </w:rPr>
      </w:pPr>
      <w:bookmarkStart w:id="15" w:name="_Ref158828229"/>
      <w:r>
        <w:rPr>
          <w:bCs/>
        </w:rPr>
        <w:t>Выполнять полученные в ходе исполнения Договора указания Генподрядчика</w:t>
      </w:r>
      <w:r>
        <w:rPr/>
        <w:t xml:space="preserve"> </w:t>
      </w:r>
      <w:r>
        <w:rPr>
          <w:bCs/>
        </w:rPr>
        <w:t>если такие указания не противоречат условиям Договора и не представляют собой вмешательства в деятельность Субподрядчика.</w:t>
      </w:r>
      <w:bookmarkEnd w:id="15"/>
      <w:r>
        <w:rPr>
          <w:bCs/>
        </w:rPr>
        <w:t xml:space="preserve"> </w:t>
      </w:r>
    </w:p>
    <w:p>
      <w:pPr>
        <w:pStyle w:val="Normal"/>
        <w:shd w:val="clear" w:color="auto" w:fill="FFFFFF"/>
        <w:tabs>
          <w:tab w:val="clear" w:pos="709"/>
          <w:tab w:val="left" w:pos="1418" w:leader="none"/>
        </w:tabs>
        <w:spacing w:lineRule="auto" w:line="240"/>
        <w:ind w:firstLine="709"/>
        <w:rPr>
          <w:bCs/>
          <w:sz w:val="24"/>
          <w:szCs w:val="24"/>
        </w:rPr>
      </w:pPr>
      <w:r>
        <w:rPr>
          <w:bCs/>
          <w:sz w:val="24"/>
          <w:szCs w:val="24"/>
        </w:rPr>
        <w:t xml:space="preserve">В случае, если такие указания могут привести к увеличению Цены Договора и сроков выполнения Работ, Субподрядчик обязан письменно сообщить об этом Генподрядчику не позднее 5 (пяти) календарных дней с даты получения соответствующего указания Генподрядчика, и Стороны, при неизбежности наступления указанных обстоятельств, обязаны подписать дополнительное соглашение к Договору. </w:t>
      </w:r>
    </w:p>
    <w:p>
      <w:pPr>
        <w:pStyle w:val="Normal"/>
        <w:shd w:val="clear" w:color="auto" w:fill="FFFFFF"/>
        <w:tabs>
          <w:tab w:val="clear" w:pos="709"/>
          <w:tab w:val="left" w:pos="1418" w:leader="none"/>
        </w:tabs>
        <w:spacing w:lineRule="auto" w:line="240"/>
        <w:ind w:firstLine="709"/>
        <w:rPr>
          <w:bCs/>
          <w:sz w:val="24"/>
          <w:szCs w:val="24"/>
        </w:rPr>
      </w:pPr>
      <w:r>
        <w:rPr>
          <w:bCs/>
          <w:sz w:val="24"/>
          <w:szCs w:val="24"/>
        </w:rPr>
        <w:t xml:space="preserve">Субподрядчик не несет ответственности за возможные убытки, возникшие в результате исполнения указаний Генподрядчика, только если Субподрядчик письменно известил Генподрядчика о возможных негативных последствиях исполнения таких указаний в соответствии с пунктом 2.3.16.1 Договора. </w:t>
      </w:r>
    </w:p>
    <w:p>
      <w:pPr>
        <w:pStyle w:val="ListParagraph"/>
        <w:shd w:val="clear" w:color="auto" w:fill="FFFFFF"/>
        <w:tabs>
          <w:tab w:val="clear" w:pos="709"/>
          <w:tab w:val="left" w:pos="1418" w:leader="none"/>
        </w:tabs>
        <w:ind w:left="0" w:firstLine="709"/>
        <w:jc w:val="both"/>
        <w:rPr>
          <w:bCs/>
        </w:rPr>
      </w:pPr>
      <w:r>
        <w:rPr>
          <w:bCs/>
        </w:rPr>
        <w:t xml:space="preserve">Субподрядчик не вправе отказаться от выполнения или задержать выполнение указаний Генподрядчика в части сокращения объемов Работ, прекращения и / или исключения отдельных видов Работ, кроме случая, указанного в пункте 2.3.16.1 Договора. </w:t>
      </w:r>
    </w:p>
    <w:p>
      <w:pPr>
        <w:pStyle w:val="ListParagraph"/>
        <w:numPr>
          <w:ilvl w:val="2"/>
          <w:numId w:val="3"/>
        </w:numPr>
        <w:shd w:val="clear" w:color="auto" w:fill="FFFFFF"/>
        <w:tabs>
          <w:tab w:val="clear" w:pos="709"/>
          <w:tab w:val="left" w:pos="1418" w:leader="none"/>
        </w:tabs>
        <w:ind w:left="0" w:firstLine="709"/>
        <w:jc w:val="both"/>
        <w:rPr>
          <w:bCs/>
        </w:rPr>
      </w:pPr>
      <w:bookmarkStart w:id="16" w:name="_Ref158825059"/>
      <w:r>
        <w:rPr>
          <w:bCs/>
        </w:rPr>
        <w:t>Письменно известить Генподрядчика и до получения от него необходимых указаний приостановить Работу при обнаружении:</w:t>
      </w:r>
      <w:bookmarkEnd w:id="16"/>
    </w:p>
    <w:p>
      <w:pPr>
        <w:pStyle w:val="ListParagraph"/>
        <w:numPr>
          <w:ilvl w:val="3"/>
          <w:numId w:val="3"/>
        </w:numPr>
        <w:shd w:val="clear" w:color="auto" w:fill="FFFFFF"/>
        <w:tabs>
          <w:tab w:val="clear" w:pos="709"/>
          <w:tab w:val="left" w:pos="1701" w:leader="none"/>
        </w:tabs>
        <w:ind w:left="0" w:firstLine="709"/>
        <w:jc w:val="both"/>
        <w:rPr>
          <w:bCs/>
        </w:rPr>
      </w:pPr>
      <w:bookmarkStart w:id="17" w:name="_Ref158825003"/>
      <w:r>
        <w:rPr>
          <w:bCs/>
        </w:rPr>
        <w:t>возможных неблагоприятных для Генподрядчика /Заказчика последствий выполнения его указаний – в любом случае не позднее момента начала выполнения таких указаний;</w:t>
      </w:r>
      <w:bookmarkEnd w:id="17"/>
      <w:r>
        <w:rPr>
          <w:bCs/>
        </w:rPr>
        <w:t xml:space="preserve"> </w:t>
      </w:r>
    </w:p>
    <w:p>
      <w:pPr>
        <w:pStyle w:val="ListParagraph"/>
        <w:numPr>
          <w:ilvl w:val="3"/>
          <w:numId w:val="3"/>
        </w:numPr>
        <w:shd w:val="clear" w:color="auto" w:fill="FFFFFF"/>
        <w:tabs>
          <w:tab w:val="clear" w:pos="709"/>
          <w:tab w:val="left" w:pos="1701" w:leader="none"/>
        </w:tabs>
        <w:ind w:left="0" w:firstLine="709"/>
        <w:jc w:val="both"/>
        <w:rPr>
          <w:bCs/>
        </w:rPr>
      </w:pPr>
      <w:r>
        <w:rPr>
          <w:bCs/>
        </w:rPr>
        <w:t>отклонения от требований действующих норм и правил, технической и иной документации, Договора и письменных указаний Генподрядчика, независимо от причин возникновения таких отклонений – в любом случае не позднее следующего рабочего дня после обнаружения таких отклонений;</w:t>
      </w:r>
    </w:p>
    <w:p>
      <w:pPr>
        <w:pStyle w:val="ListParagraph"/>
        <w:numPr>
          <w:ilvl w:val="3"/>
          <w:numId w:val="3"/>
        </w:numPr>
        <w:shd w:val="clear" w:color="auto" w:fill="FFFFFF"/>
        <w:tabs>
          <w:tab w:val="clear" w:pos="709"/>
          <w:tab w:val="left" w:pos="1701" w:leader="none"/>
        </w:tabs>
        <w:ind w:left="0" w:firstLine="709"/>
        <w:jc w:val="both"/>
        <w:rPr>
          <w:bCs/>
        </w:rPr>
      </w:pPr>
      <w:r>
        <w:rPr>
          <w:bCs/>
        </w:rPr>
        <w:t>любых иных обстоятельств, угрожающих годности или безопасности Результата Работ, либо способных повлечь изменение объемов, сроков, качества или стоимости выполнения Работ, предусмотренных Договором – в любом случае не позднее следующего рабочего дня после обнаружения таких обстоятельств.</w:t>
      </w:r>
    </w:p>
    <w:p>
      <w:pPr>
        <w:pStyle w:val="ListParagraph"/>
        <w:shd w:val="clear" w:color="auto" w:fill="FFFFFF"/>
        <w:tabs>
          <w:tab w:val="clear" w:pos="709"/>
          <w:tab w:val="left" w:pos="567" w:leader="none"/>
        </w:tabs>
        <w:ind w:left="0" w:firstLine="709"/>
        <w:jc w:val="both"/>
        <w:rPr>
          <w:bCs/>
        </w:rPr>
      </w:pPr>
      <w:r>
        <w:rPr>
          <w:bCs/>
        </w:rPr>
        <w:t>Невыполнение Субподрядчиком требований пункта 2.3.16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3"/>
        </w:numPr>
        <w:shd w:val="clear" w:color="auto" w:fill="FFFFFF"/>
        <w:tabs>
          <w:tab w:val="clear" w:pos="709"/>
          <w:tab w:val="left" w:pos="1418" w:leader="none"/>
        </w:tabs>
        <w:ind w:left="0" w:firstLine="709"/>
        <w:jc w:val="both"/>
        <w:rPr>
          <w:bCs/>
        </w:rPr>
      </w:pPr>
      <w:r>
        <w:rPr>
          <w:bCs/>
        </w:rPr>
        <w:t>Письменно уведомлять</w:t>
      </w:r>
      <w:r>
        <w:rPr/>
        <w:t xml:space="preserve"> Генподрядчика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13"/>
        </w:numPr>
        <w:tabs>
          <w:tab w:val="clear" w:pos="709"/>
          <w:tab w:val="left" w:pos="1134" w:leader="none"/>
        </w:tabs>
        <w:ind w:left="0" w:right="23" w:firstLine="709"/>
        <w:jc w:val="both"/>
        <w:rPr/>
      </w:pPr>
      <w:r>
        <w:rPr/>
        <w:t>аварии – в течение 2 (двух) часов;</w:t>
      </w:r>
    </w:p>
    <w:p>
      <w:pPr>
        <w:pStyle w:val="ListParagraph"/>
        <w:numPr>
          <w:ilvl w:val="0"/>
          <w:numId w:val="13"/>
        </w:numPr>
        <w:tabs>
          <w:tab w:val="clear" w:pos="709"/>
          <w:tab w:val="left" w:pos="1134" w:leader="none"/>
        </w:tabs>
        <w:ind w:left="0" w:right="23" w:firstLine="709"/>
        <w:jc w:val="both"/>
        <w:rPr/>
      </w:pPr>
      <w:r>
        <w:rPr/>
        <w:t>любом несчастном случае независимо от степени его тяжести – в течение суток по форме Приложения, установленной Минтрудом России, а после окончания расследования предоставлять копии соответствующих материалов;</w:t>
      </w:r>
    </w:p>
    <w:p>
      <w:pPr>
        <w:pStyle w:val="ListParagraph"/>
        <w:numPr>
          <w:ilvl w:val="0"/>
          <w:numId w:val="13"/>
        </w:numPr>
        <w:tabs>
          <w:tab w:val="clear" w:pos="709"/>
          <w:tab w:val="left" w:pos="1134" w:leader="none"/>
        </w:tabs>
        <w:ind w:left="0" w:right="23" w:firstLine="709"/>
        <w:jc w:val="both"/>
        <w:rPr/>
      </w:pPr>
      <w:r>
        <w:rPr/>
        <w:t>хищении и иных противоправных действиях – в течение 24 (двадцати четырех) часов;</w:t>
      </w:r>
    </w:p>
    <w:p>
      <w:pPr>
        <w:pStyle w:val="ListParagraph"/>
        <w:numPr>
          <w:ilvl w:val="0"/>
          <w:numId w:val="13"/>
        </w:numPr>
        <w:tabs>
          <w:tab w:val="clear" w:pos="709"/>
          <w:tab w:val="left" w:pos="1134" w:leader="none"/>
        </w:tabs>
        <w:ind w:left="0" w:right="23" w:firstLine="709"/>
        <w:jc w:val="both"/>
        <w:rPr/>
      </w:pPr>
      <w:r>
        <w:rP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13"/>
        </w:numPr>
        <w:tabs>
          <w:tab w:val="clear" w:pos="709"/>
          <w:tab w:val="left" w:pos="1134" w:leader="none"/>
        </w:tabs>
        <w:ind w:left="0" w:right="23" w:firstLine="709"/>
        <w:jc w:val="both"/>
        <w:rPr/>
      </w:pPr>
      <w:r>
        <w:rPr/>
        <w:t>забастовке персонала СубСубподрядчика, 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13"/>
        </w:numPr>
        <w:tabs>
          <w:tab w:val="clear" w:pos="709"/>
          <w:tab w:val="left" w:pos="1134" w:leader="none"/>
        </w:tabs>
        <w:ind w:left="0" w:right="23" w:firstLine="709"/>
        <w:jc w:val="both"/>
        <w:rPr/>
      </w:pPr>
      <w:r>
        <w:rPr/>
        <w:t>иных обстоятельствах, фактах, сообщениях в средствах массовой информации – в течение 24 (двадцати четырех) часов.</w:t>
      </w:r>
    </w:p>
    <w:p>
      <w:pPr>
        <w:pStyle w:val="ListParagraph"/>
        <w:numPr>
          <w:ilvl w:val="2"/>
          <w:numId w:val="3"/>
        </w:numPr>
        <w:shd w:val="clear" w:color="auto" w:fill="FFFFFF"/>
        <w:tabs>
          <w:tab w:val="clear" w:pos="709"/>
          <w:tab w:val="left" w:pos="1418" w:leader="none"/>
        </w:tabs>
        <w:ind w:left="0" w:firstLine="709"/>
        <w:jc w:val="both"/>
        <w:rPr>
          <w:bCs/>
        </w:rPr>
      </w:pPr>
      <w:r>
        <w:rPr/>
        <w:t xml:space="preserve">По требованию и в сроки, установленные Генподрядчиком, своими силами, средствами и за свой счет устранять недостатки, несоответствия, выявленные Генподрядчиком /Заказчиком, а также недостатки и несоответствия, связанные с несогласованными с Генподрядчиком отступлениями от </w:t>
      </w:r>
      <w:r>
        <w:rPr>
          <w:bCs/>
        </w:rPr>
        <w:t>требований Договора.</w:t>
      </w:r>
    </w:p>
    <w:p>
      <w:pPr>
        <w:pStyle w:val="ListParagraph"/>
        <w:numPr>
          <w:ilvl w:val="2"/>
          <w:numId w:val="3"/>
        </w:numPr>
        <w:shd w:val="clear" w:color="auto" w:fill="FFFFFF"/>
        <w:tabs>
          <w:tab w:val="clear" w:pos="709"/>
          <w:tab w:val="left" w:pos="1418" w:leader="none"/>
        </w:tabs>
        <w:ind w:left="0" w:firstLine="709"/>
        <w:jc w:val="both"/>
        <w:rPr>
          <w:bCs/>
        </w:rPr>
      </w:pPr>
      <w:r>
        <w:rPr>
          <w:bCs/>
        </w:rPr>
        <w:t>Незамедлительно приступить к устранению недостатков Результата Работ, о которых ему стало известно.</w:t>
      </w:r>
    </w:p>
    <w:p>
      <w:pPr>
        <w:pStyle w:val="ListParagraph"/>
        <w:numPr>
          <w:ilvl w:val="2"/>
          <w:numId w:val="3"/>
        </w:numPr>
        <w:shd w:val="clear" w:color="auto" w:fill="FFFFFF"/>
        <w:tabs>
          <w:tab w:val="clear" w:pos="709"/>
          <w:tab w:val="left" w:pos="1418" w:leader="none"/>
        </w:tabs>
        <w:ind w:left="0" w:firstLine="709"/>
        <w:jc w:val="both"/>
        <w:rPr>
          <w:bCs/>
        </w:rPr>
      </w:pPr>
      <w:r>
        <w:rPr>
          <w:bCs/>
        </w:rPr>
        <w:t xml:space="preserve">Субподрядчик несет ответственность за несоответствие Результата Работ Техническому заданию (Приложение № 1 к Договору), Исходно-разрешительной документации, предоставленным Генподрядчиком или полученным Субподрядчиком в рамках исполнения Договора исходным данным для </w:t>
      </w:r>
      <w:r>
        <w:rPr>
          <w:bCs/>
          <w:shd w:fill="auto" w:val="clear"/>
        </w:rPr>
        <w:t xml:space="preserve">проектирования, положениям Применимого права. Субподрядчик несет ответственность за недостатки Рабочей </w:t>
      </w:r>
      <w:r>
        <w:rPr>
          <w:shd w:fill="auto" w:val="clear"/>
          <w:lang w:eastAsia="en-US"/>
        </w:rPr>
        <w:t xml:space="preserve"> документации, </w:t>
      </w:r>
      <w:r>
        <w:rPr>
          <w:bCs/>
          <w:shd w:fill="auto" w:val="clear"/>
        </w:rPr>
        <w:t>включая обнаруженные в последствии в ходе строительства / реконструкции, а также в процессе эксплуатации Объекта, созданного на основе Рабочей</w:t>
      </w:r>
      <w:r>
        <w:rPr>
          <w:shd w:fill="auto" w:val="clear"/>
          <w:lang w:eastAsia="en-US"/>
        </w:rPr>
        <w:t xml:space="preserve"> документации</w:t>
      </w:r>
      <w:r>
        <w:rPr>
          <w:bCs/>
          <w:shd w:fill="auto" w:val="clear"/>
        </w:rPr>
        <w:t>.</w:t>
      </w:r>
    </w:p>
    <w:p>
      <w:pPr>
        <w:pStyle w:val="ListParagraph"/>
        <w:numPr>
          <w:ilvl w:val="2"/>
          <w:numId w:val="3"/>
        </w:numPr>
        <w:shd w:val="clear" w:color="auto" w:fill="FFFFFF"/>
        <w:tabs>
          <w:tab w:val="clear" w:pos="709"/>
          <w:tab w:val="left" w:pos="1418" w:leader="none"/>
        </w:tabs>
        <w:ind w:left="0" w:firstLine="709"/>
        <w:jc w:val="both"/>
        <w:rPr>
          <w:bCs/>
        </w:rPr>
      </w:pPr>
      <w:r>
        <w:rPr>
          <w:bCs/>
          <w:shd w:fill="auto" w:val="clear"/>
        </w:rPr>
        <w:t>В случае предъявления налоговыми органами претензий и требований к Генподрядчику, связанных с недобросовестностью СубСубподрядчиков (любого лица из цепочки субСубподрядчиков),</w:t>
      </w:r>
      <w:r>
        <w:rPr>
          <w:shd w:fill="auto" w:val="clear"/>
        </w:rPr>
        <w:t xml:space="preserve"> </w:t>
      </w:r>
      <w:r>
        <w:rPr>
          <w:bCs/>
          <w:shd w:fill="auto" w:val="clear"/>
        </w:rPr>
        <w:t>привлеченных Субподрядчиком к выполнению</w:t>
      </w:r>
      <w:r>
        <w:rPr>
          <w:bCs/>
        </w:rPr>
        <w:t xml:space="preserve"> Работ по Договору, компенсировать все убытки Генподрядчика, вызванные такими претензиями и требованиями.  </w:t>
      </w:r>
    </w:p>
    <w:p>
      <w:pPr>
        <w:pStyle w:val="ListParagraph"/>
        <w:numPr>
          <w:ilvl w:val="2"/>
          <w:numId w:val="3"/>
        </w:numPr>
        <w:shd w:val="clear" w:color="auto" w:fill="FFFFFF"/>
        <w:tabs>
          <w:tab w:val="clear" w:pos="709"/>
          <w:tab w:val="left" w:pos="1418" w:leader="none"/>
        </w:tabs>
        <w:ind w:left="0" w:firstLine="710"/>
        <w:jc w:val="both"/>
        <w:rPr/>
      </w:pPr>
      <w:r>
        <w:rPr/>
        <w:t>Не передавать Результат Работ, а также иные документы, оформленные или полученные в ходе выполнения Субподрядчиком обязательств по Договору, третьим лицам без письменного согласия Генподрядчика, за исключением случаев, когда такая передача предусмотрена законодательством Российской Федерации и / или Договором.</w:t>
      </w:r>
    </w:p>
    <w:p>
      <w:pPr>
        <w:pStyle w:val="ListParagraph"/>
        <w:numPr>
          <w:ilvl w:val="2"/>
          <w:numId w:val="3"/>
        </w:numPr>
        <w:shd w:val="clear" w:color="auto" w:fill="FFFFFF"/>
        <w:tabs>
          <w:tab w:val="clear" w:pos="709"/>
          <w:tab w:val="left" w:pos="1418" w:leader="none"/>
        </w:tabs>
        <w:ind w:left="0" w:firstLine="710"/>
        <w:jc w:val="both"/>
        <w:rPr/>
      </w:pPr>
      <w:r>
        <w:rPr/>
        <w:t>Подписать акты сверки взаимных расчетов, направленные Генподрядчиком в 2 (двух) экземплярах, и вернуть 1 (один) экземпляр Генподрядчику в течение 5 (пяти) рабочих дней с даты получения экземпляров актов сверки расчетов от Генподрядчика.</w:t>
      </w:r>
    </w:p>
    <w:p>
      <w:pPr>
        <w:pStyle w:val="ListParagraph"/>
        <w:numPr>
          <w:ilvl w:val="2"/>
          <w:numId w:val="3"/>
        </w:numPr>
        <w:shd w:val="clear" w:color="auto" w:fill="FFFFFF"/>
        <w:tabs>
          <w:tab w:val="clear" w:pos="709"/>
          <w:tab w:val="left" w:pos="1418" w:leader="none"/>
        </w:tabs>
        <w:ind w:left="0" w:firstLine="709"/>
        <w:jc w:val="both"/>
        <w:rPr/>
      </w:pPr>
      <w:r>
        <w:rPr/>
        <w:t xml:space="preserve">Исполнять иные обязанности, предусмотренные Договором и </w:t>
      </w:r>
      <w:r>
        <w:rPr>
          <w:bCs/>
        </w:rPr>
        <w:t>законодательством Российской Федерации.</w:t>
      </w:r>
      <w:r>
        <w:rPr/>
        <w:t xml:space="preserve"> </w:t>
      </w:r>
    </w:p>
    <w:p>
      <w:pPr>
        <w:pStyle w:val="Normal"/>
        <w:spacing w:lineRule="auto" w:line="240"/>
        <w:rPr>
          <w:sz w:val="24"/>
          <w:szCs w:val="24"/>
        </w:rPr>
      </w:pPr>
      <w:r>
        <w:rPr>
          <w:sz w:val="24"/>
          <w:szCs w:val="24"/>
        </w:rPr>
      </w:r>
    </w:p>
    <w:p>
      <w:pPr>
        <w:pStyle w:val="ListParagraph"/>
        <w:numPr>
          <w:ilvl w:val="1"/>
          <w:numId w:val="3"/>
        </w:numPr>
        <w:shd w:val="clear" w:color="auto" w:fill="FFFFFF"/>
        <w:tabs>
          <w:tab w:val="clear" w:pos="709"/>
          <w:tab w:val="left" w:pos="1134" w:leader="none"/>
        </w:tabs>
        <w:ind w:left="0" w:firstLine="709"/>
        <w:jc w:val="both"/>
        <w:rPr>
          <w:bCs/>
        </w:rPr>
      </w:pPr>
      <w:r>
        <w:rPr>
          <w:bCs/>
          <w:u w:val="single"/>
        </w:rPr>
        <w:t>Субподрядчик имеет право</w:t>
      </w:r>
      <w:r>
        <w:rPr>
          <w:bCs/>
        </w:rPr>
        <w:t>:</w:t>
      </w:r>
    </w:p>
    <w:p>
      <w:pPr>
        <w:pStyle w:val="ListParagraph"/>
        <w:numPr>
          <w:ilvl w:val="2"/>
          <w:numId w:val="3"/>
        </w:numPr>
        <w:shd w:val="clear" w:color="auto" w:fill="FFFFFF"/>
        <w:tabs>
          <w:tab w:val="clear" w:pos="709"/>
          <w:tab w:val="left" w:pos="1418" w:leader="none"/>
        </w:tabs>
        <w:ind w:left="0" w:firstLine="709"/>
        <w:jc w:val="both"/>
        <w:rPr>
          <w:bCs/>
        </w:rPr>
      </w:pPr>
      <w:r>
        <w:rPr>
          <w:bCs/>
        </w:rPr>
        <w:t>Самостоятельно организовать выполнение Работ.</w:t>
      </w:r>
    </w:p>
    <w:p>
      <w:pPr>
        <w:pStyle w:val="ListParagraph"/>
        <w:numPr>
          <w:ilvl w:val="2"/>
          <w:numId w:val="3"/>
        </w:numPr>
        <w:tabs>
          <w:tab w:val="left" w:pos="709" w:leader="none"/>
          <w:tab w:val="left" w:pos="851" w:leader="none"/>
        </w:tabs>
        <w:ind w:left="0" w:firstLine="709"/>
        <w:jc w:val="both"/>
        <w:rPr/>
      </w:pPr>
      <w:r>
        <w:rPr/>
        <w:t>В целях информационной безопасности стороны обязуются:</w:t>
      </w:r>
    </w:p>
    <w:p>
      <w:pPr>
        <w:pStyle w:val="ListParagraph"/>
        <w:numPr>
          <w:ilvl w:val="3"/>
          <w:numId w:val="3"/>
        </w:numPr>
        <w:tabs>
          <w:tab w:val="clear" w:pos="709"/>
          <w:tab w:val="left" w:pos="0" w:leader="none"/>
        </w:tabs>
        <w:spacing w:lineRule="auto" w:line="259" w:before="0" w:after="160"/>
        <w:ind w:left="0" w:firstLine="567"/>
        <w:contextualSpacing/>
        <w:jc w:val="both"/>
        <w:rPr/>
      </w:pPr>
      <w:r>
        <w:rPr/>
        <w:t>использовать отправку электронных писем с корпоративных почтовых доменов @vniig.ru и @__________, исключить использования общедоступных почтовых служб таких как  mail.ru, Yandex.ru, gmail.com, Hotmail.com, Outlook.com и т.п.</w:t>
      </w:r>
    </w:p>
    <w:p>
      <w:pPr>
        <w:pStyle w:val="ListParagraph"/>
        <w:numPr>
          <w:ilvl w:val="3"/>
          <w:numId w:val="3"/>
        </w:numPr>
        <w:tabs>
          <w:tab w:val="clear" w:pos="709"/>
          <w:tab w:val="left" w:pos="0" w:leader="none"/>
        </w:tabs>
        <w:spacing w:lineRule="auto" w:line="259" w:before="0" w:after="160"/>
        <w:ind w:left="0" w:firstLine="567"/>
        <w:contextualSpacing/>
        <w:jc w:val="both"/>
        <w:rPr/>
      </w:pPr>
      <w:r>
        <w:rPr/>
        <w:t xml:space="preserve">Обмен файлов больших объемов осуществлять через облачные хранилища расположенные на территории Генподрядчика  https://cloud.vniig.ru/, а так же исключить передачу файлов больших объемов через общедоступные облачные сервисы таких как  Яндекс диск, </w:t>
      </w:r>
      <w:r>
        <w:rPr>
          <w:lang w:val="en-US"/>
        </w:rPr>
        <w:t>google</w:t>
      </w:r>
      <w:r>
        <w:rPr/>
        <w:t xml:space="preserve"> диск, облако </w:t>
      </w:r>
      <w:r>
        <w:rPr>
          <w:lang w:val="en-US"/>
        </w:rPr>
        <w:t>mail</w:t>
      </w:r>
      <w:r>
        <w:rPr/>
        <w:t>.</w:t>
      </w:r>
      <w:r>
        <w:rPr>
          <w:lang w:val="en-US"/>
        </w:rPr>
        <w:t>ru</w:t>
      </w:r>
      <w:r>
        <w:rPr/>
        <w:t xml:space="preserve"> и т.п. </w:t>
      </w:r>
    </w:p>
    <w:p>
      <w:pPr>
        <w:pStyle w:val="ListParagraph"/>
        <w:numPr>
          <w:ilvl w:val="3"/>
          <w:numId w:val="3"/>
        </w:numPr>
        <w:tabs>
          <w:tab w:val="clear" w:pos="709"/>
          <w:tab w:val="left" w:pos="0" w:leader="none"/>
        </w:tabs>
        <w:spacing w:lineRule="auto" w:line="259" w:before="0" w:after="160"/>
        <w:ind w:left="0" w:firstLine="567"/>
        <w:contextualSpacing/>
        <w:jc w:val="both"/>
        <w:rPr/>
      </w:pPr>
      <w:r>
        <w:rPr/>
        <w:t>Проведения видеоконференций, совещаний (ВКС) осуществлять на оборудовании Генподрядчика или Субподрядчика при этом запрещается использование сервисов ZOOM, Skype</w:t>
      </w:r>
    </w:p>
    <w:p>
      <w:pPr>
        <w:pStyle w:val="Normal"/>
        <w:shd w:val="clear" w:color="auto" w:fill="FFFFFF"/>
        <w:tabs>
          <w:tab w:val="clear" w:pos="709"/>
          <w:tab w:val="left" w:pos="1418" w:leader="none"/>
        </w:tabs>
        <w:ind w:hanging="0"/>
        <w:rPr/>
      </w:pPr>
      <w:r>
        <w:rPr/>
      </w:r>
    </w:p>
    <w:p>
      <w:pPr>
        <w:pStyle w:val="ListParagraph"/>
        <w:numPr>
          <w:ilvl w:val="0"/>
          <w:numId w:val="3"/>
        </w:numPr>
        <w:shd w:val="clear" w:color="auto" w:fill="FFFFFF"/>
        <w:tabs>
          <w:tab w:val="clear" w:pos="709"/>
          <w:tab w:val="left" w:pos="284" w:leader="none"/>
        </w:tabs>
        <w:ind w:left="0" w:hanging="0"/>
        <w:jc w:val="center"/>
        <w:rPr/>
      </w:pPr>
      <w:r>
        <w:rPr>
          <w:b/>
          <w:bCs/>
        </w:rPr>
        <w:t>Цена Договора и порядок расчетов</w:t>
      </w:r>
    </w:p>
    <w:p>
      <w:pPr>
        <w:pStyle w:val="ListParagraph"/>
        <w:numPr>
          <w:ilvl w:val="1"/>
          <w:numId w:val="3"/>
        </w:numPr>
        <w:shd w:val="clear" w:color="auto" w:fill="FFFFFF"/>
        <w:tabs>
          <w:tab w:val="clear" w:pos="709"/>
          <w:tab w:val="left" w:pos="1134" w:leader="none"/>
        </w:tabs>
        <w:ind w:left="0" w:firstLine="567"/>
        <w:jc w:val="both"/>
        <w:rPr>
          <w:bCs/>
        </w:rPr>
      </w:pPr>
      <w:bookmarkStart w:id="18" w:name="_Ref361335465"/>
      <w:bookmarkStart w:id="19" w:name="_Ref158829439"/>
      <w:r>
        <w:rPr>
          <w:bCs/>
        </w:rPr>
        <w:t xml:space="preserve">Цена </w:t>
      </w:r>
      <w:r>
        <w:rPr/>
        <w:t xml:space="preserve">Договора </w:t>
      </w:r>
      <w:r>
        <w:rPr>
          <w:bCs/>
        </w:rPr>
        <w:t xml:space="preserve">в соответствии со сметой (Приложение № 3 к Договору) является твердой и составляет </w:t>
      </w:r>
      <w:r>
        <w:rPr>
          <w:b/>
        </w:rPr>
        <w:t xml:space="preserve">_________________ </w:t>
      </w:r>
      <w:r>
        <w:rPr>
          <w:b/>
          <w:bCs/>
        </w:rPr>
        <w:t xml:space="preserve"> (</w:t>
      </w:r>
      <w:r>
        <w:rPr>
          <w:b/>
        </w:rPr>
        <w:t>_____________</w:t>
      </w:r>
      <w:r>
        <w:rPr>
          <w:b/>
          <w:bCs/>
        </w:rPr>
        <w:t xml:space="preserve">) рублей </w:t>
      </w:r>
      <w:r>
        <w:rPr>
          <w:b/>
        </w:rPr>
        <w:t>____</w:t>
      </w:r>
      <w:r>
        <w:rPr>
          <w:b/>
          <w:bCs/>
        </w:rPr>
        <w:t xml:space="preserve"> копеек, без учёта НДС, </w:t>
      </w:r>
      <w:r>
        <w:rPr>
          <w:rFonts w:eastAsia="Times New Roman" w:cs="Times New Roman"/>
          <w:b/>
          <w:bCs/>
          <w:sz w:val="24"/>
          <w:szCs w:val="24"/>
          <w:lang w:eastAsia="ru-RU"/>
        </w:rPr>
        <w:t>при этом НДС исчисляется дополнительно по ставке, установленной ст. 164 Налогового Кодекса РФ</w:t>
      </w:r>
      <w:bookmarkStart w:id="20" w:name="_Ref5367208821"/>
      <w:bookmarkEnd w:id="20"/>
      <w:r>
        <w:rPr>
          <w:rStyle w:val="Style6"/>
          <w:rFonts w:eastAsia="Times New Roman" w:cs="Times New Roman"/>
          <w:b/>
          <w:bCs/>
          <w:sz w:val="24"/>
          <w:szCs w:val="24"/>
          <w:lang w:eastAsia="ru-RU"/>
        </w:rPr>
        <w:footnoteReference w:id="3"/>
      </w:r>
      <w:r>
        <w:rPr>
          <w:b/>
          <w:bCs/>
        </w:rPr>
        <w:t>.</w:t>
      </w:r>
      <w:bookmarkEnd w:id="19"/>
      <w:r>
        <w:rPr>
          <w:bCs/>
        </w:rPr>
        <w:t xml:space="preserve"> </w:t>
      </w:r>
      <w:bookmarkEnd w:id="18"/>
    </w:p>
    <w:p>
      <w:pPr>
        <w:pStyle w:val="ListParagraph"/>
        <w:numPr>
          <w:ilvl w:val="1"/>
          <w:numId w:val="3"/>
        </w:numPr>
        <w:shd w:val="clear" w:color="auto" w:fill="FFFFFF"/>
        <w:tabs>
          <w:tab w:val="clear" w:pos="709"/>
          <w:tab w:val="left" w:pos="1134" w:leader="none"/>
        </w:tabs>
        <w:ind w:left="0" w:firstLine="709"/>
        <w:jc w:val="both"/>
        <w:rPr/>
      </w:pPr>
      <w:r>
        <w:rPr>
          <w:bCs/>
        </w:rPr>
        <w:t>Цена Договора включает в себя прибыль Субподрядчика, а также все расходы и затраты Субподрядчика на:</w:t>
      </w:r>
    </w:p>
    <w:p>
      <w:pPr>
        <w:pStyle w:val="ListParagraph"/>
        <w:numPr>
          <w:ilvl w:val="2"/>
          <w:numId w:val="3"/>
        </w:numPr>
        <w:shd w:val="clear" w:color="auto" w:fill="FFFFFF"/>
        <w:tabs>
          <w:tab w:val="clear" w:pos="709"/>
          <w:tab w:val="left" w:pos="1418" w:leader="none"/>
        </w:tabs>
        <w:ind w:left="0" w:firstLine="709"/>
        <w:jc w:val="both"/>
        <w:rPr/>
      </w:pPr>
      <w:r>
        <w:rPr/>
        <w:t xml:space="preserve">Приобретение Материально-технических ресурсов </w:t>
      </w:r>
      <w:r>
        <w:rPr>
          <w:bCs/>
        </w:rPr>
        <w:t>и оборудования</w:t>
      </w:r>
      <w:r>
        <w:rPr/>
        <w:t>, необходимых для выполнения Работ по Договору, включая стоимость необходимых для эксплуатации Результата работ лицензий;</w:t>
      </w:r>
    </w:p>
    <w:p>
      <w:pPr>
        <w:pStyle w:val="ListParagraph"/>
        <w:numPr>
          <w:ilvl w:val="2"/>
          <w:numId w:val="3"/>
        </w:numPr>
        <w:shd w:val="clear" w:color="auto" w:fill="FFFFFF"/>
        <w:tabs>
          <w:tab w:val="clear" w:pos="709"/>
          <w:tab w:val="left" w:pos="1418" w:leader="none"/>
        </w:tabs>
        <w:ind w:left="0" w:firstLine="709"/>
        <w:jc w:val="both"/>
        <w:rPr/>
      </w:pPr>
      <w:r>
        <w:rPr/>
        <w:t>Получение и оформление Исходно-разрешительной документации;</w:t>
      </w:r>
    </w:p>
    <w:p>
      <w:pPr>
        <w:pStyle w:val="ListParagraph"/>
        <w:numPr>
          <w:ilvl w:val="2"/>
          <w:numId w:val="3"/>
        </w:numPr>
        <w:shd w:val="clear" w:color="auto" w:fill="FFFFFF"/>
        <w:tabs>
          <w:tab w:val="clear" w:pos="709"/>
          <w:tab w:val="left" w:pos="1418" w:leader="none"/>
        </w:tabs>
        <w:ind w:left="0" w:firstLine="709"/>
        <w:jc w:val="both"/>
        <w:rPr/>
      </w:pPr>
      <w:r>
        <w:rPr/>
        <w:t xml:space="preserve">Заработную плату, накладные и командировочные расходы, перемещение и размещение персонала Субподрядчика; </w:t>
      </w:r>
    </w:p>
    <w:p>
      <w:pPr>
        <w:pStyle w:val="ListParagraph"/>
        <w:numPr>
          <w:ilvl w:val="2"/>
          <w:numId w:val="3"/>
        </w:numPr>
        <w:shd w:val="clear" w:color="auto" w:fill="FFFFFF"/>
        <w:tabs>
          <w:tab w:val="clear" w:pos="709"/>
          <w:tab w:val="left" w:pos="1418" w:leader="none"/>
        </w:tabs>
        <w:ind w:left="0" w:firstLine="709"/>
        <w:jc w:val="both"/>
        <w:rPr/>
      </w:pPr>
      <w:r>
        <w:rPr/>
        <w:t>Подлежащие уплате налоги, сборы и пошлины (в том числе по таможенному оформлению Материально-технических ресурсов</w:t>
      </w:r>
      <w:r>
        <w:rPr>
          <w:bCs/>
        </w:rPr>
        <w:t xml:space="preserve"> и оборудования</w:t>
      </w:r>
      <w:r>
        <w:rPr/>
        <w:t xml:space="preserve">, если применимо); </w:t>
      </w:r>
    </w:p>
    <w:p>
      <w:pPr>
        <w:pStyle w:val="ListParagraph"/>
        <w:numPr>
          <w:ilvl w:val="2"/>
          <w:numId w:val="3"/>
        </w:numPr>
        <w:ind w:left="0" w:firstLine="710"/>
        <w:jc w:val="both"/>
        <w:rPr/>
      </w:pPr>
      <w:r>
        <w:rPr/>
        <w:t xml:space="preserve">Все прочие затраты и расходы Субподрядчика, связанные выполнением Работ и исполнением иных обязательств по Договору (за исключением случаев, когда законодательством Российской Федерации предусмотрено несение соответствующих расходов Генподрядчиком самостоятельно), а также все непредвиденные расходы, которые могут возникнуть у Субподрядчика в течение срока действия Договора. </w:t>
      </w:r>
    </w:p>
    <w:p>
      <w:pPr>
        <w:pStyle w:val="ListParagraph"/>
        <w:numPr>
          <w:ilvl w:val="1"/>
          <w:numId w:val="3"/>
        </w:numPr>
        <w:shd w:val="clear" w:color="auto" w:fill="FFFFFF"/>
        <w:tabs>
          <w:tab w:val="clear" w:pos="709"/>
          <w:tab w:val="left" w:pos="1134" w:leader="none"/>
        </w:tabs>
        <w:ind w:left="0" w:firstLine="709"/>
        <w:jc w:val="both"/>
        <w:rPr>
          <w:bCs/>
        </w:rPr>
      </w:pPr>
      <w:r>
        <w:rPr>
          <w:bCs/>
        </w:rPr>
        <w:t>Изменение стоимости Работ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3"/>
        </w:numPr>
        <w:shd w:val="clear" w:color="auto" w:fill="FFFFFF"/>
        <w:tabs>
          <w:tab w:val="clear" w:pos="709"/>
          <w:tab w:val="left" w:pos="1134" w:leader="none"/>
        </w:tabs>
        <w:ind w:left="0" w:firstLine="709"/>
        <w:jc w:val="both"/>
        <w:rPr>
          <w:bCs/>
        </w:rPr>
      </w:pPr>
      <w:r>
        <w:rPr>
          <w:bCs/>
        </w:rPr>
        <w:t xml:space="preserve">Платеж в размере 100% (ста процентов) стоимости работ выплачивается в течение </w:t>
      </w:r>
      <w:r>
        <w:rPr>
          <w:bCs/>
          <w:highlight w:val="lightGray"/>
        </w:rPr>
        <w:t>30 (тридцати) календарных дней</w:t>
      </w:r>
      <w:r>
        <w:rPr>
          <w:bCs/>
        </w:rPr>
        <w:t xml:space="preserve"> </w:t>
      </w:r>
      <w:r>
        <w:rPr>
          <w:bCs/>
          <w:highlight w:val="lightGray"/>
        </w:rPr>
        <w:t>/ 7 (семи) рабочих дней</w:t>
      </w:r>
      <w:r>
        <w:rPr>
          <w:rStyle w:val="Style6"/>
          <w:bCs/>
          <w:highlight w:val="lightGray"/>
        </w:rPr>
        <w:footnoteReference w:id="4"/>
      </w:r>
      <w:r>
        <w:rPr>
          <w:bCs/>
        </w:rPr>
        <w:t xml:space="preserve">  с даты подписания Сторонами документов, указанных в пункте 4.1 Договора, на основании счёта, выставленного Субподрядчиком, и с учетом пункта </w:t>
      </w:r>
      <w:r>
        <w:rPr>
          <w:bCs/>
        </w:rPr>
        <w:fldChar w:fldCharType="begin"/>
      </w:r>
      <w:r>
        <w:rPr>
          <w:bCs/>
        </w:rPr>
        <w:instrText> REF _Ref158828059 \r \h </w:instrText>
      </w:r>
      <w:r>
        <w:rPr>
          <w:bCs/>
        </w:rPr>
        <w:fldChar w:fldCharType="separate"/>
      </w:r>
      <w:r>
        <w:rPr>
          <w:bCs/>
        </w:rPr>
        <w:t>3.4.1.</w:t>
      </w:r>
      <w:r>
        <w:rPr>
          <w:bCs/>
        </w:rPr>
        <w:fldChar w:fldCharType="end"/>
      </w:r>
      <w:r>
        <w:rPr>
          <w:bCs/>
        </w:rPr>
        <w:t xml:space="preserve"> Договора. </w:t>
      </w:r>
    </w:p>
    <w:p>
      <w:pPr>
        <w:pStyle w:val="ListParagraph"/>
        <w:numPr>
          <w:ilvl w:val="2"/>
          <w:numId w:val="3"/>
        </w:numPr>
        <w:shd w:val="clear" w:color="auto" w:fill="FFFFFF"/>
        <w:tabs>
          <w:tab w:val="clear" w:pos="709"/>
          <w:tab w:val="left" w:pos="1418" w:leader="none"/>
        </w:tabs>
        <w:ind w:left="0" w:firstLine="709"/>
        <w:jc w:val="both"/>
        <w:rPr/>
      </w:pPr>
      <w:bookmarkStart w:id="21" w:name="_Ref361834178"/>
      <w:bookmarkStart w:id="22" w:name="_Ref158828059"/>
      <w:r>
        <w:rPr/>
        <w:t>В случае выставления Субподрядчиком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Генподрядчиком не принимается и подлежит замене Субподрядчиком независимо от его фактического вручения Генподрядчику. В случае выставления Субподрядчиком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Генподрядчиком.</w:t>
      </w:r>
      <w:bookmarkEnd w:id="21"/>
      <w:bookmarkEnd w:id="22"/>
    </w:p>
    <w:p>
      <w:pPr>
        <w:pStyle w:val="ListParagraph"/>
        <w:numPr>
          <w:ilvl w:val="1"/>
          <w:numId w:val="3"/>
        </w:numPr>
        <w:shd w:val="clear" w:color="auto" w:fill="FFFFFF"/>
        <w:tabs>
          <w:tab w:val="clear" w:pos="709"/>
          <w:tab w:val="left" w:pos="1134" w:leader="none"/>
        </w:tabs>
        <w:ind w:left="0" w:firstLine="709"/>
        <w:jc w:val="both"/>
        <w:rPr>
          <w:bCs/>
        </w:rPr>
      </w:pPr>
      <w:r>
        <w:rPr>
          <w:bCs/>
        </w:rPr>
        <w:t>Расчеты по Договору осуществляются в валюте Российской Федерации. Оплата производится Генподрядчиком путем перечисления денежных средств на расчетный счет Субподрядчика, указанный в Договоре. Обязательство Генподрядчика по осуществлению платежа считается исполненным с даты списания денежных средств с расчетного счета Генподрядчика.</w:t>
      </w:r>
      <w:bookmarkStart w:id="23" w:name="_Ref361336647"/>
      <w:bookmarkEnd w:id="23"/>
    </w:p>
    <w:p>
      <w:pPr>
        <w:pStyle w:val="ListParagraph"/>
        <w:numPr>
          <w:ilvl w:val="1"/>
          <w:numId w:val="3"/>
        </w:numPr>
        <w:shd w:val="clear" w:color="auto" w:fill="FFFFFF"/>
        <w:tabs>
          <w:tab w:val="clear" w:pos="709"/>
          <w:tab w:val="left" w:pos="1134" w:leader="none"/>
        </w:tabs>
        <w:ind w:left="0" w:firstLine="709"/>
        <w:jc w:val="both"/>
        <w:rPr>
          <w:bCs/>
        </w:rPr>
      </w:pPr>
      <w:r>
        <w:rPr>
          <w:bCs/>
        </w:rPr>
        <w:t xml:space="preserve">За исключением случая, указанного в пункте </w:t>
      </w:r>
      <w:r>
        <w:rPr>
          <w:bCs/>
        </w:rPr>
        <w:fldChar w:fldCharType="begin"/>
      </w:r>
      <w:r>
        <w:rPr>
          <w:bCs/>
        </w:rPr>
        <w:instrText> REF _Ref158828229 \r \h </w:instrText>
      </w:r>
      <w:r>
        <w:rPr>
          <w:bCs/>
        </w:rPr>
        <w:fldChar w:fldCharType="separate"/>
      </w:r>
      <w:r>
        <w:rPr>
          <w:bCs/>
        </w:rPr>
        <w:t>2.3.15.</w:t>
      </w:r>
      <w:r>
        <w:rPr>
          <w:bCs/>
        </w:rPr>
        <w:fldChar w:fldCharType="end"/>
      </w:r>
      <w:r>
        <w:rPr>
          <w:bCs/>
        </w:rPr>
        <w:t xml:space="preserve"> Договора, любое превышение фактических объемов Работ над объемами Работ, предусмотренными Договором, к оплате Генподрядчиком не принимается и считается включенным в Цену Договора. </w:t>
      </w:r>
    </w:p>
    <w:p>
      <w:pPr>
        <w:pStyle w:val="ListParagraph"/>
        <w:numPr>
          <w:ilvl w:val="1"/>
          <w:numId w:val="3"/>
        </w:numPr>
        <w:shd w:val="clear" w:color="auto" w:fill="FFFFFF"/>
        <w:tabs>
          <w:tab w:val="clear" w:pos="709"/>
          <w:tab w:val="left" w:pos="1134" w:leader="none"/>
        </w:tabs>
        <w:ind w:left="0" w:firstLine="709"/>
        <w:jc w:val="both"/>
        <w:rPr>
          <w:bCs/>
        </w:rPr>
      </w:pPr>
      <w:bookmarkStart w:id="24" w:name="_Ref3613350231"/>
      <w:bookmarkEnd w:id="24"/>
      <w:r>
        <w:rPr>
          <w:bCs/>
        </w:rPr>
        <w:t>Индексация Цены Договора не допускается.</w:t>
      </w:r>
    </w:p>
    <w:p>
      <w:pPr>
        <w:pStyle w:val="ListParagraph"/>
        <w:numPr>
          <w:ilvl w:val="1"/>
          <w:numId w:val="3"/>
        </w:numPr>
        <w:shd w:val="clear" w:color="auto" w:fill="FFFFFF"/>
        <w:tabs>
          <w:tab w:val="clear" w:pos="709"/>
          <w:tab w:val="left" w:pos="1134" w:leader="none"/>
        </w:tabs>
        <w:ind w:left="0" w:firstLine="709"/>
        <w:jc w:val="both"/>
        <w:rPr>
          <w:bCs/>
        </w:rPr>
      </w:pPr>
      <w:r>
        <w:rPr/>
        <w:t>Генподрядчик вправе произвести сальдо взаимных обязательств Сторон путем уменьшения сумм причитающихся Субподрядчику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Субподрядчика перед Генподрядчиком,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выполненных Субподрядчиком Работ.</w:t>
      </w:r>
    </w:p>
    <w:p>
      <w:pPr>
        <w:pStyle w:val="ListParagraph"/>
        <w:shd w:val="clear" w:color="auto" w:fill="FFFFFF"/>
        <w:tabs>
          <w:tab w:val="clear" w:pos="709"/>
          <w:tab w:val="left" w:pos="1134" w:leader="none"/>
        </w:tabs>
        <w:ind w:left="0" w:firstLine="709"/>
        <w:jc w:val="both"/>
        <w:rPr>
          <w:bCs/>
        </w:rPr>
      </w:pPr>
      <w:bookmarkStart w:id="25" w:name="_Ref361834251"/>
      <w:r>
        <w:rPr>
          <w:bCs/>
        </w:rPr>
        <w:t>Генподрядчик направляет Субподрядчику уведомление о проведении сальдо взаимных обязательств Сторон по Договору.</w:t>
      </w:r>
      <w:bookmarkEnd w:id="25"/>
    </w:p>
    <w:p>
      <w:pPr>
        <w:pStyle w:val="ListParagraph"/>
        <w:shd w:val="clear" w:color="auto" w:fill="FFFFFF"/>
        <w:tabs>
          <w:tab w:val="clear" w:pos="709"/>
          <w:tab w:val="left" w:pos="1134" w:leader="none"/>
        </w:tabs>
        <w:ind w:left="0" w:firstLine="567"/>
        <w:jc w:val="both"/>
        <w:rPr>
          <w:bCs/>
        </w:rPr>
      </w:pPr>
      <w:r>
        <w:rPr>
          <w:bCs/>
        </w:rPr>
      </w:r>
    </w:p>
    <w:p>
      <w:pPr>
        <w:pStyle w:val="ListParagraph"/>
        <w:numPr>
          <w:ilvl w:val="0"/>
          <w:numId w:val="3"/>
        </w:numPr>
        <w:shd w:val="clear" w:color="auto" w:fill="FFFFFF"/>
        <w:tabs>
          <w:tab w:val="clear" w:pos="709"/>
          <w:tab w:val="left" w:pos="284" w:leader="none"/>
        </w:tabs>
        <w:ind w:left="0" w:hanging="0"/>
        <w:jc w:val="center"/>
        <w:rPr>
          <w:b/>
          <w:b/>
          <w:bCs/>
        </w:rPr>
      </w:pPr>
      <w:r>
        <w:rPr>
          <w:b/>
          <w:bCs/>
        </w:rPr>
        <w:t>Порядок сдачи-приемки Работ</w:t>
      </w:r>
    </w:p>
    <w:p>
      <w:pPr>
        <w:pStyle w:val="ListParagraph"/>
        <w:numPr>
          <w:ilvl w:val="1"/>
          <w:numId w:val="3"/>
        </w:numPr>
        <w:shd w:val="clear" w:color="auto" w:fill="FFFFFF"/>
        <w:tabs>
          <w:tab w:val="clear" w:pos="709"/>
          <w:tab w:val="left" w:pos="0" w:leader="none"/>
          <w:tab w:val="left" w:pos="1134" w:leader="none"/>
        </w:tabs>
        <w:ind w:left="0" w:firstLine="709"/>
        <w:jc w:val="both"/>
        <w:rPr>
          <w:bCs/>
        </w:rPr>
      </w:pPr>
      <w:bookmarkStart w:id="26" w:name="_Ref158828334"/>
      <w:r>
        <w:rPr>
          <w:bCs/>
        </w:rPr>
        <w:t>По завершении выполнения Работ, Субподрядчик представляет Генподрядчику подписанный со своей стороны в 2 (двух) экземплярах Акт сдачи-приемки выполненных работ по форме Приложения № 2 к Договору / УПД, с приложением Результата Работ.</w:t>
      </w:r>
      <w:bookmarkEnd w:id="26"/>
    </w:p>
    <w:p>
      <w:pPr>
        <w:pStyle w:val="ListParagraph"/>
        <w:shd w:val="clear" w:color="auto" w:fill="FFFFFF"/>
        <w:tabs>
          <w:tab w:val="clear" w:pos="709"/>
          <w:tab w:val="left" w:pos="0" w:leader="none"/>
        </w:tabs>
        <w:ind w:left="0" w:firstLine="709"/>
        <w:jc w:val="both"/>
        <w:rPr>
          <w:bCs/>
        </w:rPr>
      </w:pPr>
      <w:bookmarkStart w:id="27" w:name="_Ref373242517"/>
      <w:bookmarkStart w:id="28" w:name="_Ref361335138"/>
      <w:bookmarkStart w:id="29" w:name="_Ref361336754"/>
      <w:r>
        <w:rPr>
          <w:bCs/>
        </w:rPr>
        <w:t>Требования к отчетным документам (состав, количество, формат, носитель и т.д.), подлежащим передаче Субподрядчиком Генподрядчику в составе Результата Работ, устанавливаются Техническим заданием (Приложение № 1 к Договору).</w:t>
      </w:r>
      <w:bookmarkEnd w:id="27"/>
      <w:bookmarkEnd w:id="28"/>
      <w:bookmarkEnd w:id="29"/>
    </w:p>
    <w:p>
      <w:pPr>
        <w:pStyle w:val="ListParagraph"/>
        <w:widowControl/>
        <w:numPr>
          <w:ilvl w:val="0"/>
          <w:numId w:val="0"/>
        </w:numPr>
        <w:shd w:val="clear" w:color="auto" w:fill="FFFFFF"/>
        <w:tabs>
          <w:tab w:val="clear" w:pos="709"/>
          <w:tab w:val="left" w:pos="568" w:leader="none"/>
          <w:tab w:val="left" w:pos="1134" w:leader="none"/>
        </w:tabs>
        <w:suppressAutoHyphens w:val="true"/>
        <w:bidi w:val="0"/>
        <w:spacing w:lineRule="auto" w:line="240" w:before="0" w:after="0"/>
        <w:ind w:left="57" w:right="0" w:hanging="0"/>
        <w:contextualSpacing/>
        <w:jc w:val="both"/>
        <w:rPr>
          <w:rFonts w:ascii="Times New Roman" w:hAnsi="Times New Roman" w:eastAsia="Noto Serif CJK SC" w:cs="Lohit Devanagari"/>
          <w:bCs/>
          <w:color w:val="auto"/>
          <w:kern w:val="0"/>
          <w:sz w:val="24"/>
          <w:szCs w:val="24"/>
          <w:lang w:val="ru-RU" w:eastAsia="ru-RU" w:bidi="ar-SA"/>
        </w:rPr>
      </w:pPr>
      <w:r>
        <w:rPr>
          <w:rFonts w:eastAsia="Noto Serif CJK SC" w:cs="Lohit Devanagari"/>
          <w:bCs/>
          <w:color w:val="auto"/>
          <w:kern w:val="0"/>
          <w:sz w:val="24"/>
          <w:szCs w:val="24"/>
          <w:lang w:val="ru-RU" w:eastAsia="ru-RU" w:bidi="ar-SA"/>
        </w:rPr>
        <w:t xml:space="preserve">      </w:t>
      </w:r>
      <w:r>
        <w:rPr>
          <w:rFonts w:eastAsia="Noto Serif CJK SC" w:cs="Lohit Devanagari"/>
          <w:bCs/>
          <w:color w:val="auto"/>
          <w:kern w:val="0"/>
          <w:sz w:val="24"/>
          <w:szCs w:val="24"/>
          <w:lang w:val="ru-RU" w:eastAsia="ru-RU" w:bidi="ar-SA"/>
        </w:rPr>
        <w:t xml:space="preserve">4.2. </w:t>
      </w:r>
      <w:bookmarkStart w:id="30" w:name="_Ref158828682"/>
      <w:r>
        <w:rPr>
          <w:rFonts w:eastAsia="Noto Serif CJK SC" w:cs="Lohit Devanagari"/>
          <w:bCs/>
          <w:color w:val="auto"/>
          <w:kern w:val="0"/>
          <w:sz w:val="24"/>
          <w:szCs w:val="24"/>
          <w:lang w:val="ru-RU" w:eastAsia="ru-RU" w:bidi="ar-SA"/>
        </w:rPr>
        <w:t xml:space="preserve">В течение 15 (пятнадцати) рабочих дней с даты получения полного комплекта документов, указанных в пункте </w:t>
      </w:r>
      <w:r>
        <w:rPr>
          <w:rFonts w:eastAsia="Noto Serif CJK SC" w:cs="Lohit Devanagari"/>
          <w:bCs/>
          <w:color w:val="auto"/>
          <w:kern w:val="0"/>
          <w:sz w:val="24"/>
          <w:szCs w:val="24"/>
          <w:lang w:val="ru-RU" w:eastAsia="ru-RU" w:bidi="ar-SA"/>
        </w:rPr>
        <w:fldChar w:fldCharType="begin"/>
      </w:r>
      <w:r>
        <w:rPr>
          <w:sz w:val="24"/>
          <w:kern w:val="0"/>
          <w:szCs w:val="24"/>
          <w:bCs/>
          <w:rFonts w:eastAsia="Noto Serif CJK SC" w:cs="Lohit Devanagari"/>
          <w:color w:val="auto"/>
          <w:lang w:val="ru-RU" w:eastAsia="ru-RU" w:bidi="ar-SA"/>
        </w:rPr>
        <w:instrText> REF _Ref158828334 \r \h </w:instrText>
      </w:r>
      <w:r>
        <w:rPr>
          <w:sz w:val="24"/>
          <w:kern w:val="0"/>
          <w:szCs w:val="24"/>
          <w:bCs/>
          <w:rFonts w:eastAsia="Noto Serif CJK SC" w:cs="Lohit Devanagari"/>
          <w:color w:val="auto"/>
          <w:lang w:val="ru-RU" w:eastAsia="ru-RU" w:bidi="ar-SA"/>
        </w:rPr>
        <w:fldChar w:fldCharType="separate"/>
      </w:r>
      <w:r>
        <w:rPr>
          <w:sz w:val="24"/>
          <w:kern w:val="0"/>
          <w:szCs w:val="24"/>
          <w:bCs/>
          <w:rFonts w:eastAsia="Noto Serif CJK SC" w:cs="Lohit Devanagari"/>
          <w:color w:val="auto"/>
          <w:lang w:val="ru-RU" w:eastAsia="ru-RU" w:bidi="ar-SA"/>
        </w:rPr>
        <w:t>4.1.</w:t>
      </w:r>
      <w:r>
        <w:rPr>
          <w:sz w:val="24"/>
          <w:kern w:val="0"/>
          <w:szCs w:val="24"/>
          <w:bCs/>
          <w:rFonts w:eastAsia="Noto Serif CJK SC" w:cs="Lohit Devanagari"/>
          <w:color w:val="auto"/>
          <w:lang w:val="ru-RU" w:eastAsia="ru-RU" w:bidi="ar-SA"/>
        </w:rPr>
        <w:fldChar w:fldCharType="end"/>
      </w:r>
      <w:r>
        <w:rPr>
          <w:rFonts w:eastAsia="Noto Serif CJK SC" w:cs="Lohit Devanagari"/>
          <w:bCs/>
          <w:color w:val="auto"/>
          <w:kern w:val="0"/>
          <w:sz w:val="24"/>
          <w:szCs w:val="24"/>
          <w:lang w:val="ru-RU" w:eastAsia="ru-RU" w:bidi="ar-SA"/>
        </w:rPr>
        <w:t xml:space="preserve">  Договора, Генподрядчик подписывает и передает Субподрядчику 1 (один) экземпляр Акта сдачи-приемки выполненных работ/УПД, либо направляет Субподрядчику письменный мотивированный отказ от приемки Работ (далее – «Ведомость замечаний»), в котором отражает недостатки и / или несоответствия Результата Работ, а также срок на их устранение.</w:t>
      </w:r>
      <w:bookmarkEnd w:id="30"/>
      <w:r>
        <w:rPr>
          <w:rFonts w:eastAsia="Noto Serif CJK SC" w:cs="Lohit Devanagari"/>
          <w:bCs/>
          <w:color w:val="auto"/>
          <w:kern w:val="0"/>
          <w:sz w:val="24"/>
          <w:szCs w:val="24"/>
          <w:lang w:val="ru-RU" w:eastAsia="ru-RU" w:bidi="ar-SA"/>
        </w:rPr>
        <w:t xml:space="preserve"> При этом, </w:t>
      </w:r>
      <w:bookmarkStart w:id="31" w:name="_Ref144889018"/>
      <w:r>
        <w:rPr>
          <w:rFonts w:eastAsia="Noto Serif CJK SC" w:cs="Lohit Devanagari"/>
          <w:bCs/>
          <w:color w:val="auto"/>
          <w:kern w:val="0"/>
          <w:sz w:val="24"/>
          <w:szCs w:val="24"/>
          <w:lang w:val="ru-RU" w:eastAsia="ru-RU" w:bidi="ar-SA"/>
        </w:rPr>
        <w:t>если выполненные в рамках настоящего Договора Работы соответствуют отдельному этапу в рамках Генерального договора, Генподрядчик направляет на рассмотрение Заказчику. Генподрядчик подписывает Акт сдачи-приемки выполненных работ/УПД с Субподрядчиком в течение 10 (десяти) дней с даты получения положительного заключения Заказчика по разработанному в рамках настоящего Договора результату Работ и подписания Акта сдачи-приемки выполненных работ между Генподрядчиком и Заказчиком в рамках Генерального договора.</w:t>
      </w:r>
      <w:bookmarkEnd w:id="31"/>
      <w:r>
        <w:rPr>
          <w:rFonts w:eastAsia="Noto Serif CJK SC" w:cs="Lohit Devanagari"/>
          <w:bCs/>
          <w:color w:val="auto"/>
          <w:kern w:val="0"/>
          <w:sz w:val="24"/>
          <w:szCs w:val="24"/>
          <w:lang w:val="ru-RU" w:eastAsia="ru-RU" w:bidi="ar-SA"/>
        </w:rPr>
        <w:t xml:space="preserve"> </w:t>
      </w:r>
    </w:p>
    <w:p>
      <w:pPr>
        <w:pStyle w:val="ListParagraph"/>
        <w:numPr>
          <w:ilvl w:val="0"/>
          <w:numId w:val="0"/>
        </w:numPr>
        <w:shd w:val="clear" w:color="auto" w:fill="FFFFFF"/>
        <w:tabs>
          <w:tab w:val="clear" w:pos="709"/>
          <w:tab w:val="left" w:pos="568" w:leader="none"/>
          <w:tab w:val="left" w:pos="1134" w:leader="none"/>
        </w:tabs>
        <w:ind w:left="0" w:right="0" w:firstLine="567"/>
        <w:jc w:val="both"/>
        <w:rPr/>
      </w:pPr>
      <w:r>
        <w:rPr>
          <w:bCs/>
        </w:rPr>
        <w:t xml:space="preserve">4.3.Устранение указанных недостатков и / или несоответствий, выявленных Генподрядчиком /Заказчиком, осуществляется Субподрядчиком своими силами и за свой счет в срок, указанный в Ведомости замечаний. Указание Генподрядчиком срока новой приемки не влечет переноса установленного Договором срока выполнения Работ и не исключает ответственности Субподрядчика за его нарушение. </w:t>
      </w:r>
    </w:p>
    <w:p>
      <w:pPr>
        <w:pStyle w:val="ListParagraph"/>
        <w:numPr>
          <w:ilvl w:val="0"/>
          <w:numId w:val="0"/>
        </w:numPr>
        <w:shd w:val="clear" w:color="auto" w:fill="FFFFFF"/>
        <w:tabs>
          <w:tab w:val="clear" w:pos="709"/>
          <w:tab w:val="left" w:pos="1134" w:leader="none"/>
        </w:tabs>
        <w:ind w:left="0" w:right="0" w:firstLine="567"/>
        <w:jc w:val="both"/>
        <w:rPr/>
      </w:pPr>
      <w:r>
        <w:rPr>
          <w:bCs/>
        </w:rPr>
        <w:t xml:space="preserve">4.4. Повторная приемка Генподрядчиком выполненных Работ после устранения недостатков, указанных в Ведомости замечаний, осуществляется в порядке, предусмотренном пунктами </w:t>
      </w:r>
      <w:r>
        <w:rPr>
          <w:bCs/>
        </w:rPr>
        <w:fldChar w:fldCharType="begin"/>
      </w:r>
      <w:r>
        <w:rPr>
          <w:bCs/>
        </w:rPr>
        <w:instrText> REF _Ref158828334 \r \h </w:instrText>
      </w:r>
      <w:r>
        <w:rPr>
          <w:bCs/>
        </w:rPr>
        <w:fldChar w:fldCharType="separate"/>
      </w:r>
      <w:r>
        <w:rPr>
          <w:bCs/>
        </w:rPr>
        <w:t>4.1.</w:t>
      </w:r>
      <w:r>
        <w:rPr>
          <w:bCs/>
        </w:rPr>
        <w:fldChar w:fldCharType="end"/>
      </w:r>
      <w:r>
        <w:rPr>
          <w:bCs/>
        </w:rPr>
        <w:t>, 4,2, 4.3. Договора.</w:t>
      </w:r>
    </w:p>
    <w:p>
      <w:pPr>
        <w:pStyle w:val="ListParagraph"/>
        <w:numPr>
          <w:ilvl w:val="0"/>
          <w:numId w:val="0"/>
        </w:numPr>
        <w:shd w:val="clear" w:color="auto" w:fill="FFFFFF"/>
        <w:tabs>
          <w:tab w:val="clear" w:pos="709"/>
          <w:tab w:val="left" w:pos="1134" w:leader="none"/>
        </w:tabs>
        <w:ind w:left="0" w:right="0" w:firstLine="567"/>
        <w:jc w:val="both"/>
        <w:rPr/>
      </w:pPr>
      <w:r>
        <w:rPr>
          <w:bCs/>
        </w:rPr>
        <w:t xml:space="preserve">4.5. </w:t>
      </w:r>
      <w:bookmarkStart w:id="32" w:name="_Ref158828708"/>
      <w:r>
        <w:rPr>
          <w:bCs/>
        </w:rPr>
        <w:t>Если Субподрядчик не устранит недостатки и / или несоответствия Результата Работ в срок, установленный Генподрядчиком в соответствии с пунктом 4.1-4.4 Договора, Генподрядчик вправе собственными силами и (или) силами третьих лиц выполнить работы по устранению недостатков, выявленных в ходе приемки результатов Работ, с отнесением на Субподрядчика соответствующих расходов. Субподрядчик обязан возместить указанные расходы в течение 10 (десяти) рабочих дней с даты получения соответствующего письменного требования Генподрядчика.</w:t>
      </w:r>
      <w:bookmarkEnd w:id="32"/>
      <w:r>
        <w:rPr>
          <w:bCs/>
        </w:rPr>
        <w:t xml:space="preserve"> </w:t>
      </w:r>
    </w:p>
    <w:p>
      <w:pPr>
        <w:pStyle w:val="ListParagraph"/>
        <w:numPr>
          <w:ilvl w:val="0"/>
          <w:numId w:val="0"/>
        </w:numPr>
        <w:shd w:val="clear" w:color="auto" w:fill="FFFFFF"/>
        <w:tabs>
          <w:tab w:val="clear" w:pos="709"/>
          <w:tab w:val="left" w:pos="1134" w:leader="none"/>
        </w:tabs>
        <w:ind w:left="0" w:right="0" w:firstLine="567"/>
        <w:jc w:val="both"/>
        <w:rPr/>
      </w:pPr>
      <w:r>
        <w:rPr>
          <w:bCs/>
        </w:rPr>
        <w:t>4.6. Досрочное исполнение Субподрядчиком обязательств по Договору возможно только при условии предварительного письменного согласия Генподрядчика.</w:t>
      </w:r>
    </w:p>
    <w:p>
      <w:pPr>
        <w:pStyle w:val="ListParagraph"/>
        <w:numPr>
          <w:ilvl w:val="0"/>
          <w:numId w:val="0"/>
        </w:numPr>
        <w:shd w:val="clear" w:color="auto" w:fill="FFFFFF"/>
        <w:tabs>
          <w:tab w:val="clear" w:pos="709"/>
          <w:tab w:val="left" w:pos="1134" w:leader="none"/>
        </w:tabs>
        <w:ind w:left="0" w:right="0" w:firstLine="567"/>
        <w:jc w:val="both"/>
        <w:rPr/>
      </w:pPr>
      <w:r>
        <w:rPr>
          <w:bCs/>
        </w:rPr>
        <w:t xml:space="preserve">4.7. </w:t>
      </w:r>
      <w:bookmarkStart w:id="33" w:name="_Ref361337635"/>
      <w:r>
        <w:rPr>
          <w:bCs/>
        </w:rPr>
        <w:t xml:space="preserve">Субподрядчик обязан представить Генподрядчику счета-фактуры / УПД, выставленные в сроки и оформленные в порядке, установленном законодательством Российской Федерации. В случае нарушения Субподрядчиком указанной обязанности он обязан произвести замену счета-фактуры / УПД в течение 3 (трех) рабочих дней с даты получения соответствующего письменного требования Генподрядчика. </w:t>
      </w:r>
      <w:bookmarkEnd w:id="33"/>
    </w:p>
    <w:p>
      <w:pPr>
        <w:pStyle w:val="ListParagraph"/>
        <w:shd w:val="clear" w:color="auto" w:fill="FFFFFF"/>
        <w:tabs>
          <w:tab w:val="clear" w:pos="709"/>
          <w:tab w:val="left" w:pos="1134" w:leader="none"/>
        </w:tabs>
        <w:ind w:left="567" w:hanging="0"/>
        <w:jc w:val="both"/>
        <w:rPr>
          <w:bCs/>
          <w:shd w:fill="auto" w:val="clear"/>
        </w:rPr>
      </w:pPr>
      <w:r>
        <w:rPr>
          <w:bCs/>
          <w:shd w:fill="auto" w:val="clear"/>
        </w:rPr>
      </w:r>
    </w:p>
    <w:p>
      <w:pPr>
        <w:pStyle w:val="ListParagraph"/>
        <w:numPr>
          <w:ilvl w:val="0"/>
          <w:numId w:val="3"/>
        </w:numPr>
        <w:tabs>
          <w:tab w:val="clear" w:pos="709"/>
          <w:tab w:val="left" w:pos="284" w:leader="none"/>
        </w:tabs>
        <w:ind w:left="0" w:hanging="0"/>
        <w:jc w:val="center"/>
        <w:rPr/>
      </w:pPr>
      <w:r>
        <w:rPr>
          <w:b/>
          <w:bCs/>
          <w:shd w:fill="auto" w:val="clear"/>
        </w:rPr>
        <w:t xml:space="preserve">Право собственности и переход рисков. Гарантия </w:t>
      </w:r>
    </w:p>
    <w:p>
      <w:pPr>
        <w:pStyle w:val="ListParagraph"/>
        <w:numPr>
          <w:ilvl w:val="1"/>
          <w:numId w:val="3"/>
        </w:numPr>
        <w:shd w:val="clear" w:color="auto" w:fill="FFFFFF"/>
        <w:tabs>
          <w:tab w:val="clear" w:pos="709"/>
          <w:tab w:val="left" w:pos="1134" w:leader="none"/>
        </w:tabs>
        <w:ind w:left="0" w:firstLine="709"/>
        <w:jc w:val="both"/>
        <w:rPr>
          <w:shd w:fill="auto" w:val="clear"/>
        </w:rPr>
      </w:pPr>
      <w:bookmarkStart w:id="34" w:name="_Ref361405028"/>
      <w:r>
        <w:rPr>
          <w:bCs/>
          <w:shd w:fill="auto" w:val="clear"/>
        </w:rPr>
        <w:t>Право собственности, риск случайной гибели или повреждения Результата Работ переходит к Генподрядчику с момента подписания Сторонами Акта сдачи-приемки выполненных работ по форме Приложения № 2 к Договору / УПД.</w:t>
      </w:r>
      <w:bookmarkEnd w:id="34"/>
    </w:p>
    <w:p>
      <w:pPr>
        <w:pStyle w:val="ListParagraph"/>
        <w:shd w:val="clear" w:color="auto" w:fill="FFFFFF"/>
        <w:tabs>
          <w:tab w:val="clear" w:pos="709"/>
          <w:tab w:val="left" w:pos="0" w:leader="none"/>
          <w:tab w:val="left" w:pos="1134" w:leader="none"/>
        </w:tabs>
        <w:ind w:left="0" w:firstLine="709"/>
        <w:jc w:val="both"/>
        <w:rPr>
          <w:bCs/>
        </w:rPr>
      </w:pPr>
      <w:r>
        <w:rPr>
          <w:bCs/>
          <w:shd w:fill="auto" w:val="clear"/>
        </w:rPr>
        <w:t>5.3. Гарантийный срок на выполненные работы по договору составляет 3 года с момента подписания сторонами  Акта сдачи-приемки выполненных работ / УПД.</w:t>
      </w:r>
      <w:r>
        <w:rPr>
          <w:bCs/>
          <w:shd w:fill="FFFF00" w:val="clear"/>
        </w:rPr>
        <w:br/>
      </w:r>
    </w:p>
    <w:p>
      <w:pPr>
        <w:pStyle w:val="ListParagraph"/>
        <w:numPr>
          <w:ilvl w:val="0"/>
          <w:numId w:val="3"/>
        </w:numPr>
        <w:shd w:val="clear" w:color="auto" w:fill="FFFFFF"/>
        <w:tabs>
          <w:tab w:val="clear" w:pos="709"/>
          <w:tab w:val="left" w:pos="284" w:leader="none"/>
        </w:tabs>
        <w:ind w:left="0" w:hanging="0"/>
        <w:jc w:val="center"/>
        <w:rPr>
          <w:b/>
          <w:b/>
          <w:bCs/>
        </w:rPr>
      </w:pPr>
      <w:r>
        <w:rPr>
          <w:b/>
          <w:bCs/>
        </w:rPr>
        <w:t>Ответственность Сторон</w:t>
      </w:r>
    </w:p>
    <w:p>
      <w:pPr>
        <w:pStyle w:val="ListParagraph"/>
        <w:numPr>
          <w:ilvl w:val="1"/>
          <w:numId w:val="3"/>
        </w:numPr>
        <w:shd w:val="clear" w:color="auto" w:fill="FFFFFF"/>
        <w:tabs>
          <w:tab w:val="clear" w:pos="709"/>
          <w:tab w:val="left" w:pos="1134" w:leader="none"/>
        </w:tabs>
        <w:ind w:left="0" w:firstLine="709"/>
        <w:jc w:val="both"/>
        <w:rPr/>
      </w:pPr>
      <w:r>
        <w:rPr>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0"/>
          <w:numId w:val="0"/>
        </w:numPr>
        <w:tabs>
          <w:tab w:val="clear" w:pos="709"/>
          <w:tab w:val="left" w:pos="1276" w:leader="none"/>
        </w:tabs>
        <w:spacing w:lineRule="auto" w:line="240"/>
        <w:ind w:left="0" w:hanging="0"/>
        <w:rPr/>
      </w:pPr>
      <w:r>
        <w:rPr>
          <w:sz w:val="24"/>
        </w:rPr>
        <w:t xml:space="preserve">      </w:t>
      </w:r>
      <w:r>
        <w:rPr>
          <w:sz w:val="24"/>
        </w:rPr>
        <w:t xml:space="preserve">6.2. В случае нарушения Генподрядчиком сроков оплаты, установленных разделом 3 Договора  Субподрядчик вправе требовать уплаты Генподрядчиком исключительной неустойки в размере 0,05 (ноль целых и пять сотых) процента от несвоевременно оплаченной суммы за каждый день просрочки, </w:t>
      </w:r>
      <w:r>
        <w:rPr>
          <w:bCs/>
          <w:sz w:val="24"/>
          <w:szCs w:val="24"/>
        </w:rPr>
        <w:t xml:space="preserve">но не более 5 (пяти) процентов от неоплаченной суммы . </w:t>
      </w:r>
    </w:p>
    <w:p>
      <w:pPr>
        <w:pStyle w:val="Normal"/>
        <w:numPr>
          <w:ilvl w:val="0"/>
          <w:numId w:val="0"/>
        </w:numPr>
        <w:tabs>
          <w:tab w:val="clear" w:pos="709"/>
          <w:tab w:val="left" w:pos="1276" w:leader="none"/>
        </w:tabs>
        <w:spacing w:lineRule="auto" w:line="240"/>
        <w:ind w:left="0" w:hanging="0"/>
        <w:jc w:val="both"/>
        <w:rPr/>
      </w:pPr>
      <w:r>
        <w:rPr>
          <w:bCs/>
          <w:sz w:val="24"/>
          <w:szCs w:val="24"/>
        </w:rPr>
        <w:t xml:space="preserve">          </w:t>
      </w:r>
      <w:r>
        <w:rPr>
          <w:bCs/>
          <w:sz w:val="24"/>
          <w:szCs w:val="24"/>
        </w:rPr>
        <w:t xml:space="preserve">6.3. В случае </w:t>
      </w:r>
      <w:r>
        <w:rPr>
          <w:sz w:val="24"/>
          <w:szCs w:val="24"/>
        </w:rPr>
        <w:t>нарушения Субподрядчиком обязательств по выполнению Работ,  а также в случае несвоевременного устранения выявленных недостатков Результата работ, Генподрядчик вправе требовать уплаты Субподря</w:t>
      </w:r>
      <w:r>
        <w:rPr>
          <w:rFonts w:eastAsia="Noto Serif CJK SC" w:cs="Lohit Devanagari"/>
          <w:color w:val="auto"/>
          <w:kern w:val="0"/>
          <w:sz w:val="24"/>
          <w:szCs w:val="24"/>
          <w:lang w:val="ru-RU" w:eastAsia="ru-RU" w:bidi="ar-SA"/>
        </w:rPr>
        <w:t>дчиком: Неустойки в размере 0,1 (ноль целых и одна десятая) процента от  Цены Договора за каждый день просрочки – в случае несвоевременного устранения недостатков, влияющих на возможность эксплуатации (использования) Результата Работ в целом по Договору</w:t>
      </w:r>
      <w:r>
        <w:rPr>
          <w:rFonts w:eastAsia="Calibri"/>
          <w:bCs/>
        </w:rPr>
        <w:t xml:space="preserve">; </w:t>
      </w:r>
    </w:p>
    <w:p>
      <w:pPr>
        <w:pStyle w:val="Normal"/>
        <w:numPr>
          <w:ilvl w:val="0"/>
          <w:numId w:val="0"/>
        </w:numPr>
        <w:tabs>
          <w:tab w:val="clear" w:pos="709"/>
          <w:tab w:val="left" w:pos="0" w:leader="none"/>
          <w:tab w:val="left" w:pos="1276" w:leader="none"/>
        </w:tabs>
        <w:spacing w:lineRule="auto" w:line="240"/>
        <w:ind w:left="0" w:hanging="0"/>
        <w:jc w:val="both"/>
        <w:rPr>
          <w:sz w:val="24"/>
          <w:szCs w:val="24"/>
        </w:rPr>
      </w:pPr>
      <w:r>
        <w:rPr>
          <w:bCs/>
          <w:sz w:val="24"/>
          <w:szCs w:val="24"/>
        </w:rPr>
        <w:t xml:space="preserve">        </w:t>
      </w:r>
      <w:r>
        <w:rPr>
          <w:bCs/>
          <w:sz w:val="24"/>
          <w:szCs w:val="24"/>
        </w:rPr>
        <w:t xml:space="preserve">6.4. В случае нарушения Субподрядчиком или привлеченными им СубСубподрядчиками требований пропускного и внутриобъектового режима, требований охраны труда, пожарной и промышленной безопасности, если они зафиксированы Заказчиком или уполномоченным государственным органом, Генподрядчик, помимо возмещения убытков, вправе требовать уплаты Субподрядчиком штрафа в размерах, установленных Приложением № 6 к Договору. </w:t>
      </w:r>
    </w:p>
    <w:p>
      <w:pPr>
        <w:pStyle w:val="ListParagraph"/>
        <w:numPr>
          <w:ilvl w:val="0"/>
          <w:numId w:val="0"/>
        </w:numPr>
        <w:shd w:val="clear" w:color="auto" w:fill="FFFFFF"/>
        <w:tabs>
          <w:tab w:val="clear" w:pos="709"/>
          <w:tab w:val="left" w:pos="1134" w:leader="none"/>
        </w:tabs>
        <w:ind w:left="0" w:hanging="0"/>
        <w:jc w:val="both"/>
        <w:rPr/>
      </w:pPr>
      <w:r>
        <w:rPr>
          <w:bCs/>
        </w:rPr>
        <w:t xml:space="preserve">    </w:t>
      </w:r>
      <w:r>
        <w:rPr>
          <w:bCs/>
        </w:rPr>
        <w:t xml:space="preserve">6.5. Если в результате составления и выставления Субподрядчиком счетов-фактур / УПД с нарушением порядка и требований, установленных законодательством Российской Федерации, Генподрядчик понес расходы, связанные с начислением налоговыми органами по такому основанию сумм налога на добавленную стоимость, пеней и налоговых санкций, Субподрядчик обязан компенсировать Генподрядчику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Субподрядчиком в течение 10 (десяти) рабочих дней с даты получения соответствующего письменного требования Генподрядчика. В случае нарушения Субподрядчиком сроков предоставления счетов-фактур / УПД, установленных пунктом </w:t>
      </w:r>
      <w:r>
        <w:rPr>
          <w:bCs/>
        </w:rPr>
        <w:fldChar w:fldCharType="begin"/>
      </w:r>
      <w:r>
        <w:rPr>
          <w:bCs/>
        </w:rPr>
        <w:instrText> REF _Ref361337635 \r \h </w:instrText>
      </w:r>
      <w:r>
        <w:rPr>
          <w:bCs/>
        </w:rPr>
        <w:fldChar w:fldCharType="separate"/>
      </w:r>
      <w:r>
        <w:rPr>
          <w:bCs/>
        </w:rPr>
      </w:r>
      <w:r>
        <w:rPr>
          <w:bCs/>
        </w:rPr>
        <w:fldChar w:fldCharType="end"/>
      </w:r>
      <w:r>
        <w:rPr>
          <w:bCs/>
        </w:rPr>
        <w:t xml:space="preserve"> Договора, Генподрядчик вправе требовать уплаты Субподрядчиком штрафа в размере 50 000 (пятидесяти тысяч) рублей за каждый случай нарушения.</w:t>
      </w:r>
    </w:p>
    <w:p>
      <w:pPr>
        <w:pStyle w:val="ListParagraph"/>
        <w:numPr>
          <w:ilvl w:val="0"/>
          <w:numId w:val="0"/>
        </w:numPr>
        <w:shd w:val="clear" w:color="auto" w:fill="FFFFFF"/>
        <w:tabs>
          <w:tab w:val="clear" w:pos="709"/>
          <w:tab w:val="left" w:pos="1276" w:leader="none"/>
        </w:tabs>
        <w:ind w:left="0" w:hanging="0"/>
        <w:jc w:val="both"/>
        <w:rPr/>
      </w:pPr>
      <w:r>
        <w:rPr>
          <w:bCs/>
        </w:rPr>
        <w:t xml:space="preserve">      </w:t>
      </w:r>
      <w:r>
        <w:rPr>
          <w:bCs/>
        </w:rPr>
        <w:t>6.6. Субподрядчик несет ответственность перед Генподрядчиком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Субподрядчиком своих обязательств, произведенных для восстановления нарушенного права, а также упущенной выгоды.</w:t>
      </w:r>
    </w:p>
    <w:p>
      <w:pPr>
        <w:pStyle w:val="ListParagraph"/>
        <w:numPr>
          <w:ilvl w:val="0"/>
          <w:numId w:val="0"/>
        </w:numPr>
        <w:shd w:val="clear" w:color="auto" w:fill="FFFFFF"/>
        <w:tabs>
          <w:tab w:val="clear" w:pos="709"/>
          <w:tab w:val="left" w:pos="1134" w:leader="none"/>
        </w:tabs>
        <w:ind w:left="0" w:hanging="0"/>
        <w:jc w:val="both"/>
        <w:rPr/>
      </w:pPr>
      <w:r>
        <w:rPr>
          <w:bCs/>
        </w:rPr>
        <w:t xml:space="preserve">  </w:t>
      </w:r>
      <w:r>
        <w:rPr>
          <w:bCs/>
        </w:rPr>
        <w:t xml:space="preserve">6.7. 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0"/>
          <w:numId w:val="0"/>
        </w:numPr>
        <w:shd w:val="clear" w:color="auto" w:fill="FFFFFF"/>
        <w:tabs>
          <w:tab w:val="clear" w:pos="709"/>
          <w:tab w:val="left" w:pos="1134" w:leader="none"/>
        </w:tabs>
        <w:ind w:left="0" w:hanging="0"/>
        <w:jc w:val="both"/>
        <w:rPr/>
      </w:pPr>
      <w:r>
        <w:rPr>
          <w:bCs/>
        </w:rPr>
        <w:t xml:space="preserve">    </w:t>
      </w:r>
      <w:r>
        <w:rPr>
          <w:bCs/>
        </w:rPr>
        <w:t>6.8. 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0"/>
          <w:numId w:val="0"/>
        </w:numPr>
        <w:shd w:val="clear" w:color="auto" w:fill="FFFFFF"/>
        <w:tabs>
          <w:tab w:val="clear" w:pos="709"/>
          <w:tab w:val="left" w:pos="0" w:leader="none"/>
        </w:tabs>
        <w:ind w:left="0" w:hanging="0"/>
        <w:jc w:val="both"/>
        <w:rPr/>
      </w:pPr>
      <w:r>
        <w:rPr>
          <w:rFonts w:eastAsia="Calibri"/>
          <w:bCs/>
        </w:rPr>
        <w:t xml:space="preserve">        </w:t>
      </w:r>
      <w:r>
        <w:rPr>
          <w:rFonts w:eastAsia="Calibri"/>
          <w:bCs/>
        </w:rPr>
        <w:t>6.9. Убытки подлежат возмещению Субподрядчиком в полной сумме сверх неустойки.</w:t>
      </w:r>
    </w:p>
    <w:p>
      <w:pPr>
        <w:pStyle w:val="ListParagraph"/>
        <w:numPr>
          <w:ilvl w:val="0"/>
          <w:numId w:val="0"/>
        </w:numPr>
        <w:shd w:val="clear" w:color="auto" w:fill="FFFFFF"/>
        <w:tabs>
          <w:tab w:val="clear" w:pos="709"/>
          <w:tab w:val="left" w:pos="0" w:leader="none"/>
        </w:tabs>
        <w:ind w:left="0" w:hanging="0"/>
        <w:jc w:val="both"/>
        <w:rPr/>
      </w:pPr>
      <w:r>
        <w:rPr/>
        <w:t xml:space="preserve">  </w:t>
      </w:r>
      <w:r>
        <w:rPr/>
        <w:t>6.10. Ответственность Генподрядчика за причиненные Субподрядчику убытки ограничивается реальным ущербом, но не более Цены Договора.</w:t>
      </w:r>
    </w:p>
    <w:p>
      <w:pPr>
        <w:pStyle w:val="ListParagraph"/>
        <w:numPr>
          <w:ilvl w:val="0"/>
          <w:numId w:val="0"/>
        </w:numPr>
        <w:shd w:val="clear" w:color="auto" w:fill="FFFFFF"/>
        <w:tabs>
          <w:tab w:val="clear" w:pos="709"/>
          <w:tab w:val="left" w:pos="0" w:leader="none"/>
        </w:tabs>
        <w:ind w:left="0" w:hanging="0"/>
        <w:jc w:val="both"/>
        <w:rPr/>
      </w:pPr>
      <w:r>
        <w:rPr>
          <w:bCs/>
        </w:rPr>
        <w:t xml:space="preserve">   </w:t>
      </w:r>
      <w:r>
        <w:rPr>
          <w:bCs/>
        </w:rPr>
        <w:t>6.11. Учитывая, что для Генподрядчика надлежащее и своевременное выполнение Субподрядчиком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Субподрядчиком соответствующих обязательств по Договору.</w:t>
      </w:r>
    </w:p>
    <w:p>
      <w:pPr>
        <w:pStyle w:val="Normal"/>
        <w:shd w:val="clear" w:color="auto" w:fill="FFFFFF"/>
        <w:tabs>
          <w:tab w:val="clear" w:pos="709"/>
          <w:tab w:val="left" w:pos="566" w:leader="none"/>
        </w:tabs>
        <w:spacing w:lineRule="auto" w:line="240"/>
        <w:ind w:hanging="0"/>
        <w:rPr>
          <w:color w:val="000000"/>
          <w:sz w:val="24"/>
          <w:szCs w:val="24"/>
        </w:rPr>
      </w:pPr>
      <w:r>
        <w:rPr>
          <w:color w:val="000000"/>
          <w:sz w:val="24"/>
          <w:szCs w:val="24"/>
        </w:rPr>
      </w:r>
    </w:p>
    <w:p>
      <w:pPr>
        <w:pStyle w:val="ListParagraph"/>
        <w:numPr>
          <w:ilvl w:val="0"/>
          <w:numId w:val="3"/>
        </w:numPr>
        <w:shd w:val="clear" w:color="auto" w:fill="FFFFFF"/>
        <w:tabs>
          <w:tab w:val="clear" w:pos="709"/>
          <w:tab w:val="left" w:pos="426" w:leader="none"/>
        </w:tabs>
        <w:ind w:left="0" w:hanging="0"/>
        <w:jc w:val="center"/>
        <w:rPr>
          <w:b/>
          <w:b/>
          <w:bCs/>
        </w:rPr>
      </w:pPr>
      <w:r>
        <w:rPr>
          <w:b/>
          <w:bCs/>
        </w:rPr>
        <w:t>Исключительные права и патенты</w:t>
      </w:r>
    </w:p>
    <w:p>
      <w:pPr>
        <w:pStyle w:val="ListParagraph"/>
        <w:numPr>
          <w:ilvl w:val="1"/>
          <w:numId w:val="3"/>
        </w:numPr>
        <w:shd w:val="clear" w:color="auto" w:fill="FFFFFF"/>
        <w:tabs>
          <w:tab w:val="clear" w:pos="709"/>
          <w:tab w:val="left" w:pos="1134" w:leader="none"/>
        </w:tabs>
        <w:ind w:left="0" w:firstLine="709"/>
        <w:jc w:val="both"/>
        <w:rPr>
          <w:bCs/>
        </w:rPr>
      </w:pPr>
      <w:r>
        <w:rPr>
          <w:bCs/>
        </w:rPr>
        <w:t>Субподрядчик гарантирует, что выполнение Работ, предусмотренных Договором, а также передача Генподрядчику Результата работ не нарушит исключительных и иных интеллектуальных прав третьих лиц</w:t>
      </w:r>
      <w:r>
        <w:rP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3"/>
        </w:numPr>
        <w:shd w:val="clear" w:color="auto" w:fill="FFFFFF"/>
        <w:tabs>
          <w:tab w:val="clear" w:pos="709"/>
          <w:tab w:val="left" w:pos="1134" w:leader="none"/>
        </w:tabs>
        <w:ind w:left="0" w:firstLine="709"/>
        <w:jc w:val="both"/>
        <w:rPr>
          <w:bCs/>
        </w:rPr>
      </w:pPr>
      <w:r>
        <w:rPr>
          <w:bCs/>
        </w:rPr>
        <w:t xml:space="preserve">Субподрядчик вправе использовать при выполнении Работ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3"/>
        </w:numPr>
        <w:shd w:val="clear" w:color="auto" w:fill="FFFFFF"/>
        <w:tabs>
          <w:tab w:val="clear" w:pos="709"/>
          <w:tab w:val="left" w:pos="1134" w:leader="none"/>
        </w:tabs>
        <w:ind w:left="0" w:firstLine="709"/>
        <w:jc w:val="both"/>
        <w:rPr>
          <w:bCs/>
        </w:rPr>
      </w:pPr>
      <w:r>
        <w:rPr>
          <w:bCs/>
        </w:rPr>
        <w:t xml:space="preserve">В состав Результата работ по Договору считаются включенными все разрешения (лицензии), необходимые для использования Генподрядчиком Результата работ. </w:t>
      </w:r>
    </w:p>
    <w:p>
      <w:pPr>
        <w:pStyle w:val="ListParagraph"/>
        <w:numPr>
          <w:ilvl w:val="1"/>
          <w:numId w:val="3"/>
        </w:numPr>
        <w:shd w:val="clear" w:color="auto" w:fill="FFFFFF"/>
        <w:tabs>
          <w:tab w:val="clear" w:pos="709"/>
          <w:tab w:val="left" w:pos="1134" w:leader="none"/>
        </w:tabs>
        <w:ind w:left="0" w:firstLine="709"/>
        <w:jc w:val="both"/>
        <w:rPr>
          <w:bCs/>
        </w:rPr>
      </w:pPr>
      <w:r>
        <w:rPr>
          <w:bCs/>
        </w:rPr>
        <w:t>В случае, если Генподрядчику будут предъявлены требования, связанные с нарушением Субподрядчиком при выполнении Работ по Договору исключительных и / или иных интеллектуальных прав третьих лиц, Субподрядчик обязан полностью возместить Генподрядчику все расходы и убытки, связанные с такими требованиями, включая расходы на юридических консультантов.</w:t>
      </w:r>
    </w:p>
    <w:p>
      <w:pPr>
        <w:pStyle w:val="ListParagraph"/>
        <w:numPr>
          <w:ilvl w:val="1"/>
          <w:numId w:val="3"/>
        </w:numPr>
        <w:shd w:val="clear" w:color="auto" w:fill="FFFFFF"/>
        <w:tabs>
          <w:tab w:val="clear" w:pos="709"/>
          <w:tab w:val="left" w:pos="1134" w:leader="none"/>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Субподрядчиком Договора, возникают непосредственно у Генподрядчика, либо, если в соответствии с законодательством Российской Федерации такие исключительные права возникают у Субподрядчика, эти права переходят к Генподрядчику сразу после их возникновения в силу Договора.</w:t>
      </w:r>
    </w:p>
    <w:p>
      <w:pPr>
        <w:pStyle w:val="ListParagraph"/>
        <w:shd w:val="clear" w:color="auto" w:fill="FFFFFF"/>
        <w:tabs>
          <w:tab w:val="clear" w:pos="709"/>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Субподрядчиком Договора, не могут переходить к Генподрядчику в порядке, указанном в настоящем пункте Договора, Стороны пришли к соглашению о том, что Субподрядчик передаст Генподрядчику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и в том объеме (пределах), которые требуются для эксплуатации. При этом Стороны признают, что плата за использование прав на результаты интеллектуальной деятельности входит в Цену Договора. </w:t>
      </w:r>
    </w:p>
    <w:p>
      <w:pPr>
        <w:pStyle w:val="ListParagraph"/>
        <w:numPr>
          <w:ilvl w:val="1"/>
          <w:numId w:val="3"/>
        </w:numPr>
        <w:shd w:val="clear" w:color="auto" w:fill="FFFFFF"/>
        <w:tabs>
          <w:tab w:val="clear" w:pos="709"/>
          <w:tab w:val="left" w:pos="1134" w:leader="none"/>
        </w:tabs>
        <w:ind w:left="0" w:firstLine="709"/>
        <w:jc w:val="both"/>
        <w:rPr>
          <w:bCs/>
        </w:rPr>
      </w:pPr>
      <w:r>
        <w:rPr>
          <w:bCs/>
        </w:rPr>
        <w:t>В случае появления в рамках исполнения Договора или в составе Результата работ патентоспособного результата интеллектуальной деятельности, Субподрядчик не позднее 10 (десяти) календарных дней обязуется письменно сообщить об этом Генподрядчику и в разумный срок заключить дополнительное соглашение к Договору о порядке регистрации прав Генподрядчика на такой результат интеллектуальной деятельности, без уплаты Генподрядчиком какого-либо дополнительного вознаграждения.</w:t>
      </w:r>
    </w:p>
    <w:p>
      <w:pPr>
        <w:pStyle w:val="ListParagraph"/>
        <w:numPr>
          <w:ilvl w:val="1"/>
          <w:numId w:val="3"/>
        </w:numPr>
        <w:shd w:val="clear" w:color="auto" w:fill="FFFFFF"/>
        <w:tabs>
          <w:tab w:val="clear" w:pos="709"/>
          <w:tab w:val="left" w:pos="1134" w:leader="none"/>
        </w:tabs>
        <w:ind w:left="0" w:firstLine="709"/>
        <w:jc w:val="both"/>
        <w:rPr>
          <w:bCs/>
        </w:rPr>
      </w:pPr>
      <w:r>
        <w:rPr>
          <w:bCs/>
        </w:rPr>
        <w:t>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Субподрядчиком Договора, подтверждается подписанием Сторонами Акта сдачи-приемки выполненных работ.</w:t>
      </w:r>
    </w:p>
    <w:p>
      <w:pPr>
        <w:pStyle w:val="ListParagraph"/>
        <w:shd w:val="clear" w:color="auto" w:fill="FFFFFF"/>
        <w:tabs>
          <w:tab w:val="clear" w:pos="709"/>
          <w:tab w:val="left" w:pos="1134" w:leader="none"/>
        </w:tabs>
        <w:ind w:left="709" w:hanging="0"/>
        <w:jc w:val="both"/>
        <w:rPr>
          <w:bCs/>
        </w:rPr>
      </w:pPr>
      <w:r>
        <w:rPr>
          <w:bCs/>
        </w:rPr>
      </w:r>
    </w:p>
    <w:p>
      <w:pPr>
        <w:pStyle w:val="ListParagraph"/>
        <w:numPr>
          <w:ilvl w:val="0"/>
          <w:numId w:val="3"/>
        </w:numPr>
        <w:shd w:val="clear" w:color="auto" w:fill="FFFFFF"/>
        <w:tabs>
          <w:tab w:val="clear" w:pos="709"/>
          <w:tab w:val="left" w:pos="426" w:leader="none"/>
        </w:tabs>
        <w:ind w:left="0" w:hanging="0"/>
        <w:jc w:val="center"/>
        <w:rPr>
          <w:b/>
          <w:b/>
          <w:bCs/>
        </w:rPr>
      </w:pPr>
      <w:r>
        <w:rPr>
          <w:b/>
          <w:bCs/>
        </w:rPr>
        <w:t>Конфиденциальность</w:t>
      </w:r>
    </w:p>
    <w:p>
      <w:pPr>
        <w:pStyle w:val="ListParagraph"/>
        <w:numPr>
          <w:ilvl w:val="1"/>
          <w:numId w:val="3"/>
        </w:numPr>
        <w:shd w:val="clear" w:color="auto" w:fill="FFFFFF"/>
        <w:tabs>
          <w:tab w:val="clear" w:pos="709"/>
          <w:tab w:val="left" w:pos="1134" w:leader="none"/>
        </w:tabs>
        <w:ind w:left="0" w:firstLine="709"/>
        <w:jc w:val="both"/>
        <w:rPr>
          <w:bCs/>
        </w:rPr>
      </w:pPr>
      <w:r>
        <w:rPr>
          <w:bCs/>
        </w:rPr>
        <w:t>Под конфиденциальной информацией (далее – «Информация») для целей Договора понимается любая информация, передаваемая Генподрядчиком Субподрядчику в устной либо документарной форме, в виде электронного файла, в любом другом виде, а также полученная Субподрядчиком самостоятельно в ходе визитов на территорию Генподрядчика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5"/>
        </w:numPr>
        <w:tabs>
          <w:tab w:val="left" w:pos="709" w:leader="none"/>
          <w:tab w:val="left" w:pos="1418" w:leader="none"/>
        </w:tabs>
        <w:spacing w:lineRule="auto" w:line="240"/>
        <w:ind w:left="0" w:firstLine="709"/>
        <w:rPr>
          <w:bCs/>
          <w:sz w:val="24"/>
          <w:szCs w:val="24"/>
        </w:rPr>
      </w:pPr>
      <w:r>
        <w:rPr>
          <w:bCs/>
          <w:sz w:val="24"/>
          <w:szCs w:val="24"/>
        </w:rPr>
        <w:t>данная Информация имеет действительную или потенциальную коммерческую ценность для Генподрядчика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numPr>
          <w:ilvl w:val="0"/>
          <w:numId w:val="5"/>
        </w:numPr>
        <w:tabs>
          <w:tab w:val="left" w:pos="709" w:leader="none"/>
          <w:tab w:val="left" w:pos="1418" w:leader="none"/>
        </w:tabs>
        <w:spacing w:lineRule="auto" w:line="240"/>
        <w:ind w:left="0" w:firstLine="709"/>
        <w:rPr>
          <w:bCs/>
          <w:sz w:val="24"/>
          <w:szCs w:val="24"/>
        </w:rPr>
      </w:pPr>
      <w:r>
        <w:rPr>
          <w:bCs/>
          <w:sz w:val="24"/>
          <w:szCs w:val="24"/>
        </w:rPr>
        <w:t>данная Информация не относится к категории общедоступной или обязательной к раскрытию Генподрядчиком в соответствии с законодательством Российской Федерации.</w:t>
      </w:r>
    </w:p>
    <w:p>
      <w:pPr>
        <w:pStyle w:val="ListParagraph"/>
        <w:numPr>
          <w:ilvl w:val="1"/>
          <w:numId w:val="3"/>
        </w:numPr>
        <w:shd w:val="clear" w:color="auto" w:fill="FFFFFF"/>
        <w:tabs>
          <w:tab w:val="clear" w:pos="709"/>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Генподрядчиком закупочных процедур. </w:t>
      </w:r>
    </w:p>
    <w:p>
      <w:pPr>
        <w:pStyle w:val="ListParagraph"/>
        <w:numPr>
          <w:ilvl w:val="1"/>
          <w:numId w:val="3"/>
        </w:numPr>
        <w:shd w:val="clear" w:color="auto" w:fill="FFFFFF"/>
        <w:tabs>
          <w:tab w:val="clear" w:pos="709"/>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3"/>
        </w:numPr>
        <w:shd w:val="clear" w:color="auto" w:fill="FFFFFF"/>
        <w:tabs>
          <w:tab w:val="clear" w:pos="709"/>
          <w:tab w:val="left" w:pos="1134" w:leader="none"/>
        </w:tabs>
        <w:ind w:left="0" w:firstLine="709"/>
        <w:jc w:val="both"/>
        <w:rPr>
          <w:bCs/>
        </w:rPr>
      </w:pPr>
      <w:r>
        <w:rPr>
          <w:bCs/>
        </w:rPr>
        <w:t>На документ, содержащий Информацию, Генподрядчиком может быть нанесен гриф «Коммерческая тайна» с указанием обладателя этой информации.</w:t>
      </w:r>
    </w:p>
    <w:p>
      <w:pPr>
        <w:pStyle w:val="ListParagraph"/>
        <w:numPr>
          <w:ilvl w:val="1"/>
          <w:numId w:val="3"/>
        </w:numPr>
        <w:shd w:val="clear" w:color="auto" w:fill="FFFFFF"/>
        <w:tabs>
          <w:tab w:val="clear" w:pos="709"/>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5"/>
        </w:numPr>
        <w:tabs>
          <w:tab w:val="clear" w:pos="709"/>
          <w:tab w:val="left" w:pos="1418" w:leader="none"/>
        </w:tabs>
        <w:spacing w:lineRule="auto" w:line="240"/>
        <w:ind w:left="0" w:firstLine="709"/>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numPr>
          <w:ilvl w:val="0"/>
          <w:numId w:val="5"/>
        </w:numPr>
        <w:tabs>
          <w:tab w:val="clear" w:pos="709"/>
          <w:tab w:val="left" w:pos="1418" w:leader="none"/>
        </w:tabs>
        <w:spacing w:lineRule="auto" w:line="240"/>
        <w:ind w:left="0" w:firstLine="709"/>
        <w:rPr>
          <w:bCs/>
          <w:sz w:val="24"/>
          <w:szCs w:val="24"/>
        </w:rPr>
      </w:pPr>
      <w:r>
        <w:rPr>
          <w:bCs/>
          <w:sz w:val="24"/>
          <w:szCs w:val="24"/>
        </w:rPr>
        <w:t>учетные регистры бухгалтерского учета;</w:t>
      </w:r>
    </w:p>
    <w:p>
      <w:pPr>
        <w:pStyle w:val="Normal"/>
        <w:numPr>
          <w:ilvl w:val="0"/>
          <w:numId w:val="5"/>
        </w:numPr>
        <w:tabs>
          <w:tab w:val="clear" w:pos="709"/>
          <w:tab w:val="left" w:pos="1418" w:leader="none"/>
        </w:tabs>
        <w:spacing w:lineRule="auto" w:line="240"/>
        <w:ind w:left="0" w:firstLine="709"/>
        <w:rPr>
          <w:bCs/>
          <w:sz w:val="24"/>
          <w:szCs w:val="24"/>
        </w:rPr>
      </w:pPr>
      <w:r>
        <w:rPr>
          <w:bCs/>
          <w:sz w:val="24"/>
          <w:szCs w:val="24"/>
        </w:rPr>
        <w:t>бизнес-планы;</w:t>
      </w:r>
    </w:p>
    <w:p>
      <w:pPr>
        <w:pStyle w:val="Normal"/>
        <w:numPr>
          <w:ilvl w:val="0"/>
          <w:numId w:val="5"/>
        </w:numPr>
        <w:tabs>
          <w:tab w:val="clear" w:pos="709"/>
          <w:tab w:val="left" w:pos="1418" w:leader="none"/>
        </w:tabs>
        <w:spacing w:lineRule="auto" w:line="240"/>
        <w:ind w:left="0" w:firstLine="709"/>
        <w:rPr>
          <w:bCs/>
          <w:sz w:val="24"/>
          <w:szCs w:val="24"/>
        </w:rPr>
      </w:pPr>
      <w:r>
        <w:rPr>
          <w:bCs/>
          <w:sz w:val="24"/>
          <w:szCs w:val="24"/>
        </w:rPr>
        <w:t>договоры (соглашения), заключаемые или заключенные непосредственно Генподрядчиком либо в его пользу, а также информацию и сведения, содержащиеся в данных договорах (соглашениях);</w:t>
      </w:r>
    </w:p>
    <w:p>
      <w:pPr>
        <w:pStyle w:val="Normal"/>
        <w:numPr>
          <w:ilvl w:val="0"/>
          <w:numId w:val="5"/>
        </w:numPr>
        <w:tabs>
          <w:tab w:val="clear" w:pos="709"/>
          <w:tab w:val="left" w:pos="1418" w:leader="none"/>
        </w:tabs>
        <w:spacing w:lineRule="auto" w:line="240"/>
        <w:ind w:left="0" w:firstLine="709"/>
        <w:rPr>
          <w:bCs/>
          <w:sz w:val="24"/>
          <w:szCs w:val="24"/>
        </w:rPr>
      </w:pPr>
      <w:r>
        <w:rPr>
          <w:bCs/>
          <w:sz w:val="24"/>
          <w:szCs w:val="24"/>
        </w:rPr>
        <w:t>сведения о финансовых, правовых, организационных и других взаимоотношениях между Генподрядчиком и третьими лицами;</w:t>
      </w:r>
    </w:p>
    <w:p>
      <w:pPr>
        <w:pStyle w:val="Normal"/>
        <w:numPr>
          <w:ilvl w:val="0"/>
          <w:numId w:val="5"/>
        </w:numPr>
        <w:tabs>
          <w:tab w:val="clear" w:pos="709"/>
          <w:tab w:val="left" w:pos="1418" w:leader="none"/>
        </w:tabs>
        <w:spacing w:lineRule="auto" w:line="240"/>
        <w:ind w:left="0" w:firstLine="709"/>
        <w:rPr>
          <w:bCs/>
          <w:sz w:val="24"/>
          <w:szCs w:val="24"/>
        </w:rPr>
      </w:pPr>
      <w:r>
        <w:rPr>
          <w:bCs/>
          <w:sz w:val="24"/>
          <w:szCs w:val="24"/>
        </w:rPr>
        <w:t>сведения о находящихся на регистрации товарных знаках Генподрядчика, а также об объектах интеллектуальной собственности Генподрядчика, сведения о которых не являются опубликованными;</w:t>
      </w:r>
    </w:p>
    <w:p>
      <w:pPr>
        <w:pStyle w:val="Normal"/>
        <w:numPr>
          <w:ilvl w:val="0"/>
          <w:numId w:val="5"/>
        </w:numPr>
        <w:tabs>
          <w:tab w:val="clear" w:pos="709"/>
          <w:tab w:val="left" w:pos="1418" w:leader="none"/>
        </w:tabs>
        <w:spacing w:lineRule="auto" w:line="240"/>
        <w:ind w:left="0" w:firstLine="709"/>
        <w:rPr>
          <w:bCs/>
          <w:sz w:val="24"/>
          <w:szCs w:val="24"/>
        </w:rPr>
      </w:pPr>
      <w:r>
        <w:rPr>
          <w:bCs/>
          <w:sz w:val="24"/>
          <w:szCs w:val="24"/>
        </w:rPr>
        <w:t>сведения о Субподрядчиках, поставщиках оборудования и материалов, а также о покупателях продукции Генподрядчика и их аффилированных лицах;</w:t>
      </w:r>
    </w:p>
    <w:p>
      <w:pPr>
        <w:pStyle w:val="Normal"/>
        <w:numPr>
          <w:ilvl w:val="0"/>
          <w:numId w:val="5"/>
        </w:numPr>
        <w:tabs>
          <w:tab w:val="clear" w:pos="709"/>
          <w:tab w:val="left" w:pos="1418" w:leader="none"/>
        </w:tabs>
        <w:spacing w:lineRule="auto" w:line="240"/>
        <w:ind w:left="0" w:firstLine="709"/>
        <w:rPr>
          <w:bCs/>
          <w:sz w:val="24"/>
          <w:szCs w:val="24"/>
        </w:rPr>
      </w:pPr>
      <w:r>
        <w:rPr>
          <w:bCs/>
          <w:sz w:val="24"/>
          <w:szCs w:val="24"/>
        </w:rPr>
        <w:t>сведения об объемах производства и / или реализации продукции и услуг Генподрядчика или его аффилированных лиц;</w:t>
      </w:r>
    </w:p>
    <w:p>
      <w:pPr>
        <w:pStyle w:val="Normal"/>
        <w:numPr>
          <w:ilvl w:val="0"/>
          <w:numId w:val="5"/>
        </w:numPr>
        <w:tabs>
          <w:tab w:val="clear" w:pos="709"/>
          <w:tab w:val="left" w:pos="1418" w:leader="none"/>
        </w:tabs>
        <w:spacing w:lineRule="auto" w:line="240"/>
        <w:ind w:left="0" w:firstLine="709"/>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numPr>
          <w:ilvl w:val="1"/>
          <w:numId w:val="3"/>
        </w:numPr>
        <w:shd w:val="clear" w:color="auto" w:fill="FFFFFF"/>
        <w:tabs>
          <w:tab w:val="clear" w:pos="709"/>
          <w:tab w:val="left" w:pos="1134" w:leader="none"/>
        </w:tabs>
        <w:ind w:left="0" w:firstLine="709"/>
        <w:jc w:val="both"/>
        <w:rPr>
          <w:bCs/>
        </w:rPr>
      </w:pPr>
      <w:bookmarkStart w:id="35" w:name="_Ref361337849"/>
      <w:r>
        <w:rPr>
          <w:bCs/>
        </w:rPr>
        <w:t>Субподрядчик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35"/>
      <w:r>
        <w:rPr>
          <w:bCs/>
        </w:rPr>
        <w:t xml:space="preserve"> </w:t>
      </w:r>
    </w:p>
    <w:p>
      <w:pPr>
        <w:pStyle w:val="ListParagraph"/>
        <w:numPr>
          <w:ilvl w:val="2"/>
          <w:numId w:val="3"/>
        </w:numPr>
        <w:shd w:val="clear" w:color="auto" w:fill="FFFFFF"/>
        <w:tabs>
          <w:tab w:val="clear" w:pos="709"/>
          <w:tab w:val="left" w:pos="1701" w:leader="none"/>
        </w:tabs>
        <w:ind w:left="0" w:firstLine="709"/>
        <w:jc w:val="both"/>
        <w:rPr>
          <w:bCs/>
        </w:rPr>
      </w:pPr>
      <w:r>
        <w:rPr>
          <w:bCs/>
        </w:rPr>
        <w:t xml:space="preserve">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Генподрядчика, за исключением случаев, предусмотренных законодательством Российской Федерации и пунктом </w:t>
      </w:r>
      <w:r>
        <w:rPr>
          <w:bCs/>
        </w:rPr>
        <w:fldChar w:fldCharType="begin"/>
      </w:r>
      <w:r>
        <w:rPr>
          <w:bCs/>
        </w:rPr>
        <w:instrText> REF _Ref361337832 \r \h </w:instrText>
      </w:r>
      <w:r>
        <w:rPr>
          <w:bCs/>
        </w:rPr>
        <w:fldChar w:fldCharType="separate"/>
      </w:r>
      <w:r>
        <w:rPr>
          <w:bCs/>
        </w:rPr>
        <w:t>8.6.7.</w:t>
      </w:r>
      <w:r>
        <w:rPr>
          <w:bCs/>
        </w:rPr>
        <w:fldChar w:fldCharType="end"/>
      </w:r>
      <w:r>
        <w:rPr>
          <w:bCs/>
        </w:rPr>
        <w:t xml:space="preserve"> Договора;</w:t>
      </w:r>
    </w:p>
    <w:p>
      <w:pPr>
        <w:pStyle w:val="ListParagraph"/>
        <w:numPr>
          <w:ilvl w:val="2"/>
          <w:numId w:val="3"/>
        </w:numPr>
        <w:shd w:val="clear" w:color="auto" w:fill="FFFFFF"/>
        <w:tabs>
          <w:tab w:val="clear" w:pos="709"/>
          <w:tab w:val="left" w:pos="1701"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Субподрядчиком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Субподрядчик обязан использовать в отношении защиты Информации, обычно используемые им меры защиты;</w:t>
      </w:r>
    </w:p>
    <w:p>
      <w:pPr>
        <w:pStyle w:val="ListParagraph"/>
        <w:numPr>
          <w:ilvl w:val="2"/>
          <w:numId w:val="3"/>
        </w:numPr>
        <w:shd w:val="clear" w:color="auto" w:fill="FFFFFF"/>
        <w:tabs>
          <w:tab w:val="clear" w:pos="709"/>
          <w:tab w:val="left" w:pos="1701"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3"/>
        </w:numPr>
        <w:shd w:val="clear" w:color="auto" w:fill="FFFFFF"/>
        <w:tabs>
          <w:tab w:val="clear" w:pos="709"/>
          <w:tab w:val="left" w:pos="1701"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3"/>
        </w:numPr>
        <w:shd w:val="clear" w:color="auto" w:fill="FFFFFF"/>
        <w:tabs>
          <w:tab w:val="clear" w:pos="709"/>
          <w:tab w:val="left" w:pos="1701"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Генподрядчика, а также обеспечить содействие, которое потребует Генподрядчик для предотвращения такого несанкционированного раскрытия;</w:t>
      </w:r>
    </w:p>
    <w:p>
      <w:pPr>
        <w:pStyle w:val="ListParagraph"/>
        <w:numPr>
          <w:ilvl w:val="2"/>
          <w:numId w:val="3"/>
        </w:numPr>
        <w:shd w:val="clear" w:color="auto" w:fill="FFFFFF"/>
        <w:tabs>
          <w:tab w:val="clear" w:pos="709"/>
          <w:tab w:val="left" w:pos="1701" w:leader="none"/>
        </w:tabs>
        <w:ind w:left="0" w:firstLine="709"/>
        <w:jc w:val="both"/>
        <w:rPr>
          <w:bCs/>
        </w:rPr>
      </w:pPr>
      <w:r>
        <w:rPr>
          <w:bCs/>
        </w:rPr>
        <w:t xml:space="preserve">по требованию Генподрядчика уничтожить всю Информацию, которую будет невозможно передать Генподрядчику по его запросу или которая будет находиться на технических средствах Субподрядчика. При этом Генподрядчик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3"/>
        </w:numPr>
        <w:shd w:val="clear" w:color="auto" w:fill="FFFFFF"/>
        <w:tabs>
          <w:tab w:val="clear" w:pos="709"/>
          <w:tab w:val="left" w:pos="1701" w:leader="none"/>
        </w:tabs>
        <w:ind w:left="0" w:firstLine="709"/>
        <w:jc w:val="both"/>
        <w:rPr>
          <w:bCs/>
        </w:rPr>
      </w:pPr>
      <w:bookmarkStart w:id="36"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36"/>
    </w:p>
    <w:p>
      <w:pPr>
        <w:pStyle w:val="ListParagraph"/>
        <w:numPr>
          <w:ilvl w:val="2"/>
          <w:numId w:val="3"/>
        </w:numPr>
        <w:shd w:val="clear" w:color="auto" w:fill="FFFFFF"/>
        <w:tabs>
          <w:tab w:val="clear" w:pos="709"/>
          <w:tab w:val="left" w:pos="1701"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3"/>
        </w:numPr>
        <w:shd w:val="clear" w:color="auto" w:fill="FFFFFF"/>
        <w:tabs>
          <w:tab w:val="clear" w:pos="709"/>
          <w:tab w:val="left" w:pos="1134" w:leader="none"/>
        </w:tabs>
        <w:ind w:left="0" w:firstLine="709"/>
        <w:jc w:val="both"/>
        <w:rPr>
          <w:bCs/>
        </w:rPr>
      </w:pPr>
      <w:bookmarkStart w:id="37" w:name="_Ref361337863"/>
      <w:r>
        <w:rPr>
          <w:bCs/>
        </w:rPr>
        <w:t>Субподрядчик, нарушивший условия настоящего раздела Договора, возмещает Генподрядчику убытки, вызванные таким нарушением, в течение 10 (десяти) календарных дней с даты получения соответствующего письменного требования Генподрядчика.</w:t>
      </w:r>
      <w:bookmarkEnd w:id="37"/>
    </w:p>
    <w:p>
      <w:pPr>
        <w:pStyle w:val="ListParagraph"/>
        <w:numPr>
          <w:ilvl w:val="1"/>
          <w:numId w:val="3"/>
        </w:numPr>
        <w:shd w:val="clear" w:color="auto" w:fill="FFFFFF"/>
        <w:tabs>
          <w:tab w:val="clear" w:pos="709"/>
          <w:tab w:val="left" w:pos="1134" w:leader="none"/>
        </w:tabs>
        <w:ind w:left="0" w:firstLine="709"/>
        <w:jc w:val="both"/>
        <w:rPr>
          <w:bCs/>
        </w:rPr>
      </w:pPr>
      <w:r>
        <w:rPr>
          <w:bCs/>
        </w:rPr>
        <w:t>Субподрядчик обязуется обеспечить повторение условий Договора в части соблюдения режима конфиденциальности Информации в договорах, заключаемых с СубСубподрядчиками.</w:t>
      </w:r>
    </w:p>
    <w:p>
      <w:pPr>
        <w:pStyle w:val="ListParagraph"/>
        <w:numPr>
          <w:ilvl w:val="1"/>
          <w:numId w:val="3"/>
        </w:numPr>
        <w:shd w:val="clear" w:color="auto" w:fill="FFFFFF"/>
        <w:tabs>
          <w:tab w:val="clear" w:pos="709"/>
          <w:tab w:val="left" w:pos="1134" w:leader="none"/>
        </w:tabs>
        <w:ind w:left="0" w:firstLine="709"/>
        <w:jc w:val="both"/>
        <w:rPr>
          <w:bCs/>
        </w:rPr>
      </w:pPr>
      <w:r>
        <w:rPr>
          <w:bCs/>
        </w:rPr>
        <w:t xml:space="preserve">Условия защиты Информации, представляемой Субподрядчиком Генподрядчику, могут быть дополнительно урегулированы отдельно заключаемым Сторонами соглашением. </w:t>
      </w:r>
    </w:p>
    <w:p>
      <w:pPr>
        <w:pStyle w:val="ListParagraph"/>
        <w:shd w:val="clear" w:color="auto" w:fill="FFFFFF"/>
        <w:tabs>
          <w:tab w:val="clear" w:pos="709"/>
          <w:tab w:val="left" w:pos="284" w:leader="none"/>
        </w:tabs>
        <w:ind w:left="0" w:hanging="0"/>
        <w:rPr>
          <w:b/>
          <w:b/>
          <w:bCs/>
        </w:rPr>
      </w:pPr>
      <w:r>
        <w:rPr>
          <w:b/>
          <w:bCs/>
        </w:rPr>
      </w:r>
    </w:p>
    <w:p>
      <w:pPr>
        <w:pStyle w:val="ListParagraph"/>
        <w:numPr>
          <w:ilvl w:val="0"/>
          <w:numId w:val="3"/>
        </w:numPr>
        <w:shd w:val="clear" w:color="auto" w:fill="FFFFFF"/>
        <w:tabs>
          <w:tab w:val="clear" w:pos="709"/>
          <w:tab w:val="left" w:pos="426" w:leader="none"/>
        </w:tabs>
        <w:ind w:left="0" w:hanging="0"/>
        <w:jc w:val="center"/>
        <w:rPr>
          <w:bCs/>
        </w:rPr>
      </w:pPr>
      <w:r>
        <w:rPr>
          <w:b/>
          <w:bCs/>
        </w:rPr>
        <w:t>Разрешение споров</w:t>
      </w:r>
    </w:p>
    <w:p>
      <w:pPr>
        <w:pStyle w:val="ListParagraph"/>
        <w:numPr>
          <w:ilvl w:val="1"/>
          <w:numId w:val="3"/>
        </w:numPr>
        <w:shd w:val="clear" w:color="auto" w:fill="FFFFFF"/>
        <w:tabs>
          <w:tab w:val="clear" w:pos="709"/>
          <w:tab w:val="left" w:pos="1134" w:leader="none"/>
          <w:tab w:val="left" w:pos="1418" w:leader="none"/>
        </w:tabs>
        <w:ind w:left="0" w:firstLine="709"/>
        <w:jc w:val="both"/>
        <w:rPr>
          <w:bCs/>
        </w:rPr>
      </w:pPr>
      <w:bookmarkStart w:id="38" w:name="_Ref158829242"/>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bookmarkEnd w:id="38"/>
    </w:p>
    <w:p>
      <w:pPr>
        <w:pStyle w:val="ListParagraph"/>
        <w:numPr>
          <w:ilvl w:val="1"/>
          <w:numId w:val="3"/>
        </w:numPr>
        <w:shd w:val="clear" w:color="auto" w:fill="FFFFFF"/>
        <w:tabs>
          <w:tab w:val="clear" w:pos="709"/>
          <w:tab w:val="left" w:pos="1134" w:leader="none"/>
          <w:tab w:val="left" w:pos="1418" w:leader="none"/>
        </w:tabs>
        <w:ind w:left="0" w:firstLine="709"/>
        <w:jc w:val="both"/>
        <w:rPr>
          <w:bCs/>
        </w:rPr>
      </w:pPr>
      <w:r>
        <w:rPr>
          <w:bCs/>
        </w:rPr>
        <w:t xml:space="preserve">Споры, указанные в пункте </w:t>
      </w:r>
      <w:r>
        <w:rPr>
          <w:bCs/>
        </w:rPr>
        <w:fldChar w:fldCharType="begin"/>
      </w:r>
      <w:r>
        <w:rPr>
          <w:bCs/>
        </w:rPr>
        <w:instrText> REF _Ref158829242 \r \h </w:instrText>
      </w:r>
      <w:r>
        <w:rPr>
          <w:bCs/>
        </w:rPr>
        <w:fldChar w:fldCharType="separate"/>
      </w:r>
      <w:r>
        <w:rPr>
          <w:bCs/>
        </w:rPr>
        <w:t>9.1.</w:t>
      </w:r>
      <w:r>
        <w:rPr>
          <w:bCs/>
        </w:rPr>
        <w:fldChar w:fldCharType="end"/>
      </w:r>
      <w:r>
        <w:rPr>
          <w:bCs/>
        </w:rPr>
        <w:t xml:space="preserve"> Договора, которые не были урегулированы Сторонами путем переговоров, подлежат разрешению в Арбитражном суде города Санкт-Петербурга и Ленинградской области в соответствии с законодательством Российской Федерации.</w:t>
      </w:r>
    </w:p>
    <w:p>
      <w:pPr>
        <w:pStyle w:val="ListParagraph"/>
        <w:numPr>
          <w:ilvl w:val="1"/>
          <w:numId w:val="3"/>
        </w:numPr>
        <w:shd w:val="clear" w:color="auto" w:fill="FFFFFF"/>
        <w:tabs>
          <w:tab w:val="clear" w:pos="709"/>
          <w:tab w:val="left" w:pos="1134" w:leader="none"/>
          <w:tab w:val="left" w:pos="1418" w:leader="none"/>
        </w:tabs>
        <w:ind w:left="0" w:firstLine="709"/>
        <w:jc w:val="both"/>
        <w:rPr>
          <w:bCs/>
        </w:rPr>
      </w:pPr>
      <w:r>
        <w:rPr>
          <w:bCs/>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bCs/>
        </w:rPr>
        <w:fldChar w:fldCharType="begin"/>
      </w:r>
      <w:r>
        <w:rPr>
          <w:bCs/>
        </w:rPr>
        <w:instrText> REF _Ref158829290 \r \h </w:instrText>
      </w:r>
      <w:r>
        <w:rPr>
          <w:bCs/>
        </w:rPr>
        <w:fldChar w:fldCharType="separate"/>
      </w:r>
      <w:r>
        <w:rPr>
          <w:bCs/>
        </w:rPr>
        <w:t>15.6.</w:t>
      </w:r>
      <w:r>
        <w:rPr>
          <w:bCs/>
        </w:rPr>
        <w:fldChar w:fldCharType="end"/>
      </w:r>
      <w:r>
        <w:rPr>
          <w:bCs/>
        </w:rPr>
        <w:t xml:space="preserve"> Договора.</w:t>
      </w:r>
    </w:p>
    <w:p>
      <w:pPr>
        <w:pStyle w:val="ListParagraph"/>
        <w:numPr>
          <w:ilvl w:val="1"/>
          <w:numId w:val="3"/>
        </w:numPr>
        <w:shd w:val="clear" w:color="auto" w:fill="FFFFFF"/>
        <w:tabs>
          <w:tab w:val="clear" w:pos="709"/>
          <w:tab w:val="left" w:pos="1134" w:leader="none"/>
          <w:tab w:val="left" w:pos="1418" w:leader="none"/>
        </w:tabs>
        <w:ind w:left="0" w:firstLine="709"/>
        <w:jc w:val="both"/>
        <w:rPr>
          <w:bCs/>
        </w:rPr>
      </w:pPr>
      <w:r>
        <w:rPr>
          <w:bCs/>
        </w:rPr>
        <w:t>Срок для рассмотрения претензии – 20 (двадцать)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3"/>
        </w:numPr>
        <w:shd w:val="clear" w:color="auto" w:fill="FFFFFF"/>
        <w:tabs>
          <w:tab w:val="clear" w:pos="709"/>
          <w:tab w:val="left" w:pos="1134" w:leader="none"/>
          <w:tab w:val="left" w:pos="1418"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Normal"/>
        <w:shd w:val="clear" w:color="auto" w:fill="FFFFFF"/>
        <w:tabs>
          <w:tab w:val="clear" w:pos="709"/>
          <w:tab w:val="left" w:pos="1134" w:leader="none"/>
          <w:tab w:val="left" w:pos="1418" w:leader="none"/>
        </w:tabs>
        <w:spacing w:lineRule="auto" w:line="240"/>
        <w:rPr>
          <w:bCs/>
        </w:rPr>
      </w:pPr>
      <w:r>
        <w:rPr>
          <w:bCs/>
        </w:rPr>
      </w:r>
    </w:p>
    <w:p>
      <w:pPr>
        <w:pStyle w:val="ListParagraph"/>
        <w:numPr>
          <w:ilvl w:val="0"/>
          <w:numId w:val="3"/>
        </w:numPr>
        <w:shd w:val="clear" w:color="auto" w:fill="FFFFFF"/>
        <w:tabs>
          <w:tab w:val="clear" w:pos="709"/>
          <w:tab w:val="left" w:pos="426" w:leader="none"/>
        </w:tabs>
        <w:ind w:left="0" w:hanging="0"/>
        <w:jc w:val="center"/>
        <w:rPr>
          <w:b/>
          <w:b/>
          <w:bCs/>
        </w:rPr>
      </w:pPr>
      <w:r>
        <w:rPr>
          <w:b/>
          <w:bCs/>
        </w:rPr>
        <w:t>Антикоррупционная оговорка</w:t>
      </w:r>
    </w:p>
    <w:p>
      <w:pPr>
        <w:pStyle w:val="ListParagraph"/>
        <w:numPr>
          <w:ilvl w:val="1"/>
          <w:numId w:val="3"/>
        </w:numPr>
        <w:shd w:val="clear" w:color="auto" w:fill="FFFFFF"/>
        <w:tabs>
          <w:tab w:val="clear" w:pos="709"/>
          <w:tab w:val="left" w:pos="1134" w:leader="none"/>
          <w:tab w:val="left" w:pos="1418" w:leader="none"/>
        </w:tabs>
        <w:ind w:left="0" w:firstLine="709"/>
        <w:jc w:val="both"/>
        <w:rPr>
          <w:bCs/>
        </w:rPr>
      </w:pPr>
      <w:r>
        <w:rPr>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numPr>
          <w:ilvl w:val="1"/>
          <w:numId w:val="3"/>
        </w:numPr>
        <w:shd w:val="clear" w:color="auto" w:fill="FFFFFF"/>
        <w:tabs>
          <w:tab w:val="clear" w:pos="709"/>
          <w:tab w:val="left" w:pos="1134" w:leader="none"/>
          <w:tab w:val="left" w:pos="1418" w:leader="none"/>
        </w:tabs>
        <w:ind w:left="0" w:firstLine="709"/>
        <w:jc w:val="both"/>
        <w:rPr>
          <w:bCs/>
          <w:szCs w:val="24"/>
        </w:rPr>
      </w:pPr>
      <w:r>
        <w:rPr>
          <w:bCs/>
          <w:szCs w:val="24"/>
        </w:rPr>
        <w:t xml:space="preserve"> </w:t>
      </w:r>
      <w:r>
        <w:rPr>
          <w:bCs/>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numPr>
          <w:ilvl w:val="1"/>
          <w:numId w:val="3"/>
        </w:numPr>
        <w:shd w:val="clear" w:color="auto" w:fill="FFFFFF"/>
        <w:tabs>
          <w:tab w:val="clear" w:pos="709"/>
          <w:tab w:val="left" w:pos="1134" w:leader="none"/>
          <w:tab w:val="left" w:pos="1418" w:leader="none"/>
        </w:tabs>
        <w:ind w:left="0" w:firstLine="709"/>
        <w:jc w:val="both"/>
        <w:rPr>
          <w:bCs/>
          <w:szCs w:val="24"/>
        </w:rPr>
      </w:pPr>
      <w:r>
        <w:rPr>
          <w:bCs/>
          <w:szCs w:val="24"/>
        </w:rPr>
        <w:t xml:space="preserve"> </w:t>
      </w:r>
      <w:r>
        <w:rPr>
          <w:bCs/>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numPr>
          <w:ilvl w:val="1"/>
          <w:numId w:val="3"/>
        </w:numPr>
        <w:shd w:val="clear" w:color="auto" w:fill="FFFFFF"/>
        <w:tabs>
          <w:tab w:val="clear" w:pos="709"/>
          <w:tab w:val="left" w:pos="1134" w:leader="none"/>
          <w:tab w:val="left" w:pos="1418" w:leader="none"/>
        </w:tabs>
        <w:ind w:left="0" w:firstLine="709"/>
        <w:jc w:val="both"/>
        <w:rPr>
          <w:bCs/>
          <w:szCs w:val="24"/>
        </w:rPr>
      </w:pPr>
      <w:r>
        <w:rPr>
          <w:bCs/>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numPr>
          <w:ilvl w:val="1"/>
          <w:numId w:val="3"/>
        </w:numPr>
        <w:shd w:val="clear" w:color="auto" w:fill="FFFFFF"/>
        <w:tabs>
          <w:tab w:val="clear" w:pos="709"/>
          <w:tab w:val="left" w:pos="1134" w:leader="none"/>
          <w:tab w:val="left" w:pos="1418" w:leader="none"/>
        </w:tabs>
        <w:ind w:left="0" w:firstLine="709"/>
        <w:jc w:val="both"/>
        <w:rPr>
          <w:bCs/>
          <w:szCs w:val="24"/>
        </w:rPr>
      </w:pPr>
      <w:r>
        <w:rPr>
          <w:bCs/>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numPr>
          <w:ilvl w:val="1"/>
          <w:numId w:val="3"/>
        </w:numPr>
        <w:shd w:val="clear" w:color="auto" w:fill="FFFFFF"/>
        <w:tabs>
          <w:tab w:val="clear" w:pos="709"/>
          <w:tab w:val="left" w:pos="1134" w:leader="none"/>
          <w:tab w:val="left" w:pos="1418" w:leader="none"/>
        </w:tabs>
        <w:ind w:left="0" w:firstLine="709"/>
        <w:jc w:val="both"/>
        <w:rPr>
          <w:bCs/>
          <w:szCs w:val="24"/>
        </w:rPr>
      </w:pPr>
      <w:r>
        <w:rPr>
          <w:bCs/>
          <w:szCs w:val="24"/>
        </w:rPr>
        <w:t xml:space="preserve"> </w:t>
      </w:r>
      <w:r>
        <w:rPr>
          <w:bCs/>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numPr>
          <w:ilvl w:val="1"/>
          <w:numId w:val="3"/>
        </w:numPr>
        <w:shd w:val="clear" w:color="auto" w:fill="FFFFFF"/>
        <w:tabs>
          <w:tab w:val="clear" w:pos="709"/>
          <w:tab w:val="left" w:pos="1134" w:leader="none"/>
          <w:tab w:val="left" w:pos="1418" w:leader="none"/>
        </w:tabs>
        <w:ind w:left="0" w:firstLine="709"/>
        <w:jc w:val="both"/>
        <w:rPr>
          <w:szCs w:val="24"/>
        </w:rPr>
      </w:pPr>
      <w:r>
        <w:rPr>
          <w:szCs w:val="24"/>
        </w:rPr>
        <w:t xml:space="preserve">Каналы связи Линия доверия Группы РусГидро: </w:t>
      </w:r>
    </w:p>
    <w:p>
      <w:pPr>
        <w:pStyle w:val="Normal"/>
        <w:widowControl w:val="false"/>
        <w:shd w:val="clear" w:color="auto" w:fill="FFFFFF"/>
        <w:tabs>
          <w:tab w:val="clear" w:pos="709"/>
          <w:tab w:val="left" w:pos="567" w:leader="none"/>
          <w:tab w:val="left" w:pos="1134" w:leader="none"/>
        </w:tabs>
        <w:spacing w:lineRule="auto" w:line="240"/>
        <w:ind w:firstLine="709"/>
        <w:rPr>
          <w:sz w:val="24"/>
          <w:szCs w:val="24"/>
        </w:rPr>
      </w:pPr>
      <w:r>
        <w:rPr>
          <w:sz w:val="24"/>
          <w:szCs w:val="24"/>
        </w:rPr>
        <w:t>10.7.1. Электронная почта: ld@rushydro.ru.</w:t>
      </w:r>
    </w:p>
    <w:p>
      <w:pPr>
        <w:pStyle w:val="Normal"/>
        <w:widowControl w:val="false"/>
        <w:shd w:val="clear" w:color="auto" w:fill="FFFFFF"/>
        <w:tabs>
          <w:tab w:val="clear" w:pos="709"/>
          <w:tab w:val="left" w:pos="567" w:leader="none"/>
          <w:tab w:val="left" w:pos="1134" w:leader="none"/>
        </w:tabs>
        <w:spacing w:lineRule="auto" w:line="240"/>
        <w:ind w:firstLine="709"/>
        <w:rPr>
          <w:sz w:val="24"/>
          <w:szCs w:val="24"/>
        </w:rPr>
      </w:pPr>
      <w:r>
        <w:rPr>
          <w:sz w:val="24"/>
          <w:szCs w:val="24"/>
        </w:rPr>
        <w:t>10.7.2. Специальная форма «обратной связи», размещенная на официальном сайте ПАО «РусГидро» в сети интернет: http://www.rushydro.ru/ (далее перейти по ссылке «Линия доверия» и заполнить поля специальной формы «обратной связи»);</w:t>
      </w:r>
    </w:p>
    <w:p>
      <w:pPr>
        <w:pStyle w:val="Normal"/>
        <w:spacing w:lineRule="auto" w:line="240"/>
        <w:ind w:firstLine="709"/>
        <w:rPr>
          <w:sz w:val="24"/>
          <w:szCs w:val="24"/>
        </w:rPr>
      </w:pPr>
      <w:r>
        <w:rPr>
          <w:sz w:val="24"/>
          <w:szCs w:val="24"/>
        </w:rPr>
        <w:t>10.7.3.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left" w:pos="709" w:leader="none"/>
        </w:tabs>
        <w:spacing w:lineRule="auto" w:line="240"/>
        <w:ind w:hanging="0"/>
        <w:rPr>
          <w:b/>
          <w:b/>
          <w:sz w:val="24"/>
          <w:szCs w:val="24"/>
        </w:rPr>
      </w:pPr>
      <w:r>
        <w:rPr>
          <w:b/>
          <w:sz w:val="24"/>
          <w:szCs w:val="24"/>
        </w:rPr>
      </w:r>
    </w:p>
    <w:p>
      <w:pPr>
        <w:pStyle w:val="Normal"/>
        <w:tabs>
          <w:tab w:val="left" w:pos="709" w:leader="none"/>
        </w:tabs>
        <w:spacing w:lineRule="auto" w:line="240"/>
        <w:ind w:hanging="0"/>
        <w:rPr>
          <w:b/>
          <w:b/>
          <w:sz w:val="24"/>
          <w:szCs w:val="24"/>
        </w:rPr>
      </w:pPr>
      <w:r>
        <w:rPr>
          <w:b/>
          <w:sz w:val="24"/>
          <w:szCs w:val="24"/>
        </w:rPr>
      </w:r>
    </w:p>
    <w:p>
      <w:pPr>
        <w:pStyle w:val="Normal"/>
        <w:tabs>
          <w:tab w:val="left" w:pos="709" w:leader="none"/>
        </w:tabs>
        <w:spacing w:lineRule="auto" w:line="240"/>
        <w:ind w:hanging="0"/>
        <w:rPr>
          <w:b/>
          <w:b/>
          <w:sz w:val="24"/>
          <w:szCs w:val="24"/>
        </w:rPr>
      </w:pPr>
      <w:r>
        <w:rPr>
          <w:b/>
          <w:sz w:val="24"/>
          <w:szCs w:val="24"/>
        </w:rPr>
      </w:r>
    </w:p>
    <w:p>
      <w:pPr>
        <w:pStyle w:val="Normal"/>
        <w:tabs>
          <w:tab w:val="left" w:pos="709" w:leader="none"/>
        </w:tabs>
        <w:spacing w:lineRule="auto" w:line="240"/>
        <w:ind w:hanging="0"/>
        <w:rPr>
          <w:b/>
          <w:b/>
          <w:sz w:val="24"/>
          <w:szCs w:val="24"/>
        </w:rPr>
      </w:pPr>
      <w:r>
        <w:rPr>
          <w:b/>
          <w:sz w:val="24"/>
          <w:szCs w:val="24"/>
        </w:rPr>
      </w:r>
    </w:p>
    <w:p>
      <w:pPr>
        <w:pStyle w:val="ListParagraph"/>
        <w:numPr>
          <w:ilvl w:val="0"/>
          <w:numId w:val="3"/>
        </w:numPr>
        <w:shd w:val="clear" w:color="auto" w:fill="FFFFFF"/>
        <w:tabs>
          <w:tab w:val="clear" w:pos="709"/>
          <w:tab w:val="left" w:pos="426" w:leader="none"/>
        </w:tabs>
        <w:ind w:left="0" w:hanging="0"/>
        <w:jc w:val="center"/>
        <w:rPr>
          <w:b/>
          <w:b/>
          <w:bCs/>
        </w:rPr>
      </w:pPr>
      <w:r>
        <w:rPr>
          <w:b/>
          <w:bCs/>
        </w:rPr>
        <w:t>Обстоятельства непреодолимой силы (форс-мажор)</w:t>
      </w:r>
    </w:p>
    <w:p>
      <w:pPr>
        <w:pStyle w:val="ListParagraph"/>
        <w:numPr>
          <w:ilvl w:val="1"/>
          <w:numId w:val="3"/>
        </w:numPr>
        <w:shd w:val="clear" w:color="auto" w:fill="FFFFFF"/>
        <w:tabs>
          <w:tab w:val="clear" w:pos="709"/>
          <w:tab w:val="left" w:pos="1134" w:leader="none"/>
        </w:tabs>
        <w:ind w:left="0" w:firstLine="709"/>
        <w:jc w:val="both"/>
        <w:rPr>
          <w:bCs/>
        </w:rPr>
      </w:pPr>
      <w:bookmarkStart w:id="39" w:name="_Ref158824754"/>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и других, не зависящих от воли Сторон обстоятельств, повлекших за собой невозможность выполнения Сторонами своих обязательств по Договору.</w:t>
      </w:r>
      <w:bookmarkEnd w:id="39"/>
    </w:p>
    <w:p>
      <w:pPr>
        <w:pStyle w:val="ListParagraph"/>
        <w:numPr>
          <w:ilvl w:val="1"/>
          <w:numId w:val="3"/>
        </w:numPr>
        <w:shd w:val="clear" w:color="auto" w:fill="FFFFFF"/>
        <w:tabs>
          <w:tab w:val="clear" w:pos="709"/>
          <w:tab w:val="left" w:pos="1134" w:leader="none"/>
        </w:tabs>
        <w:ind w:left="0" w:firstLine="709"/>
        <w:jc w:val="both"/>
        <w:rPr>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3"/>
        </w:numPr>
        <w:shd w:val="clear" w:color="auto" w:fill="FFFFFF"/>
        <w:tabs>
          <w:tab w:val="clear" w:pos="709"/>
          <w:tab w:val="left" w:pos="1134" w:leader="none"/>
        </w:tabs>
        <w:ind w:left="0" w:firstLine="709"/>
        <w:jc w:val="both"/>
        <w:rPr>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3"/>
        </w:numPr>
        <w:shd w:val="clear" w:color="auto" w:fill="FFFFFF"/>
        <w:tabs>
          <w:tab w:val="clear" w:pos="709"/>
          <w:tab w:val="left" w:pos="1134" w:leader="none"/>
        </w:tabs>
        <w:ind w:left="0" w:firstLine="709"/>
        <w:jc w:val="both"/>
        <w:rPr>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3"/>
        </w:numPr>
        <w:shd w:val="clear" w:color="auto" w:fill="FFFFFF"/>
        <w:tabs>
          <w:tab w:val="clear" w:pos="709"/>
          <w:tab w:val="left" w:pos="1134" w:leader="none"/>
        </w:tabs>
        <w:ind w:left="0" w:firstLine="709"/>
        <w:jc w:val="both"/>
        <w:rPr>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3"/>
        </w:numPr>
        <w:shd w:val="clear" w:color="auto" w:fill="FFFFFF"/>
        <w:tabs>
          <w:tab w:val="clear" w:pos="709"/>
          <w:tab w:val="left" w:pos="568" w:leader="none"/>
        </w:tabs>
        <w:ind w:left="0" w:firstLine="709"/>
        <w:jc w:val="both"/>
        <w:rPr>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Normal"/>
        <w:spacing w:lineRule="auto" w:line="240"/>
        <w:ind w:hanging="0"/>
        <w:rPr>
          <w:sz w:val="24"/>
          <w:szCs w:val="24"/>
        </w:rPr>
      </w:pPr>
      <w:r>
        <w:rPr>
          <w:sz w:val="24"/>
          <w:szCs w:val="24"/>
        </w:rPr>
      </w:r>
    </w:p>
    <w:p>
      <w:pPr>
        <w:pStyle w:val="ListParagraph"/>
        <w:numPr>
          <w:ilvl w:val="0"/>
          <w:numId w:val="3"/>
        </w:numPr>
        <w:shd w:val="clear" w:color="auto" w:fill="FFFFFF"/>
        <w:tabs>
          <w:tab w:val="clear" w:pos="709"/>
          <w:tab w:val="left" w:pos="426" w:leader="none"/>
        </w:tabs>
        <w:ind w:left="0" w:hanging="0"/>
        <w:jc w:val="center"/>
        <w:rPr>
          <w:b/>
          <w:b/>
          <w:bCs/>
        </w:rPr>
      </w:pPr>
      <w:r>
        <w:rPr>
          <w:b/>
          <w:bCs/>
        </w:rPr>
        <w:t>Особые положения</w:t>
      </w:r>
    </w:p>
    <w:p>
      <w:pPr>
        <w:pStyle w:val="ListParagraph"/>
        <w:numPr>
          <w:ilvl w:val="1"/>
          <w:numId w:val="3"/>
        </w:numPr>
        <w:shd w:val="clear" w:color="auto" w:fill="FFFFFF"/>
        <w:tabs>
          <w:tab w:val="clear" w:pos="709"/>
          <w:tab w:val="left" w:pos="1134" w:leader="none"/>
        </w:tabs>
        <w:ind w:left="0" w:firstLine="709"/>
        <w:jc w:val="both"/>
        <w:rPr>
          <w:bCs/>
        </w:rPr>
      </w:pPr>
      <w:bookmarkStart w:id="40" w:name="_Ref361337900"/>
      <w:bookmarkStart w:id="41" w:name="_Ref158829350"/>
      <w:r>
        <w:rPr>
          <w:bCs/>
        </w:rPr>
        <w:t>Субподрядчик обязуется не привлекать и не допускать привлечения к исполнению обязательств по Договору организации:</w:t>
      </w:r>
      <w:bookmarkEnd w:id="41"/>
    </w:p>
    <w:p>
      <w:pPr>
        <w:pStyle w:val="ListParagraph"/>
        <w:numPr>
          <w:ilvl w:val="1"/>
          <w:numId w:val="11"/>
        </w:numPr>
        <w:shd w:val="clear" w:color="auto" w:fill="FFFFFF"/>
        <w:tabs>
          <w:tab w:val="clear" w:pos="709"/>
          <w:tab w:val="left" w:pos="1134" w:leader="none"/>
        </w:tabs>
        <w:ind w:left="0" w:firstLine="709"/>
        <w:jc w:val="both"/>
        <w:rPr>
          <w:bCs/>
        </w:rPr>
      </w:pPr>
      <w:r>
        <w:rPr>
          <w:bCs/>
        </w:rPr>
        <w:t xml:space="preserve"> </w:t>
      </w: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tgtFrame="consultantplus://offline/ref=94D5CE8889791A29DE57299515463A9D6134D8237B999C803E6F853513x2A2P">
        <w:r>
          <w:rPr>
            <w:bCs/>
          </w:rPr>
          <w:t>№ 18162/09</w:t>
        </w:r>
      </w:hyperlink>
      <w:r>
        <w:rPr>
          <w:bCs/>
        </w:rPr>
        <w:t xml:space="preserve"> и от 25.05.2010 </w:t>
      </w:r>
      <w:hyperlink r:id="rId3" w:tgtFrame="consultantplus://offline/ref=94D5CE8889791A29DE57299515463A9D6135D2287D929C803E6F853513x2A2P">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1"/>
        </w:numPr>
        <w:shd w:val="clear" w:color="auto" w:fill="FFFFFF"/>
        <w:tabs>
          <w:tab w:val="clear" w:pos="709"/>
          <w:tab w:val="left" w:pos="1134" w:leader="none"/>
        </w:tabs>
        <w:ind w:left="0" w:firstLine="709"/>
        <w:jc w:val="both"/>
        <w:rPr>
          <w:bCs/>
        </w:rPr>
      </w:pPr>
      <w:r>
        <w:rPr>
          <w:bCs/>
        </w:rPr>
        <w:t xml:space="preserve">соответствующие </w:t>
      </w:r>
      <w:hyperlink r:id="rId4" w:tgtFrame="consultantplus://offline/ref=79440D5123ABA6A25F43346AB59DBAAC7032C8E1556DA64FAED62E167F76889C2B7C475C32EFC59BJ8rDH">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bookmarkEnd w:id="40"/>
    </w:p>
    <w:p>
      <w:pPr>
        <w:pStyle w:val="ListParagraph"/>
        <w:numPr>
          <w:ilvl w:val="1"/>
          <w:numId w:val="3"/>
        </w:numPr>
        <w:shd w:val="clear" w:color="auto" w:fill="FFFFFF"/>
        <w:tabs>
          <w:tab w:val="clear" w:pos="709"/>
          <w:tab w:val="left" w:pos="1134" w:leader="none"/>
        </w:tabs>
        <w:ind w:left="0" w:firstLine="709"/>
        <w:jc w:val="both"/>
        <w:rPr>
          <w:bCs/>
        </w:rPr>
      </w:pPr>
      <w:bookmarkStart w:id="42" w:name="_Ref361337921"/>
      <w:r>
        <w:rPr>
          <w:bCs/>
        </w:rPr>
        <w:t xml:space="preserve">Субподрядчик обязуется незамедлительно уведомить Генподрядчика о появлении в ходе исполнения Договора у привлеченных Субподрядчиком СубСубподрядчиков признаков недобросовестности, указанных в пункте </w:t>
      </w:r>
      <w:r>
        <w:rPr>
          <w:bCs/>
        </w:rPr>
        <w:fldChar w:fldCharType="begin"/>
      </w:r>
      <w:r>
        <w:rPr>
          <w:bCs/>
        </w:rPr>
        <w:instrText> REF _Ref158829350 \r \h </w:instrText>
      </w:r>
      <w:r>
        <w:rPr>
          <w:bCs/>
        </w:rPr>
        <w:fldChar w:fldCharType="separate"/>
      </w:r>
      <w:r>
        <w:rPr>
          <w:bCs/>
        </w:rPr>
        <w:t>12.1.</w:t>
      </w:r>
      <w:r>
        <w:rPr>
          <w:bCs/>
        </w:rPr>
        <w:fldChar w:fldCharType="end"/>
      </w:r>
      <w:r>
        <w:rPr>
          <w:bCs/>
        </w:rPr>
        <w:t xml:space="preserve"> Договора, а также обеспечить прекращение участия таких организаций в исполнении Договора.</w:t>
      </w:r>
      <w:bookmarkEnd w:id="42"/>
    </w:p>
    <w:p>
      <w:pPr>
        <w:pStyle w:val="ListParagraph"/>
        <w:numPr>
          <w:ilvl w:val="1"/>
          <w:numId w:val="3"/>
        </w:numPr>
        <w:shd w:val="clear" w:color="auto" w:fill="FFFFFF"/>
        <w:tabs>
          <w:tab w:val="clear" w:pos="709"/>
          <w:tab w:val="left" w:pos="1134" w:leader="none"/>
        </w:tabs>
        <w:ind w:left="0" w:firstLine="709"/>
        <w:jc w:val="both"/>
        <w:rPr>
          <w:bCs/>
        </w:rPr>
      </w:pPr>
      <w:bookmarkStart w:id="43" w:name="_Ref361337948"/>
      <w:r>
        <w:rPr>
          <w:bCs/>
        </w:rPr>
        <w:t xml:space="preserve">В случае нарушения Субподрядчиком обязательств, установленных пунктами </w:t>
      </w:r>
      <w:r>
        <w:rPr>
          <w:bCs/>
        </w:rPr>
        <w:fldChar w:fldCharType="begin"/>
      </w:r>
      <w:r>
        <w:rPr>
          <w:bCs/>
        </w:rPr>
        <w:instrText> REF _Ref158829350 \r \h </w:instrText>
      </w:r>
      <w:r>
        <w:rPr>
          <w:bCs/>
        </w:rPr>
        <w:fldChar w:fldCharType="separate"/>
      </w:r>
      <w:r>
        <w:rPr>
          <w:bCs/>
        </w:rPr>
        <w:t>12.1.</w:t>
      </w:r>
      <w:r>
        <w:rPr>
          <w:bCs/>
        </w:rPr>
        <w:fldChar w:fldCharType="end"/>
      </w:r>
      <w:r>
        <w:rPr>
          <w:bCs/>
        </w:rPr>
        <w:t xml:space="preserve">, </w:t>
      </w:r>
      <w:r>
        <w:rPr>
          <w:bCs/>
        </w:rPr>
        <w:fldChar w:fldCharType="begin"/>
      </w:r>
      <w:r>
        <w:rPr>
          <w:bCs/>
        </w:rPr>
        <w:instrText> REF _Ref361337921 \r \h </w:instrText>
      </w:r>
      <w:r>
        <w:rPr>
          <w:bCs/>
        </w:rPr>
        <w:fldChar w:fldCharType="separate"/>
      </w:r>
      <w:r>
        <w:rPr>
          <w:bCs/>
        </w:rPr>
        <w:t>12.2.</w:t>
      </w:r>
      <w:r>
        <w:rPr>
          <w:bCs/>
        </w:rPr>
        <w:fldChar w:fldCharType="end"/>
      </w:r>
      <w:r>
        <w:rPr>
          <w:bCs/>
        </w:rPr>
        <w:t xml:space="preserve"> Договора, Генподрядчик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Субподрядчиком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Генподрядчик не отзовет указанное уведомление по итогам рассмотрения мотивированных письменных возражений Субподрядчика, представленных до наступления указанной Генподрядчиком даты расторжения.</w:t>
      </w:r>
      <w:bookmarkEnd w:id="43"/>
    </w:p>
    <w:p>
      <w:pPr>
        <w:pStyle w:val="ListParagraph"/>
        <w:numPr>
          <w:ilvl w:val="1"/>
          <w:numId w:val="3"/>
        </w:numPr>
        <w:shd w:val="clear" w:color="auto" w:fill="FFFFFF"/>
        <w:tabs>
          <w:tab w:val="clear" w:pos="709"/>
          <w:tab w:val="left" w:pos="1134" w:leader="none"/>
        </w:tabs>
        <w:ind w:left="0" w:firstLine="709"/>
        <w:jc w:val="both"/>
        <w:rPr>
          <w:bCs/>
        </w:rPr>
      </w:pPr>
      <w:bookmarkStart w:id="44" w:name="_Ref361337980"/>
      <w:r>
        <w:rPr>
          <w:bCs/>
        </w:rPr>
        <w:t xml:space="preserve">Субподрядчик обязан уплатить Генподрядчику штраф в размере суммы денежных средств, перечисленных организации, отвечающей признакам недобросовестности, а также дополнительно компенсировать Генподрядчику убытки, причиненные в результате нарушения обязательств, установленных пунктами </w:t>
      </w:r>
      <w:r>
        <w:rPr>
          <w:bCs/>
        </w:rPr>
        <w:fldChar w:fldCharType="begin"/>
      </w:r>
      <w:r>
        <w:rPr>
          <w:bCs/>
        </w:rPr>
        <w:instrText> REF _Ref158829350 \r \h </w:instrText>
      </w:r>
      <w:r>
        <w:rPr>
          <w:bCs/>
        </w:rPr>
        <w:fldChar w:fldCharType="separate"/>
      </w:r>
      <w:r>
        <w:rPr>
          <w:bCs/>
        </w:rPr>
        <w:t>12.1.</w:t>
      </w:r>
      <w:r>
        <w:rPr>
          <w:bCs/>
        </w:rPr>
        <w:fldChar w:fldCharType="end"/>
      </w:r>
      <w:r>
        <w:rPr>
          <w:bCs/>
        </w:rPr>
        <w:t xml:space="preserve">, </w:t>
      </w:r>
      <w:r>
        <w:rPr>
          <w:bCs/>
        </w:rPr>
        <w:fldChar w:fldCharType="begin"/>
      </w:r>
      <w:r>
        <w:rPr>
          <w:bCs/>
        </w:rPr>
        <w:instrText> REF _Ref361337921 \r \h </w:instrText>
      </w:r>
      <w:r>
        <w:rPr>
          <w:bCs/>
        </w:rPr>
        <w:fldChar w:fldCharType="separate"/>
      </w:r>
      <w:r>
        <w:rPr>
          <w:bCs/>
        </w:rPr>
        <w:t>12.2.</w:t>
      </w:r>
      <w:r>
        <w:rPr>
          <w:bCs/>
        </w:rPr>
        <w:fldChar w:fldCharType="end"/>
      </w:r>
      <w:r>
        <w:rPr>
          <w:bCs/>
        </w:rPr>
        <w:t xml:space="preserve"> Договора.</w:t>
      </w:r>
      <w:bookmarkEnd w:id="44"/>
    </w:p>
    <w:p>
      <w:pPr>
        <w:pStyle w:val="ListParagraph"/>
        <w:numPr>
          <w:ilvl w:val="1"/>
          <w:numId w:val="3"/>
        </w:numPr>
        <w:shd w:val="clear" w:color="auto" w:fill="FFFFFF"/>
        <w:tabs>
          <w:tab w:val="clear" w:pos="709"/>
          <w:tab w:val="left" w:pos="1134" w:leader="none"/>
        </w:tabs>
        <w:ind w:left="0" w:firstLine="709"/>
        <w:jc w:val="both"/>
        <w:rPr>
          <w:bCs/>
        </w:rPr>
      </w:pPr>
      <w:bookmarkStart w:id="45" w:name="_Ref373243071"/>
      <w:r>
        <w:rPr>
          <w:bCs/>
        </w:rPr>
        <w:t xml:space="preserve">Штраф, предусмотренный пунктом </w:t>
      </w:r>
      <w:r>
        <w:rPr>
          <w:bCs/>
        </w:rPr>
        <w:fldChar w:fldCharType="begin"/>
      </w:r>
      <w:r>
        <w:rPr>
          <w:bCs/>
        </w:rPr>
        <w:instrText> REF _Ref361337980 \r \h </w:instrText>
      </w:r>
      <w:r>
        <w:rPr>
          <w:bCs/>
        </w:rPr>
        <w:fldChar w:fldCharType="separate"/>
      </w:r>
      <w:r>
        <w:rPr>
          <w:bCs/>
        </w:rPr>
        <w:t>12.4.</w:t>
      </w:r>
      <w:r>
        <w:rPr>
          <w:bCs/>
        </w:rPr>
        <w:fldChar w:fldCharType="end"/>
      </w:r>
      <w:r>
        <w:rPr>
          <w:bCs/>
        </w:rPr>
        <w:t xml:space="preserve"> Договора, оплачивается Субподрядчиком в течение 10 (десяти) рабочих дней с даты получения соответствующего письменного требования Генподрядчика. Генподрядчик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w:t>
      </w:r>
      <w:r>
        <w:rPr>
          <w:bCs/>
        </w:rPr>
        <w:fldChar w:fldCharType="begin"/>
      </w:r>
      <w:r>
        <w:rPr>
          <w:bCs/>
        </w:rPr>
        <w:instrText> REF _Ref361337948 \r \h </w:instrText>
      </w:r>
      <w:r>
        <w:rPr>
          <w:bCs/>
        </w:rPr>
        <w:fldChar w:fldCharType="separate"/>
      </w:r>
      <w:r>
        <w:rPr>
          <w:bCs/>
        </w:rPr>
        <w:t>12.3.</w:t>
      </w:r>
      <w:r>
        <w:rPr>
          <w:bCs/>
        </w:rPr>
        <w:fldChar w:fldCharType="end"/>
      </w:r>
      <w:r>
        <w:rPr>
          <w:bCs/>
        </w:rPr>
        <w:t xml:space="preserve"> Договора.</w:t>
      </w:r>
      <w:bookmarkEnd w:id="45"/>
    </w:p>
    <w:p>
      <w:pPr>
        <w:pStyle w:val="ListParagraph"/>
        <w:numPr>
          <w:ilvl w:val="1"/>
          <w:numId w:val="3"/>
        </w:numPr>
        <w:shd w:val="clear" w:color="auto" w:fill="FFFFFF"/>
        <w:tabs>
          <w:tab w:val="clear" w:pos="709"/>
          <w:tab w:val="left" w:pos="1134" w:leader="none"/>
        </w:tabs>
        <w:ind w:left="0" w:firstLine="709"/>
        <w:jc w:val="both"/>
        <w:rPr>
          <w:bCs/>
        </w:rPr>
      </w:pPr>
      <w:bookmarkStart w:id="46" w:name="_Ref361337992"/>
      <w:r>
        <w:rPr>
          <w:bCs/>
        </w:rPr>
        <w:t xml:space="preserve">Генподрядчик вправе приостановить осуществление любых платежей по Договору, причитающихся Субподрядчику, независимо от наличия оснований и наступления сроков таких платежей, до уплаты Субподрядчиком штрафа, предусмотренного пунктом </w:t>
      </w:r>
      <w:r>
        <w:rPr>
          <w:bCs/>
        </w:rPr>
        <w:fldChar w:fldCharType="begin"/>
      </w:r>
      <w:r>
        <w:rPr>
          <w:bCs/>
        </w:rPr>
        <w:instrText> REF _Ref361337980 \r \h </w:instrText>
      </w:r>
      <w:r>
        <w:rPr>
          <w:bCs/>
        </w:rPr>
        <w:fldChar w:fldCharType="separate"/>
      </w:r>
      <w:r>
        <w:rPr>
          <w:bCs/>
        </w:rPr>
        <w:t>12.4.</w:t>
      </w:r>
      <w:r>
        <w:rPr>
          <w:bCs/>
        </w:rPr>
        <w:fldChar w:fldCharType="end"/>
      </w:r>
      <w:r>
        <w:rPr>
          <w:bCs/>
        </w:rPr>
        <w:t xml:space="preserve"> Договора. При этом Генподрядчик не будет считаться просрочившим и / или нарушившим свои обязательства по Договору.</w:t>
      </w:r>
      <w:bookmarkEnd w:id="46"/>
    </w:p>
    <w:p>
      <w:pPr>
        <w:pStyle w:val="ListParagraph"/>
        <w:numPr>
          <w:ilvl w:val="1"/>
          <w:numId w:val="3"/>
        </w:numPr>
        <w:shd w:val="clear" w:color="auto" w:fill="FFFFFF"/>
        <w:tabs>
          <w:tab w:val="clear" w:pos="709"/>
          <w:tab w:val="left" w:pos="1134" w:leader="none"/>
        </w:tabs>
        <w:ind w:left="0" w:firstLine="709"/>
        <w:jc w:val="both"/>
        <w:rPr>
          <w:bCs/>
        </w:rPr>
      </w:pPr>
      <w:r>
        <w:rPr>
          <w:bCs/>
        </w:rPr>
        <w:t xml:space="preserve">Независимо от других положений Договора, положения пунктов 13.4, </w:t>
      </w:r>
      <w:r>
        <w:rPr>
          <w:bCs/>
        </w:rPr>
        <w:fldChar w:fldCharType="begin"/>
      </w:r>
      <w:r>
        <w:rPr>
          <w:bCs/>
        </w:rPr>
        <w:instrText> REF _Ref373243071 \r \h </w:instrText>
      </w:r>
      <w:r>
        <w:rPr>
          <w:bCs/>
        </w:rPr>
        <w:fldChar w:fldCharType="separate"/>
      </w:r>
      <w:r>
        <w:rPr>
          <w:bCs/>
        </w:rPr>
        <w:t>12.5.</w:t>
      </w:r>
      <w:r>
        <w:rPr>
          <w:bCs/>
        </w:rPr>
        <w:fldChar w:fldCharType="end"/>
      </w:r>
      <w:r>
        <w:rPr>
          <w:bCs/>
        </w:rPr>
        <w:t xml:space="preserve"> Договора продолжают действовать в течение 4 (четырех) лет после его прекращения (расторжения) или исполнения.</w:t>
      </w:r>
    </w:p>
    <w:p>
      <w:pPr>
        <w:pStyle w:val="Normal"/>
        <w:shd w:val="clear" w:color="auto" w:fill="FFFFFF"/>
        <w:tabs>
          <w:tab w:val="clear" w:pos="709"/>
          <w:tab w:val="left" w:pos="1134" w:leader="none"/>
        </w:tabs>
        <w:ind w:left="142" w:hanging="0"/>
        <w:rPr>
          <w:bCs/>
        </w:rPr>
      </w:pPr>
      <w:r>
        <w:rPr>
          <w:bCs/>
        </w:rPr>
      </w:r>
    </w:p>
    <w:p>
      <w:pPr>
        <w:pStyle w:val="ListParagraph"/>
        <w:numPr>
          <w:ilvl w:val="0"/>
          <w:numId w:val="3"/>
        </w:numPr>
        <w:shd w:val="clear" w:color="auto" w:fill="FFFFFF"/>
        <w:tabs>
          <w:tab w:val="clear" w:pos="709"/>
          <w:tab w:val="left" w:pos="426" w:leader="none"/>
        </w:tabs>
        <w:ind w:left="0" w:hanging="0"/>
        <w:jc w:val="center"/>
        <w:rPr>
          <w:b/>
          <w:b/>
        </w:rPr>
      </w:pPr>
      <w:bookmarkStart w:id="47" w:name="_Ref158828797"/>
      <w:r>
        <w:rPr>
          <w:b/>
          <w:bCs/>
        </w:rPr>
        <w:t>Заверения</w:t>
      </w:r>
      <w:r>
        <w:rPr>
          <w:b/>
        </w:rPr>
        <w:t xml:space="preserve"> Сторон</w:t>
      </w:r>
      <w:bookmarkEnd w:id="47"/>
    </w:p>
    <w:p>
      <w:pPr>
        <w:pStyle w:val="ListParagraph"/>
        <w:numPr>
          <w:ilvl w:val="1"/>
          <w:numId w:val="3"/>
        </w:numPr>
        <w:shd w:val="clear" w:color="auto" w:fill="FFFFFF"/>
        <w:tabs>
          <w:tab w:val="clear" w:pos="709"/>
          <w:tab w:val="left" w:pos="1134" w:leader="none"/>
          <w:tab w:val="left" w:pos="1418" w:leader="none"/>
        </w:tabs>
        <w:ind w:left="0" w:firstLine="709"/>
        <w:jc w:val="both"/>
        <w:rPr/>
      </w:pPr>
      <w:r>
        <w:rPr>
          <w:bCs/>
        </w:rPr>
        <w:t>Каждая</w:t>
      </w:r>
      <w:r>
        <w:rPr/>
        <w:t xml:space="preserve"> из Сторон заявляет и подтверждает другой Стороне, что: </w:t>
      </w:r>
    </w:p>
    <w:p>
      <w:pPr>
        <w:pStyle w:val="ListParagraph"/>
        <w:numPr>
          <w:ilvl w:val="0"/>
          <w:numId w:val="8"/>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8"/>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8"/>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8"/>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8"/>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3"/>
        </w:numPr>
        <w:shd w:val="clear" w:color="auto" w:fill="FFFFFF"/>
        <w:tabs>
          <w:tab w:val="clear" w:pos="709"/>
          <w:tab w:val="left" w:pos="1134" w:leader="none"/>
          <w:tab w:val="left" w:pos="1418" w:leader="none"/>
        </w:tabs>
        <w:ind w:left="0" w:firstLine="709"/>
        <w:jc w:val="both"/>
        <w:rPr/>
      </w:pPr>
      <w:r>
        <w:rPr/>
        <w:t>Субподрядчик заявляет и заверяет Генподрядчика в том, что на момент заключения Договора:</w:t>
      </w:r>
    </w:p>
    <w:p>
      <w:pPr>
        <w:pStyle w:val="ListParagraph"/>
        <w:numPr>
          <w:ilvl w:val="0"/>
          <w:numId w:val="10"/>
        </w:numPr>
        <w:shd w:val="clear" w:color="auto" w:fill="FFFFFF"/>
        <w:tabs>
          <w:tab w:val="left" w:pos="709" w:leader="none"/>
          <w:tab w:val="left" w:pos="1418" w:leader="none"/>
        </w:tabs>
        <w:ind w:left="0" w:firstLine="709"/>
        <w:jc w:val="both"/>
        <w:rPr/>
      </w:pPr>
      <w:r>
        <w:rPr/>
        <w:t>учредителем / учредителями Субподрядчика являются лица, не являющиеся массовыми учредителем / учредителями;</w:t>
      </w:r>
    </w:p>
    <w:p>
      <w:pPr>
        <w:pStyle w:val="ListParagraph"/>
        <w:numPr>
          <w:ilvl w:val="0"/>
          <w:numId w:val="10"/>
        </w:numPr>
        <w:shd w:val="clear" w:color="auto" w:fill="FFFFFF"/>
        <w:tabs>
          <w:tab w:val="left" w:pos="709" w:leader="none"/>
          <w:tab w:val="left" w:pos="1418" w:leader="none"/>
        </w:tabs>
        <w:ind w:left="0" w:firstLine="709"/>
        <w:jc w:val="both"/>
        <w:rPr/>
      </w:pPr>
      <w:r>
        <w:rPr/>
        <w:t>руководителем Субподрядчика является лицо, не являющееся массовым руководителем;</w:t>
      </w:r>
    </w:p>
    <w:p>
      <w:pPr>
        <w:pStyle w:val="ListParagraph"/>
        <w:numPr>
          <w:ilvl w:val="0"/>
          <w:numId w:val="10"/>
        </w:numPr>
        <w:shd w:val="clear" w:color="auto" w:fill="FFFFFF"/>
        <w:tabs>
          <w:tab w:val="left" w:pos="709" w:leader="none"/>
          <w:tab w:val="left" w:pos="1418" w:leader="none"/>
        </w:tabs>
        <w:ind w:left="0" w:firstLine="709"/>
        <w:jc w:val="both"/>
        <w:rPr/>
      </w:pPr>
      <w:r>
        <w:rPr/>
        <w:t xml:space="preserve">Субподрядчик фактически находится по адресу, указанному в Едином государственном реестре юридических лиц; </w:t>
      </w:r>
    </w:p>
    <w:p>
      <w:pPr>
        <w:pStyle w:val="ListParagraph"/>
        <w:numPr>
          <w:ilvl w:val="0"/>
          <w:numId w:val="10"/>
        </w:numPr>
        <w:shd w:val="clear" w:color="auto" w:fill="FFFFFF"/>
        <w:tabs>
          <w:tab w:val="left" w:pos="709" w:leader="none"/>
          <w:tab w:val="left" w:pos="1418" w:leader="none"/>
        </w:tabs>
        <w:ind w:left="0" w:firstLine="709"/>
        <w:jc w:val="both"/>
        <w:rPr/>
      </w:pPr>
      <w:r>
        <w:rPr/>
        <w:t>Субподрядчик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Субподрядчик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Субподрядчика должным образом исполнять обязательства, возникающие из Договора или в связи с ним;</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Субподрядчика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Субподрядчиком, не подлежит лицензированию и / или не требует получения иного разрешительного документа;</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 xml:space="preserve">Субподрядчик тщательно изучил всю информацию, связанную с Договором, в том числе по вопросам, влияющим на сроки, стоимость и качество Работ, полностью ознакомлен со всеми условиями производства Работ, и принимает на себя все расходы, риски и трудности исполнения обязательств, возникающих из Договора или в связи с ним; </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Субподрядчик тщательно изучил все регламенты Генподрядчика и подтверждает готовность неукоснительного соблюдения в полном объеме предъявляемых Генподрядчиком требований;</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Субподрядчик своевременно и в полном объеме в соответствии с законодательством Российской Федерации намерен отражать все финансово-хозяйственные операции, с</w:t>
      </w:r>
      <w:r>
        <w:rPr>
          <w:shd w:fill="auto" w:val="clear"/>
        </w:rPr>
        <w:t>вязанные с исполнением Договора;</w:t>
      </w:r>
    </w:p>
    <w:p>
      <w:pPr>
        <w:pStyle w:val="ListParagraph"/>
        <w:numPr>
          <w:ilvl w:val="0"/>
          <w:numId w:val="9"/>
        </w:numPr>
        <w:shd w:val="clear" w:color="auto" w:fill="FFFFFF"/>
        <w:tabs>
          <w:tab w:val="clear" w:pos="709"/>
          <w:tab w:val="left" w:pos="567" w:leader="none"/>
          <w:tab w:val="left" w:pos="1418" w:leader="none"/>
        </w:tabs>
        <w:ind w:left="0" w:firstLine="709"/>
        <w:jc w:val="both"/>
        <w:rPr>
          <w:shd w:fill="auto" w:val="clear"/>
        </w:rPr>
      </w:pPr>
      <w:r>
        <w:rPr>
          <w:shd w:fill="auto" w:val="clear"/>
        </w:rPr>
        <w:t>вся информация, предоставленная Генподрядчику, является достоверной, полной и точной, и Субподрядчик не скрыл никаких обстоятельств, которые при их обнаружении могли бы негативно повлиять на решение Генподрядчика заключить Договор на указанных в нем условиях;</w:t>
      </w:r>
    </w:p>
    <w:p>
      <w:pPr>
        <w:pStyle w:val="ListParagraph"/>
        <w:numPr>
          <w:ilvl w:val="0"/>
          <w:numId w:val="9"/>
        </w:numPr>
        <w:shd w:val="clear" w:color="auto" w:fill="FFFFFF"/>
        <w:tabs>
          <w:tab w:val="clear" w:pos="709"/>
          <w:tab w:val="left" w:pos="567" w:leader="none"/>
          <w:tab w:val="left" w:pos="1418" w:leader="none"/>
        </w:tabs>
        <w:ind w:left="0" w:firstLine="709"/>
        <w:jc w:val="both"/>
        <w:rPr>
          <w:shd w:fill="auto" w:val="clear"/>
        </w:rPr>
      </w:pPr>
      <w:r>
        <w:rPr>
          <w:shd w:fill="auto" w:val="clear"/>
        </w:rPr>
        <w:t>Субподрядчик согласен на многократное применение разработанной им Рабочей документации в качестве типовой рабочей документации (рабочей документации повторного использования) и (или) Результата Инженерных изысканий, полученных для подготовки такой Рабочей документации.</w:t>
      </w:r>
    </w:p>
    <w:p>
      <w:pPr>
        <w:pStyle w:val="Normal"/>
        <w:numPr>
          <w:ilvl w:val="1"/>
          <w:numId w:val="3"/>
        </w:numPr>
        <w:spacing w:lineRule="auto" w:line="240"/>
        <w:ind w:left="0" w:firstLine="709"/>
        <w:rPr>
          <w:shd w:fill="auto" w:val="clear"/>
        </w:rPr>
      </w:pPr>
      <w:r>
        <w:rPr>
          <w:sz w:val="24"/>
          <w:szCs w:val="24"/>
          <w:shd w:fill="auto" w:val="clea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w:t>
      </w:r>
    </w:p>
    <w:p>
      <w:pPr>
        <w:pStyle w:val="ListParagraph"/>
        <w:numPr>
          <w:ilvl w:val="1"/>
          <w:numId w:val="3"/>
        </w:numPr>
        <w:shd w:val="clear" w:color="auto" w:fill="FFFFFF"/>
        <w:tabs>
          <w:tab w:val="clear" w:pos="709"/>
          <w:tab w:val="left" w:pos="1134" w:leader="none"/>
          <w:tab w:val="left" w:pos="1418" w:leader="none"/>
        </w:tabs>
        <w:ind w:left="0" w:firstLine="709"/>
        <w:jc w:val="both"/>
        <w:rPr/>
      </w:pPr>
      <w:r>
        <w:rPr/>
        <w:t xml:space="preserve">В случае, если </w:t>
      </w:r>
      <w:r>
        <w:rPr>
          <w:bCs/>
        </w:rPr>
        <w:t>Субподрядчик</w:t>
      </w:r>
      <w:r>
        <w:rPr/>
        <w:t xml:space="preserve"> при заключении Договора предоставил Генподрядчику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 xml:space="preserve">Субподрядчик </w:t>
      </w:r>
      <w:r>
        <w:rPr/>
        <w:t xml:space="preserve">обязан по письменному требованию Генподрядчика уплатить последнему штраф в размере 5 (пяти) процентов от Цены Договора, указанной в пункте </w:t>
      </w:r>
      <w:r>
        <w:rPr/>
        <w:fldChar w:fldCharType="begin"/>
      </w:r>
      <w:r>
        <w:rPr/>
        <w:instrText> REF _Ref158829439 \r \h </w:instrText>
      </w:r>
      <w:r>
        <w:rPr/>
        <w:fldChar w:fldCharType="separate"/>
      </w:r>
      <w:r>
        <w:rPr/>
        <w:t>3.1.</w:t>
      </w:r>
      <w:r>
        <w:rPr/>
        <w:fldChar w:fldCharType="end"/>
      </w:r>
      <w:r>
        <w:rPr/>
        <w:t xml:space="preserve"> Договора.</w:t>
      </w:r>
    </w:p>
    <w:p>
      <w:pPr>
        <w:pStyle w:val="ListParagraph"/>
        <w:numPr>
          <w:ilvl w:val="1"/>
          <w:numId w:val="3"/>
        </w:numPr>
        <w:shd w:val="clear" w:color="auto" w:fill="FFFFFF"/>
        <w:tabs>
          <w:tab w:val="clear" w:pos="709"/>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709" w:hanging="0"/>
        <w:jc w:val="both"/>
        <w:rPr>
          <w:b/>
          <w:b/>
        </w:rPr>
      </w:pPr>
      <w:r>
        <w:rPr>
          <w:b/>
        </w:rPr>
      </w:r>
    </w:p>
    <w:p>
      <w:pPr>
        <w:pStyle w:val="ListParagraph"/>
        <w:numPr>
          <w:ilvl w:val="0"/>
          <w:numId w:val="3"/>
        </w:numPr>
        <w:shd w:val="clear" w:color="auto" w:fill="FFFFFF"/>
        <w:tabs>
          <w:tab w:val="clear" w:pos="709"/>
          <w:tab w:val="left" w:pos="426" w:leader="none"/>
        </w:tabs>
        <w:ind w:left="0" w:hanging="0"/>
        <w:jc w:val="center"/>
        <w:rPr>
          <w:b/>
          <w:b/>
        </w:rPr>
      </w:pPr>
      <w:r>
        <w:rPr>
          <w:b/>
          <w:bCs/>
        </w:rPr>
        <w:t>П</w:t>
      </w:r>
      <w:r>
        <w:rPr>
          <w:b/>
        </w:rPr>
        <w:t>рекращение (расторжение) Договора</w:t>
      </w:r>
    </w:p>
    <w:p>
      <w:pPr>
        <w:pStyle w:val="ListParagraph"/>
        <w:numPr>
          <w:ilvl w:val="1"/>
          <w:numId w:val="3"/>
        </w:numPr>
        <w:shd w:val="clear" w:color="auto" w:fill="FFFFFF"/>
        <w:tabs>
          <w:tab w:val="clear" w:pos="709"/>
          <w:tab w:val="left" w:pos="1134" w:leader="none"/>
        </w:tabs>
        <w:ind w:left="0" w:firstLine="709"/>
        <w:jc w:val="both"/>
        <w:rPr/>
      </w:pPr>
      <w:r>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w:t>
      </w:r>
      <w:r>
        <w:rPr/>
        <w:fldChar w:fldCharType="begin"/>
      </w:r>
      <w:r>
        <w:rPr/>
        <w:instrText> REF _Ref158829290 \r \h </w:instrText>
      </w:r>
      <w:r>
        <w:rPr/>
        <w:fldChar w:fldCharType="separate"/>
      </w:r>
      <w:r>
        <w:rPr/>
        <w:t>15.6.</w:t>
      </w:r>
      <w:r>
        <w:rPr/>
        <w:fldChar w:fldCharType="end"/>
      </w:r>
      <w:r>
        <w:rPr/>
        <w:t xml:space="preserve">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20(двадцати) календарных дней со дня его получения.</w:t>
      </w:r>
    </w:p>
    <w:p>
      <w:pPr>
        <w:pStyle w:val="ListParagraph"/>
        <w:numPr>
          <w:ilvl w:val="1"/>
          <w:numId w:val="3"/>
        </w:numPr>
        <w:shd w:val="clear" w:color="auto" w:fill="FFFFFF"/>
        <w:tabs>
          <w:tab w:val="clear" w:pos="709"/>
          <w:tab w:val="left" w:pos="1134" w:leader="none"/>
        </w:tabs>
        <w:ind w:left="0" w:firstLine="709"/>
        <w:jc w:val="both"/>
        <w:rPr/>
      </w:pPr>
      <w:r>
        <w:rPr/>
        <w:t xml:space="preserve">Генподрядчик вправе в любое время до сдачи ему результатов Работ в одностороннем внесудебном порядке отказаться от Договора полностью или в части (в т.ч. при Отказе Заказчика от Договора), уплатив Субподрядчику часть установленной Цены Договора, пропорциональную части Работ, выполненных до получения Субподрядчиком уведомления Генподрядчика об отказе от Договора (исполнения Договора). </w:t>
      </w:r>
    </w:p>
    <w:p>
      <w:pPr>
        <w:pStyle w:val="ListParagraph"/>
        <w:numPr>
          <w:ilvl w:val="1"/>
          <w:numId w:val="3"/>
        </w:numPr>
        <w:shd w:val="clear" w:color="auto" w:fill="FFFFFF"/>
        <w:tabs>
          <w:tab w:val="clear" w:pos="709"/>
          <w:tab w:val="left" w:pos="1134" w:leader="none"/>
        </w:tabs>
        <w:ind w:left="0" w:firstLine="709"/>
        <w:jc w:val="both"/>
        <w:rPr/>
      </w:pPr>
      <w:r>
        <w:rPr/>
        <w:t>Возмещение убытков Субподрядчика, вызванных отказом от Договора (исполнения Договора), Генподрядчиком не производится.</w:t>
      </w:r>
    </w:p>
    <w:p>
      <w:pPr>
        <w:pStyle w:val="ListParagraph"/>
        <w:numPr>
          <w:ilvl w:val="1"/>
          <w:numId w:val="3"/>
        </w:numPr>
        <w:shd w:val="clear" w:color="auto" w:fill="FFFFFF"/>
        <w:tabs>
          <w:tab w:val="clear" w:pos="709"/>
          <w:tab w:val="left" w:pos="1134" w:leader="none"/>
        </w:tabs>
        <w:ind w:left="0" w:firstLine="709"/>
        <w:jc w:val="both"/>
        <w:rPr/>
      </w:pPr>
      <w:bookmarkStart w:id="48" w:name="_Ref158829529"/>
      <w:r>
        <w:rPr/>
        <w:t>В случае существенного нарушения Договора Субподрядчиком Генподрядчик вправе в одностороннем внесудебном порядке отказаться от Договора и потребовать полного возмещения Субподрядчиком убытков, причиненных отказом от Договора (исполнения Договора).</w:t>
      </w:r>
      <w:bookmarkEnd w:id="48"/>
    </w:p>
    <w:p>
      <w:pPr>
        <w:pStyle w:val="ListParagraph"/>
        <w:shd w:val="clear" w:color="auto" w:fill="FFFFFF"/>
        <w:tabs>
          <w:tab w:val="clear" w:pos="709"/>
          <w:tab w:val="left" w:pos="1134" w:leader="none"/>
        </w:tabs>
        <w:ind w:left="0" w:firstLine="709"/>
        <w:jc w:val="both"/>
        <w:rPr/>
      </w:pPr>
      <w:r>
        <w:rPr/>
        <w:t>Генподрядчик одновременно с уведомлением об отказе от Договора (исполнения Договора) направляет Субподрядчику письменное требование о возмещении убытков с приложением расчета суммы убытков. Субподрядчик обязан оплатить Генподрядчику убытки не позднее 15 (пятнадцати) календарных дней с момента получения расчета суммы убытков от Генподрядчика.</w:t>
      </w:r>
    </w:p>
    <w:p>
      <w:pPr>
        <w:pStyle w:val="ListParagraph"/>
        <w:numPr>
          <w:ilvl w:val="1"/>
          <w:numId w:val="3"/>
        </w:numPr>
        <w:shd w:val="clear" w:color="auto" w:fill="FFFFFF"/>
        <w:tabs>
          <w:tab w:val="clear" w:pos="709"/>
          <w:tab w:val="left" w:pos="1134" w:leader="none"/>
        </w:tabs>
        <w:ind w:left="0" w:firstLine="709"/>
        <w:jc w:val="both"/>
        <w:rPr/>
      </w:pPr>
      <w:bookmarkStart w:id="49" w:name="_Ref158829535"/>
      <w:r>
        <w:rPr/>
        <w:t>Стороны установили, что существенным нарушением Договора Субподрядчиком является:</w:t>
      </w:r>
      <w:bookmarkEnd w:id="49"/>
    </w:p>
    <w:p>
      <w:pPr>
        <w:pStyle w:val="ListParagraph"/>
        <w:numPr>
          <w:ilvl w:val="0"/>
          <w:numId w:val="7"/>
        </w:numPr>
        <w:tabs>
          <w:tab w:val="clear" w:pos="709"/>
          <w:tab w:val="left" w:pos="1134" w:leader="none"/>
        </w:tabs>
        <w:ind w:left="0" w:right="23" w:firstLine="709"/>
        <w:jc w:val="both"/>
        <w:rPr/>
      </w:pPr>
      <w:r>
        <w:rPr/>
        <w:t>нарушение Субподрядчиком начального и конечного сроков выполнения Работ по Договору, а также промежуточных сроков выполнения Работ, установленных Договором, более чем на 15 (пятнадцать) календарных дней по причинам, не зависящим от Генподрядчика;</w:t>
      </w:r>
    </w:p>
    <w:p>
      <w:pPr>
        <w:pStyle w:val="ListParagraph"/>
        <w:numPr>
          <w:ilvl w:val="0"/>
          <w:numId w:val="7"/>
        </w:numPr>
        <w:tabs>
          <w:tab w:val="clear" w:pos="709"/>
          <w:tab w:val="left" w:pos="1134" w:leader="none"/>
        </w:tabs>
        <w:ind w:left="0" w:right="23" w:firstLine="709"/>
        <w:jc w:val="both"/>
        <w:rPr/>
      </w:pPr>
      <w:r>
        <w:rPr/>
        <w:t>несоблюдение Субподрядчиком требований к качеству Работ</w:t>
      </w:r>
      <w:r>
        <w:rPr>
          <w:bCs/>
        </w:rPr>
        <w:t>,</w:t>
      </w:r>
      <w:r>
        <w:rPr/>
        <w:t xml:space="preserve"> если исправление выявленных Генподрядчиком недостатков, несоответствий Работ влечет нарушение сроков выполнения Работ более чем на 15 (пятнадцать) календарных дней либо такие недостатки являются неустранимыми;</w:t>
      </w:r>
    </w:p>
    <w:p>
      <w:pPr>
        <w:pStyle w:val="ListParagraph"/>
        <w:numPr>
          <w:ilvl w:val="0"/>
          <w:numId w:val="7"/>
        </w:numPr>
        <w:tabs>
          <w:tab w:val="clear" w:pos="709"/>
          <w:tab w:val="left" w:pos="1134" w:leader="none"/>
        </w:tabs>
        <w:ind w:left="0" w:right="23" w:firstLine="709"/>
        <w:jc w:val="both"/>
        <w:rPr/>
      </w:pPr>
      <w: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7"/>
        </w:numPr>
        <w:tabs>
          <w:tab w:val="clear" w:pos="709"/>
          <w:tab w:val="left" w:pos="1134" w:leader="none"/>
        </w:tabs>
        <w:ind w:left="0" w:right="23" w:firstLine="709"/>
        <w:jc w:val="both"/>
        <w:rPr/>
      </w:pPr>
      <w:r>
        <w:rPr/>
        <w:t>принятие актов государственных органов или организаций, лишающих Субподрядчика в установленном порядке права на производство Работ по Договору;</w:t>
      </w:r>
    </w:p>
    <w:p>
      <w:pPr>
        <w:pStyle w:val="ListParagraph"/>
        <w:numPr>
          <w:ilvl w:val="0"/>
          <w:numId w:val="7"/>
        </w:numPr>
        <w:tabs>
          <w:tab w:val="clear" w:pos="709"/>
          <w:tab w:val="left" w:pos="1134" w:leader="none"/>
        </w:tabs>
        <w:ind w:left="0" w:right="23" w:firstLine="709"/>
        <w:jc w:val="both"/>
        <w:rPr/>
      </w:pPr>
      <w:r>
        <w:rPr/>
        <w:t>наложение ареста на имущество Субподрядчика, введение арбитражным судом процедуры несостоятельности (банкротства) в отношении Субподрядчика;</w:t>
      </w:r>
    </w:p>
    <w:p>
      <w:pPr>
        <w:pStyle w:val="ListParagraph"/>
        <w:numPr>
          <w:ilvl w:val="0"/>
          <w:numId w:val="7"/>
        </w:numPr>
        <w:tabs>
          <w:tab w:val="clear" w:pos="709"/>
          <w:tab w:val="left" w:pos="1134" w:leader="none"/>
        </w:tabs>
        <w:ind w:left="0" w:right="23" w:firstLine="709"/>
        <w:jc w:val="both"/>
        <w:rPr>
          <w:shd w:fill="auto" w:val="clear"/>
        </w:rPr>
      </w:pPr>
      <w:r>
        <w:rPr>
          <w:shd w:fill="auto" w:val="clear"/>
        </w:rPr>
        <w:t>привлечение к выполнению Работ по Договору третьих лиц (СубСубподрядчиков) с нарушением требований, установленных пунктом 4.2.1 Договора;</w:t>
      </w:r>
    </w:p>
    <w:p>
      <w:pPr>
        <w:pStyle w:val="ListParagraph"/>
        <w:numPr>
          <w:ilvl w:val="0"/>
          <w:numId w:val="7"/>
        </w:numPr>
        <w:tabs>
          <w:tab w:val="clear" w:pos="709"/>
          <w:tab w:val="left" w:pos="1134" w:leader="none"/>
        </w:tabs>
        <w:ind w:left="0" w:right="23" w:firstLine="709"/>
        <w:jc w:val="both"/>
        <w:rPr/>
      </w:pPr>
      <w:r>
        <w:rPr>
          <w:shd w:fill="auto" w:val="clear"/>
        </w:rPr>
        <w:t>нарушение более чем на 30 (тридцать) календарных дней сроков предоставлени</w:t>
      </w:r>
      <w:r>
        <w:rPr/>
        <w:t>я документов, подтверждающих обеспечение обязательств по возврату аванса и иных платежей по Договору, отказ в предоставлении Генподрядчику таких документов;</w:t>
      </w:r>
    </w:p>
    <w:p>
      <w:pPr>
        <w:pStyle w:val="ListParagraph"/>
        <w:numPr>
          <w:ilvl w:val="0"/>
          <w:numId w:val="7"/>
        </w:numPr>
        <w:tabs>
          <w:tab w:val="clear" w:pos="709"/>
          <w:tab w:val="left" w:pos="1134" w:leader="none"/>
        </w:tabs>
        <w:ind w:left="0" w:right="23" w:firstLine="709"/>
        <w:jc w:val="both"/>
        <w:rPr/>
      </w:pPr>
      <w:r>
        <w:rPr/>
        <w:t>установление в ходе исполнения Договора фактов несоответствия Субподрядчика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Субподрядчика об обстоятельствах, указанных в разделе 14 Договора, и имеющих существенное значение для его заключения и исполнения.</w:t>
      </w:r>
    </w:p>
    <w:p>
      <w:pPr>
        <w:pStyle w:val="ListParagraph"/>
        <w:numPr>
          <w:ilvl w:val="1"/>
          <w:numId w:val="3"/>
        </w:numPr>
        <w:shd w:val="clear" w:color="auto" w:fill="FFFFFF"/>
        <w:tabs>
          <w:tab w:val="clear" w:pos="709"/>
          <w:tab w:val="left" w:pos="1134" w:leader="none"/>
        </w:tabs>
        <w:ind w:left="0" w:firstLine="709"/>
        <w:jc w:val="both"/>
        <w:rPr/>
      </w:pPr>
      <w:r>
        <w:rPr/>
        <w:t xml:space="preserve">В случае отказа Генподрядчика от Договора в случаях, предусмотренных пунктами </w:t>
      </w:r>
      <w:r>
        <w:rPr/>
        <w:fldChar w:fldCharType="begin"/>
      </w:r>
      <w:r>
        <w:rPr/>
        <w:instrText> REF _Ref158829529 \r \h </w:instrText>
      </w:r>
      <w:r>
        <w:rPr/>
        <w:fldChar w:fldCharType="separate"/>
      </w:r>
      <w:r>
        <w:rPr/>
        <w:t>14.4.</w:t>
      </w:r>
      <w:r>
        <w:rPr/>
        <w:fldChar w:fldCharType="end"/>
      </w:r>
      <w:r>
        <w:rPr/>
        <w:t xml:space="preserve">, </w:t>
      </w:r>
      <w:r>
        <w:rPr/>
        <w:fldChar w:fldCharType="begin"/>
      </w:r>
      <w:r>
        <w:rPr/>
        <w:instrText> REF _Ref158829535 \r \h </w:instrText>
      </w:r>
      <w:r>
        <w:rPr/>
        <w:fldChar w:fldCharType="separate"/>
      </w:r>
      <w:r>
        <w:rPr/>
        <w:t>14.5.</w:t>
      </w:r>
      <w:r>
        <w:rPr/>
        <w:fldChar w:fldCharType="end"/>
      </w:r>
      <w:r>
        <w:rPr/>
        <w:t xml:space="preserve"> Договора, последний считается прекращенным (расторгнутым) со дня, следующего за днем получения Субподрядчиком уведомления Генподрядчика об отказе от Договора (исполнения Договора). </w:t>
      </w:r>
    </w:p>
    <w:p>
      <w:pPr>
        <w:pStyle w:val="ListParagraph"/>
        <w:numPr>
          <w:ilvl w:val="1"/>
          <w:numId w:val="3"/>
        </w:numPr>
        <w:shd w:val="clear" w:color="auto" w:fill="FFFFFF"/>
        <w:tabs>
          <w:tab w:val="clear" w:pos="709"/>
          <w:tab w:val="left" w:pos="1134" w:leader="none"/>
        </w:tabs>
        <w:ind w:left="0" w:firstLine="709"/>
        <w:jc w:val="both"/>
        <w:rPr/>
      </w:pPr>
      <w:r>
        <w:rPr/>
        <w:t>С даты прекращения (расторжения) Договора Субподрядчик обязан прекратить производство Работ, и в согласованные Сторонами сроки:</w:t>
      </w:r>
    </w:p>
    <w:p>
      <w:pPr>
        <w:pStyle w:val="ListParagraph"/>
        <w:numPr>
          <w:ilvl w:val="0"/>
          <w:numId w:val="15"/>
        </w:numPr>
        <w:shd w:val="clear" w:color="auto" w:fill="FFFFFF"/>
        <w:tabs>
          <w:tab w:val="clear" w:pos="709"/>
          <w:tab w:val="left" w:pos="1418" w:leader="none"/>
        </w:tabs>
        <w:ind w:left="0" w:firstLine="709"/>
        <w:jc w:val="both"/>
        <w:rPr/>
      </w:pPr>
      <w:r>
        <w:rPr/>
        <w:t>передать Генподрядчику результаты выполненных Работ, техническую и иную полученную документацию</w:t>
      </w:r>
      <w:r>
        <w:rPr>
          <w:bCs/>
        </w:rPr>
        <w:t>;</w:t>
      </w:r>
    </w:p>
    <w:p>
      <w:pPr>
        <w:pStyle w:val="ListParagraph"/>
        <w:numPr>
          <w:ilvl w:val="1"/>
          <w:numId w:val="3"/>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гарантийных обязательств, а также обязательств Субподрядчика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134" w:leader="none"/>
        </w:tabs>
        <w:ind w:left="709" w:hanging="0"/>
        <w:jc w:val="both"/>
        <w:rPr/>
      </w:pPr>
      <w:r>
        <w:rPr/>
      </w:r>
    </w:p>
    <w:p>
      <w:pPr>
        <w:pStyle w:val="ListParagraph"/>
        <w:numPr>
          <w:ilvl w:val="0"/>
          <w:numId w:val="3"/>
        </w:numPr>
        <w:shd w:val="clear" w:color="auto" w:fill="FFFFFF"/>
        <w:tabs>
          <w:tab w:val="clear" w:pos="709"/>
          <w:tab w:val="left" w:pos="426" w:leader="none"/>
        </w:tabs>
        <w:ind w:left="0" w:hanging="0"/>
        <w:jc w:val="center"/>
        <w:rPr>
          <w:b/>
          <w:b/>
          <w:bCs/>
        </w:rPr>
      </w:pPr>
      <w:r>
        <w:rPr>
          <w:b/>
          <w:bCs/>
        </w:rPr>
        <w:t>Заключительные положения</w:t>
      </w:r>
    </w:p>
    <w:p>
      <w:pPr>
        <w:pStyle w:val="ListParagraph"/>
        <w:numPr>
          <w:ilvl w:val="1"/>
          <w:numId w:val="3"/>
        </w:numPr>
        <w:shd w:val="clear" w:color="auto" w:fill="FFFFFF"/>
        <w:tabs>
          <w:tab w:val="clear" w:pos="709"/>
          <w:tab w:val="left" w:pos="1134" w:leader="none"/>
        </w:tabs>
        <w:ind w:left="0" w:firstLine="709"/>
        <w:jc w:val="both"/>
        <w:rPr>
          <w:shd w:fill="auto" w:val="clear"/>
        </w:rPr>
      </w:pPr>
      <w:r>
        <w:rPr>
          <w:shd w:fill="auto" w:val="clear"/>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ListParagraph"/>
        <w:numPr>
          <w:ilvl w:val="1"/>
          <w:numId w:val="3"/>
        </w:numPr>
        <w:shd w:val="clear" w:color="auto" w:fill="FFFFFF"/>
        <w:tabs>
          <w:tab w:val="clear" w:pos="709"/>
          <w:tab w:val="left" w:pos="1134" w:leader="none"/>
        </w:tabs>
        <w:ind w:left="0" w:firstLine="709"/>
        <w:jc w:val="both"/>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3"/>
        </w:numPr>
        <w:shd w:val="clear" w:color="auto" w:fill="FFFFFF"/>
        <w:tabs>
          <w:tab w:val="clear" w:pos="709"/>
          <w:tab w:val="left" w:pos="1134" w:leader="none"/>
        </w:tabs>
        <w:ind w:left="0" w:firstLine="709"/>
        <w:jc w:val="both"/>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3"/>
        </w:numPr>
        <w:shd w:val="clear" w:color="auto" w:fill="FFFFFF"/>
        <w:tabs>
          <w:tab w:val="clear" w:pos="709"/>
          <w:tab w:val="left" w:pos="1134" w:leader="none"/>
        </w:tabs>
        <w:ind w:left="0" w:firstLine="709"/>
        <w:jc w:val="both"/>
        <w:rPr/>
      </w:pPr>
      <w:r>
        <w:rPr/>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w:t>
      </w:r>
      <w:r>
        <w:rPr/>
        <w:fldChar w:fldCharType="begin"/>
      </w:r>
      <w:r>
        <w:rPr/>
        <w:instrText> REF _Ref158829290 \r \h </w:instrText>
      </w:r>
      <w:r>
        <w:rPr/>
        <w:fldChar w:fldCharType="separate"/>
      </w:r>
      <w:r>
        <w:rPr/>
        <w:t>15.6.</w:t>
      </w:r>
      <w:r>
        <w:rPr/>
        <w:fldChar w:fldCharType="end"/>
      </w:r>
      <w:r>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3"/>
        </w:numPr>
        <w:shd w:val="clear" w:color="auto" w:fill="FFFFFF"/>
        <w:tabs>
          <w:tab w:val="clear" w:pos="709"/>
          <w:tab w:val="left" w:pos="1134" w:leader="none"/>
        </w:tabs>
        <w:ind w:left="0" w:firstLine="709"/>
        <w:jc w:val="both"/>
        <w:rPr/>
      </w:pPr>
      <w:bookmarkStart w:id="50" w:name="_Ref361338004"/>
      <w:r>
        <w:rPr/>
        <w:t xml:space="preserve">Стороны обязуются уведомлять друг друга об изменении адреса и / или реквизитов, указанных в разделе </w:t>
      </w:r>
      <w:r>
        <w:rPr/>
        <w:fldChar w:fldCharType="begin"/>
      </w:r>
      <w:r>
        <w:rPr/>
        <w:instrText> REF _Ref158829619 \r \h </w:instrText>
      </w:r>
      <w:r>
        <w:rPr/>
        <w:fldChar w:fldCharType="separate"/>
      </w:r>
      <w:r>
        <w:rPr/>
        <w:t>17.</w:t>
      </w:r>
      <w:r>
        <w:rPr/>
        <w:fldChar w:fldCharType="end"/>
      </w:r>
      <w:r>
        <w:rPr/>
        <w:t xml:space="preserve"> Договора, не позднее 3 (трех) рабочих дней после такого изменения в порядке, установленном пунктом </w:t>
      </w:r>
      <w:r>
        <w:rPr/>
        <w:fldChar w:fldCharType="begin"/>
      </w:r>
      <w:r>
        <w:rPr/>
        <w:instrText> REF _Ref158829290 \r \h </w:instrText>
      </w:r>
      <w:r>
        <w:rPr/>
        <w:fldChar w:fldCharType="separate"/>
      </w:r>
      <w:r>
        <w:rPr/>
        <w:t>15.6.</w:t>
      </w:r>
      <w:r>
        <w:rPr/>
        <w:fldChar w:fldCharType="end"/>
      </w:r>
      <w:r>
        <w:rPr/>
        <w:t xml:space="preserve"> Договора.</w:t>
      </w:r>
      <w:bookmarkEnd w:id="50"/>
      <w:r>
        <w:rPr/>
        <w:t xml:space="preserve"> </w:t>
      </w:r>
    </w:p>
    <w:p>
      <w:pPr>
        <w:pStyle w:val="ListParagraph"/>
        <w:numPr>
          <w:ilvl w:val="1"/>
          <w:numId w:val="3"/>
        </w:numPr>
        <w:shd w:val="clear" w:color="auto" w:fill="FFFFFF"/>
        <w:tabs>
          <w:tab w:val="clear" w:pos="709"/>
          <w:tab w:val="left" w:pos="0" w:leader="none"/>
          <w:tab w:val="left" w:pos="1134" w:leader="none"/>
          <w:tab w:val="left" w:pos="1418" w:leader="none"/>
        </w:tabs>
        <w:ind w:left="0" w:firstLine="709"/>
        <w:jc w:val="both"/>
        <w:rPr>
          <w:bCs/>
        </w:rPr>
      </w:pPr>
      <w:bookmarkStart w:id="51" w:name="_Ref158829290"/>
      <w:r>
        <w:rPr/>
        <w:t>Письма, уведомления и / или сообщения направляются Стороне</w:t>
      </w:r>
      <w:r>
        <w:rPr>
          <w:bCs/>
        </w:rPr>
        <w:t>-</w:t>
      </w:r>
      <w:r>
        <w:rPr/>
        <w:t xml:space="preserve">получателю по адресу ее места нахождения, указанному в разделе </w:t>
      </w:r>
      <w:r>
        <w:rPr/>
        <w:fldChar w:fldCharType="begin"/>
      </w:r>
      <w:r>
        <w:rPr/>
        <w:instrText> REF _Ref158829619 \r \h </w:instrText>
      </w:r>
      <w:r>
        <w:rPr/>
        <w:fldChar w:fldCharType="separate"/>
      </w:r>
      <w:r>
        <w:rPr/>
        <w:t>17.</w:t>
      </w:r>
      <w:r>
        <w:rPr/>
        <w:fldChar w:fldCharType="end"/>
      </w:r>
      <w:r>
        <w:rPr/>
        <w:t xml:space="preserve"> Договора, или в ранее полученном уведомлении Стороны об изменении адреса, одним из следующих способов, при этом документ</w:t>
      </w:r>
      <w:r>
        <w:rPr>
          <w:bCs/>
        </w:rPr>
        <w:t xml:space="preserve"> будет считаться полученным</w:t>
      </w:r>
      <w:r>
        <w:rPr/>
        <w:t>:</w:t>
      </w:r>
      <w:bookmarkEnd w:id="51"/>
      <w:r>
        <w:rPr/>
        <w:t xml:space="preserve"> </w:t>
      </w:r>
    </w:p>
    <w:p>
      <w:pPr>
        <w:pStyle w:val="ListParagraph"/>
        <w:widowControl w:val="false"/>
        <w:numPr>
          <w:ilvl w:val="2"/>
          <w:numId w:val="3"/>
        </w:numPr>
        <w:ind w:left="0" w:firstLine="709"/>
        <w:jc w:val="both"/>
        <w:rPr/>
      </w:pPr>
      <w:bookmarkStart w:id="52" w:name="_Ref158829640"/>
      <w:r>
        <w:rPr>
          <w:bCs/>
        </w:rPr>
        <w:t xml:space="preserve">Заказным почтовым отправлением с уведомлением о вручении – </w:t>
      </w:r>
      <w:r>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bookmarkEnd w:id="52"/>
    </w:p>
    <w:p>
      <w:pPr>
        <w:pStyle w:val="ListParagraph"/>
        <w:widowControl w:val="false"/>
        <w:numPr>
          <w:ilvl w:val="2"/>
          <w:numId w:val="3"/>
        </w:numPr>
        <w:ind w:left="0" w:firstLine="709"/>
        <w:jc w:val="both"/>
        <w:rPr/>
      </w:pPr>
      <w:bookmarkStart w:id="53" w:name="_Ref158829646"/>
      <w:r>
        <w:rPr>
          <w:bCs/>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t>;</w:t>
      </w:r>
      <w:bookmarkEnd w:id="53"/>
      <w:r>
        <w:rPr/>
        <w:t xml:space="preserve"> </w:t>
      </w:r>
    </w:p>
    <w:p>
      <w:pPr>
        <w:pStyle w:val="ListParagraph"/>
        <w:widowControl w:val="false"/>
        <w:numPr>
          <w:ilvl w:val="2"/>
          <w:numId w:val="3"/>
        </w:numPr>
        <w:ind w:left="0" w:firstLine="709"/>
        <w:jc w:val="both"/>
        <w:rPr>
          <w:bCs/>
        </w:rPr>
      </w:pPr>
      <w:r>
        <w:rPr>
          <w:bCs/>
        </w:rPr>
        <w:t>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426"/>
        <w:jc w:val="both"/>
        <w:rPr>
          <w:bCs/>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rPr>
        <w:fldChar w:fldCharType="begin"/>
      </w:r>
      <w:r>
        <w:rPr>
          <w:bCs/>
        </w:rPr>
        <w:instrText> REF _Ref158829640 \r \h </w:instrText>
      </w:r>
      <w:r>
        <w:rPr>
          <w:bCs/>
        </w:rPr>
        <w:fldChar w:fldCharType="separate"/>
      </w:r>
      <w:r>
        <w:rPr>
          <w:bCs/>
        </w:rPr>
        <w:t>15.6.1.</w:t>
      </w:r>
      <w:r>
        <w:rPr>
          <w:bCs/>
        </w:rPr>
        <w:fldChar w:fldCharType="end"/>
      </w:r>
      <w:r>
        <w:rPr>
          <w:bCs/>
        </w:rPr>
        <w:t xml:space="preserve">– </w:t>
      </w:r>
      <w:r>
        <w:rPr>
          <w:bCs/>
        </w:rPr>
        <w:fldChar w:fldCharType="begin"/>
      </w:r>
      <w:r>
        <w:rPr>
          <w:bCs/>
        </w:rPr>
        <w:instrText> REF _Ref158829646 \r \h </w:instrText>
      </w:r>
      <w:r>
        <w:rPr>
          <w:bCs/>
        </w:rPr>
        <w:fldChar w:fldCharType="separate"/>
      </w:r>
      <w:r>
        <w:rPr>
          <w:bCs/>
        </w:rPr>
        <w:t>15.6.2.</w:t>
      </w:r>
      <w:r>
        <w:rPr>
          <w:bCs/>
        </w:rPr>
        <w:fldChar w:fldCharType="end"/>
      </w:r>
      <w:r>
        <w:rPr>
          <w:bCs/>
        </w:rPr>
        <w:t xml:space="preserve"> Договора. </w:t>
      </w:r>
    </w:p>
    <w:p>
      <w:pPr>
        <w:pStyle w:val="Normal"/>
        <w:numPr>
          <w:ilvl w:val="1"/>
          <w:numId w:val="3"/>
        </w:numPr>
        <w:spacing w:lineRule="auto" w:line="240"/>
        <w:ind w:left="0" w:firstLine="709"/>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3"/>
        </w:numPr>
        <w:shd w:val="clear" w:color="auto" w:fill="FFFFFF"/>
        <w:tabs>
          <w:tab w:val="clear" w:pos="709"/>
          <w:tab w:val="left" w:pos="568" w:leader="none"/>
        </w:tabs>
        <w:ind w:left="0" w:firstLine="709"/>
        <w:jc w:val="both"/>
        <w:rPr>
          <w:bCs/>
        </w:rPr>
      </w:pPr>
      <w:r>
        <w:rPr/>
        <w:t>Уступка (передача), в том числе в залог, прав (требований) к Генподрядчику по денежным обязательствам, принадлежащих Субподрядчику на основании Договора, допускается только с предварительного письменного согласия Генподрядчика и оформляется трехсторонним договором</w:t>
      </w:r>
      <w:r>
        <w:rPr>
          <w:bCs/>
        </w:rPr>
        <w:t>.</w:t>
      </w:r>
      <w:r>
        <w:rPr/>
        <w:t xml:space="preserve"> </w:t>
      </w:r>
    </w:p>
    <w:p>
      <w:pPr>
        <w:pStyle w:val="Normal"/>
        <w:numPr>
          <w:ilvl w:val="0"/>
          <w:numId w:val="0"/>
        </w:numPr>
        <w:snapToGrid w:val="false"/>
        <w:spacing w:lineRule="auto" w:line="240"/>
        <w:ind w:left="0" w:hanging="0"/>
        <w:jc w:val="both"/>
        <w:rPr/>
      </w:pPr>
      <w:r>
        <w:rPr>
          <w:rFonts w:eastAsia="Noto Serif CJK SC" w:cs="Lohit Devanagari"/>
          <w:color w:val="auto"/>
          <w:kern w:val="0"/>
          <w:sz w:val="24"/>
          <w:szCs w:val="24"/>
          <w:lang w:val="ru-RU" w:eastAsia="ru-RU" w:bidi="ar-SA"/>
        </w:rPr>
        <w:t xml:space="preserve">      </w:t>
      </w:r>
      <w:r>
        <w:rPr>
          <w:rFonts w:eastAsia="Noto Serif CJK SC" w:cs="Lohit Devanagari"/>
          <w:color w:val="auto"/>
          <w:kern w:val="0"/>
          <w:sz w:val="24"/>
          <w:szCs w:val="24"/>
          <w:lang w:val="ru-RU" w:eastAsia="ru-RU" w:bidi="ar-SA"/>
        </w:rPr>
        <w:t>15.9.</w:t>
      </w:r>
      <w:r>
        <w:rPr>
          <w:rFonts w:eastAsia="Noto Serif CJK SC" w:cs="Lohit Devanagari"/>
          <w:color w:val="000000"/>
          <w:kern w:val="0"/>
          <w:sz w:val="24"/>
          <w:szCs w:val="24"/>
          <w:shd w:fill="auto" w:val="clear"/>
          <w:lang w:val="ru-RU" w:eastAsia="ru-RU" w:bidi="ar-SA"/>
        </w:rPr>
        <w:t xml:space="preserve"> 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numPr>
          <w:ilvl w:val="0"/>
          <w:numId w:val="0"/>
        </w:numPr>
        <w:spacing w:lineRule="auto" w:line="240"/>
        <w:ind w:left="0" w:hanging="0"/>
        <w:jc w:val="both"/>
        <w:rPr>
          <w:shd w:fill="auto" w:val="clear"/>
        </w:rPr>
      </w:pPr>
      <w:r>
        <w:rPr>
          <w:rFonts w:eastAsia="Noto Serif CJK SC" w:cs="Lohit Devanagari"/>
          <w:color w:val="000000"/>
          <w:kern w:val="0"/>
          <w:sz w:val="24"/>
          <w:szCs w:val="24"/>
          <w:shd w:fill="auto" w:val="clear"/>
          <w:lang w:val="ru-RU" w:eastAsia="ru-RU" w:bidi="ar-SA"/>
        </w:rPr>
        <w:t xml:space="preserve">          </w:t>
      </w:r>
      <w:r>
        <w:rPr>
          <w:rFonts w:eastAsia="Noto Serif CJK SC" w:cs="Lohit Devanagari"/>
          <w:color w:val="000000"/>
          <w:kern w:val="0"/>
          <w:sz w:val="24"/>
          <w:szCs w:val="24"/>
          <w:shd w:fill="auto" w:val="clear"/>
          <w:lang w:val="ru-RU" w:eastAsia="ru-RU" w:bidi="ar-SA"/>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pPr>
        <w:pStyle w:val="Normal"/>
        <w:numPr>
          <w:ilvl w:val="0"/>
          <w:numId w:val="0"/>
        </w:numPr>
        <w:spacing w:lineRule="auto" w:line="240"/>
        <w:ind w:left="0" w:hanging="0"/>
        <w:jc w:val="both"/>
        <w:rPr>
          <w:shd w:fill="auto" w:val="clear"/>
        </w:rPr>
      </w:pPr>
      <w:r>
        <w:rPr>
          <w:rFonts w:eastAsia="Noto Serif CJK SC" w:cs="Lohit Devanagari"/>
          <w:b/>
          <w:bCs/>
          <w:color w:val="000000"/>
          <w:kern w:val="0"/>
          <w:sz w:val="24"/>
          <w:szCs w:val="24"/>
          <w:shd w:fill="auto" w:val="clear"/>
          <w:lang w:val="ru-RU" w:eastAsia="ru-RU" w:bidi="ar-SA"/>
        </w:rPr>
        <w:t xml:space="preserve">Вариант п.15.9. </w:t>
      </w:r>
      <w:r>
        <w:rPr>
          <w:rFonts w:eastAsia="Noto Serif CJK SC" w:cs="Lohit Devanagari"/>
          <w:b w:val="false"/>
          <w:bCs w:val="false"/>
          <w:color w:val="000000"/>
          <w:kern w:val="0"/>
          <w:sz w:val="24"/>
          <w:szCs w:val="24"/>
          <w:shd w:fill="auto" w:val="clear"/>
          <w:lang w:val="ru-RU" w:eastAsia="ru-RU" w:bidi="ar-SA"/>
        </w:rPr>
        <w:t>Договор составлен в 2 (двух) оригинальных экземплярах, имеющих равную юридическую силу, по 1 (одному) для каждой из Сторон</w:t>
      </w:r>
      <w:bookmarkStart w:id="54" w:name="_Hlk172283126"/>
      <w:bookmarkEnd w:id="54"/>
      <w:r>
        <w:rPr>
          <w:rStyle w:val="Style6"/>
          <w:rFonts w:eastAsia="Noto Serif CJK SC" w:cs="Lohit Devanagari"/>
          <w:b w:val="false"/>
          <w:bCs w:val="false"/>
          <w:color w:val="000000"/>
          <w:kern w:val="0"/>
          <w:sz w:val="24"/>
          <w:szCs w:val="24"/>
          <w:shd w:fill="auto" w:val="clear"/>
          <w:lang w:val="ru-RU" w:eastAsia="ru-RU" w:bidi="ar-SA"/>
        </w:rPr>
        <w:footnoteReference w:id="5"/>
      </w:r>
      <w:r>
        <w:rPr>
          <w:rFonts w:eastAsia="Noto Serif CJK SC" w:cs="Lohit Devanagari"/>
          <w:b/>
          <w:bCs/>
          <w:color w:val="000000"/>
          <w:kern w:val="0"/>
          <w:sz w:val="24"/>
          <w:szCs w:val="24"/>
          <w:shd w:fill="auto" w:val="clear"/>
          <w:lang w:val="ru-RU" w:eastAsia="ru-RU" w:bidi="ar-SA"/>
        </w:rPr>
        <w:t>.</w:t>
      </w:r>
    </w:p>
    <w:p>
      <w:pPr>
        <w:pStyle w:val="ListParagraph"/>
        <w:numPr>
          <w:ilvl w:val="0"/>
          <w:numId w:val="0"/>
        </w:numPr>
        <w:shd w:val="clear" w:color="auto" w:fill="FFFFFF"/>
        <w:tabs>
          <w:tab w:val="clear" w:pos="709"/>
          <w:tab w:val="left" w:pos="1134" w:leader="none"/>
        </w:tabs>
        <w:ind w:left="0" w:hanging="0"/>
        <w:jc w:val="both"/>
        <w:rPr/>
      </w:pPr>
      <w:r>
        <w:rPr/>
        <w:t xml:space="preserve">        </w:t>
      </w:r>
      <w:r>
        <w:rPr/>
        <w:t xml:space="preserve">15.10. Во всем остальном, что не урегулировано Договором, Стороны руководствуются законодательством Российской Федерации. </w:t>
      </w:r>
    </w:p>
    <w:p>
      <w:pPr>
        <w:pStyle w:val="ListParagraph"/>
        <w:numPr>
          <w:ilvl w:val="0"/>
          <w:numId w:val="0"/>
        </w:numPr>
        <w:shd w:val="clear" w:color="auto" w:fill="FFFFFF"/>
        <w:tabs>
          <w:tab w:val="clear" w:pos="709"/>
          <w:tab w:val="left" w:pos="1134" w:leader="none"/>
        </w:tabs>
        <w:ind w:left="0" w:hanging="0"/>
        <w:jc w:val="both"/>
        <w:rPr>
          <w:bCs/>
        </w:rPr>
      </w:pPr>
      <w:r>
        <w:rPr>
          <w:bCs/>
        </w:rPr>
      </w:r>
    </w:p>
    <w:p>
      <w:pPr>
        <w:pStyle w:val="ListParagraph"/>
        <w:numPr>
          <w:ilvl w:val="0"/>
          <w:numId w:val="3"/>
        </w:numPr>
        <w:shd w:val="clear" w:color="auto" w:fill="FFFFFF"/>
        <w:tabs>
          <w:tab w:val="clear" w:pos="709"/>
          <w:tab w:val="left" w:pos="426" w:leader="none"/>
        </w:tabs>
        <w:ind w:left="0" w:hanging="0"/>
        <w:jc w:val="center"/>
        <w:rPr>
          <w:b/>
          <w:b/>
          <w:bCs/>
        </w:rPr>
      </w:pPr>
      <w:r>
        <w:rPr>
          <w:b/>
          <w:bCs/>
        </w:rPr>
        <w:t>Список приложений</w:t>
      </w:r>
    </w:p>
    <w:p>
      <w:pPr>
        <w:pStyle w:val="ListParagraph"/>
        <w:shd w:val="clear" w:color="auto" w:fill="FFFFFF"/>
        <w:ind w:left="0" w:hanging="0"/>
        <w:jc w:val="both"/>
        <w:rPr>
          <w:bCs/>
        </w:rPr>
      </w:pPr>
      <w:r>
        <w:rPr/>
        <w:t xml:space="preserve">Приложение № </w:t>
      </w:r>
      <w:r>
        <w:rPr>
          <w:bCs/>
        </w:rPr>
        <w:t>1 – Техническое задание;</w:t>
      </w:r>
    </w:p>
    <w:p>
      <w:pPr>
        <w:pStyle w:val="ListParagraph"/>
        <w:shd w:val="clear" w:color="auto" w:fill="FFFFFF"/>
        <w:ind w:left="0" w:hanging="0"/>
        <w:jc w:val="both"/>
        <w:rPr>
          <w:bCs/>
        </w:rPr>
      </w:pPr>
      <w:r>
        <w:rPr>
          <w:bCs/>
        </w:rPr>
        <w:t>Приложение № 2 – Форма Акта сдачи-приемки выполненных работ;</w:t>
      </w:r>
    </w:p>
    <w:p>
      <w:pPr>
        <w:pStyle w:val="ListParagraph"/>
        <w:shd w:val="clear" w:color="auto" w:fill="FFFFFF"/>
        <w:ind w:left="0" w:hanging="0"/>
        <w:jc w:val="both"/>
        <w:rPr>
          <w:bCs/>
        </w:rPr>
      </w:pPr>
      <w:r>
        <w:rPr>
          <w:bCs/>
        </w:rPr>
        <w:t>Приложение № 3 – Смета;</w:t>
      </w:r>
    </w:p>
    <w:p>
      <w:pPr>
        <w:pStyle w:val="ListParagraph"/>
        <w:shd w:val="clear" w:color="auto" w:fill="FFFFFF"/>
        <w:ind w:left="0" w:hanging="0"/>
        <w:jc w:val="both"/>
        <w:rPr>
          <w:bCs/>
        </w:rPr>
      </w:pPr>
      <w:r>
        <w:rPr>
          <w:bCs/>
        </w:rPr>
        <w:t>Приложение № 4 – Форма Акта сда</w:t>
      </w:r>
      <w:bookmarkStart w:id="55" w:name="_GoBack"/>
      <w:bookmarkEnd w:id="55"/>
      <w:r>
        <w:rPr>
          <w:bCs/>
        </w:rPr>
        <w:t>чи-приемки технической и иной документации;</w:t>
      </w:r>
    </w:p>
    <w:p>
      <w:pPr>
        <w:pStyle w:val="ListParagraph"/>
        <w:shd w:val="clear" w:color="auto" w:fill="FFFFFF"/>
        <w:ind w:left="0" w:hanging="0"/>
        <w:jc w:val="both"/>
        <w:rPr>
          <w:bCs/>
        </w:rPr>
      </w:pPr>
      <w:r>
        <w:rPr>
          <w:bCs/>
        </w:rPr>
        <w:t xml:space="preserve">Приложение № 5 – Перечень допусков, разрешений и лицензий Субподрядчика; </w:t>
      </w:r>
    </w:p>
    <w:p>
      <w:pPr>
        <w:pStyle w:val="ListParagraph"/>
        <w:shd w:val="clear" w:color="auto" w:fill="FFFFFF"/>
        <w:ind w:left="0" w:hanging="0"/>
        <w:jc w:val="both"/>
        <w:rPr>
          <w:bCs/>
        </w:rPr>
      </w:pPr>
      <w:r>
        <w:rPr>
          <w:bCs/>
        </w:rPr>
        <w:t>Приложение № 6 – Размер ответственности Субподрядчика за нарушения пропускного и внутриобъектового режима, требований охраны труда, пожарной и промышленной безопасности;</w:t>
      </w:r>
    </w:p>
    <w:p>
      <w:pPr>
        <w:pStyle w:val="ListParagraph"/>
        <w:shd w:val="clear" w:color="auto" w:fill="FFFFFF"/>
        <w:ind w:left="0" w:hanging="0"/>
        <w:jc w:val="both"/>
        <w:rPr>
          <w:bCs/>
        </w:rPr>
      </w:pPr>
      <w:r>
        <w:rPr>
          <w:bCs/>
        </w:rPr>
      </w:r>
    </w:p>
    <w:p>
      <w:pPr>
        <w:pStyle w:val="ListParagraph"/>
        <w:numPr>
          <w:ilvl w:val="0"/>
          <w:numId w:val="3"/>
        </w:numPr>
        <w:shd w:val="clear" w:color="auto" w:fill="FFFFFF"/>
        <w:tabs>
          <w:tab w:val="clear" w:pos="709"/>
          <w:tab w:val="left" w:pos="426" w:leader="none"/>
        </w:tabs>
        <w:ind w:left="0" w:hanging="0"/>
        <w:jc w:val="center"/>
        <w:rPr>
          <w:b/>
          <w:b/>
          <w:bCs/>
        </w:rPr>
      </w:pPr>
      <w:bookmarkStart w:id="56" w:name="_Ref158829619"/>
      <w:r>
        <w:rPr>
          <w:b/>
          <w:bCs/>
        </w:rPr>
        <w:t>Адреса и платежные реквизиты Сторон</w:t>
      </w:r>
      <w:bookmarkEnd w:id="56"/>
    </w:p>
    <w:tbl>
      <w:tblPr>
        <w:tblW w:w="9639"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779"/>
        <w:gridCol w:w="149"/>
        <w:gridCol w:w="4630"/>
        <w:gridCol w:w="81"/>
      </w:tblGrid>
      <w:tr>
        <w:trPr/>
        <w:tc>
          <w:tcPr>
            <w:tcW w:w="4928" w:type="dxa"/>
            <w:gridSpan w:val="2"/>
            <w:tcBorders/>
          </w:tcPr>
          <w:p>
            <w:pPr>
              <w:pStyle w:val="Normal"/>
              <w:widowControl w:val="false"/>
              <w:spacing w:lineRule="auto" w:line="240"/>
              <w:ind w:hanging="0"/>
              <w:rPr>
                <w:sz w:val="24"/>
                <w:szCs w:val="24"/>
              </w:rPr>
            </w:pPr>
            <w:r>
              <w:rPr>
                <w:sz w:val="24"/>
                <w:szCs w:val="24"/>
              </w:rPr>
              <w:t>ГЕНПОДРЯДЧИК:</w:t>
            </w:r>
          </w:p>
        </w:tc>
        <w:tc>
          <w:tcPr>
            <w:tcW w:w="4711" w:type="dxa"/>
            <w:gridSpan w:val="2"/>
            <w:tcBorders/>
          </w:tcPr>
          <w:p>
            <w:pPr>
              <w:pStyle w:val="Normal"/>
              <w:widowControl w:val="false"/>
              <w:spacing w:lineRule="auto" w:line="240"/>
              <w:ind w:hanging="0"/>
              <w:rPr>
                <w:sz w:val="24"/>
                <w:szCs w:val="24"/>
              </w:rPr>
            </w:pPr>
            <w:r>
              <w:rPr>
                <w:sz w:val="24"/>
                <w:szCs w:val="24"/>
              </w:rPr>
              <w:t>СУБПОДРЯДЧИК:</w:t>
            </w:r>
          </w:p>
        </w:tc>
      </w:tr>
      <w:tr>
        <w:trPr/>
        <w:tc>
          <w:tcPr>
            <w:tcW w:w="4928" w:type="dxa"/>
            <w:gridSpan w:val="2"/>
            <w:tcBorders/>
            <w:shd w:color="auto" w:fill="auto" w:val="clear"/>
          </w:tcPr>
          <w:p>
            <w:pPr>
              <w:pStyle w:val="Normal"/>
              <w:widowControl w:val="false"/>
              <w:spacing w:lineRule="auto" w:line="240"/>
              <w:ind w:hanging="0"/>
              <w:jc w:val="left"/>
              <w:rPr>
                <w:b/>
                <w:b/>
                <w:sz w:val="24"/>
                <w:szCs w:val="24"/>
              </w:rPr>
            </w:pPr>
            <w:r>
              <w:rPr>
                <w:b/>
                <w:sz w:val="24"/>
                <w:szCs w:val="24"/>
              </w:rPr>
              <w:t>Акционерное общество</w:t>
            </w:r>
            <w:r>
              <w:rPr>
                <w:sz w:val="24"/>
                <w:szCs w:val="24"/>
              </w:rPr>
              <w:t xml:space="preserve"> «Всероссийский научно-исследовательский институт гидротехники имени Б.Е. Веденеева»</w:t>
            </w:r>
          </w:p>
          <w:p>
            <w:pPr>
              <w:pStyle w:val="Normal"/>
              <w:widowControl w:val="false"/>
              <w:ind w:right="-143" w:firstLine="34"/>
              <w:rPr>
                <w:sz w:val="24"/>
                <w:szCs w:val="24"/>
              </w:rPr>
            </w:pPr>
            <w:r>
              <w:rPr>
                <w:sz w:val="24"/>
                <w:szCs w:val="24"/>
              </w:rPr>
              <w:t>(АО «ВНИИГ им. Б.Е. Веденеева»)</w:t>
            </w:r>
          </w:p>
          <w:p>
            <w:pPr>
              <w:pStyle w:val="Normal"/>
              <w:widowControl w:val="false"/>
              <w:spacing w:lineRule="auto" w:line="240"/>
              <w:ind w:right="-143" w:firstLine="34"/>
              <w:rPr>
                <w:sz w:val="24"/>
                <w:szCs w:val="24"/>
              </w:rPr>
            </w:pPr>
            <w:r>
              <w:rPr>
                <w:sz w:val="24"/>
                <w:szCs w:val="24"/>
              </w:rPr>
              <w:t>195220, г. Санкт-Петербург,</w:t>
            </w:r>
          </w:p>
          <w:p>
            <w:pPr>
              <w:pStyle w:val="Normal"/>
              <w:widowControl w:val="false"/>
              <w:spacing w:lineRule="auto" w:line="240"/>
              <w:ind w:hanging="0"/>
              <w:jc w:val="left"/>
              <w:rPr>
                <w:sz w:val="24"/>
                <w:szCs w:val="24"/>
              </w:rPr>
            </w:pPr>
            <w:r>
              <w:rPr>
                <w:sz w:val="24"/>
                <w:szCs w:val="24"/>
              </w:rPr>
              <w:t>ул. Гжатская, д.21.</w:t>
            </w:r>
          </w:p>
          <w:p>
            <w:pPr>
              <w:pStyle w:val="Normal"/>
              <w:widowControl w:val="false"/>
              <w:spacing w:lineRule="auto" w:line="240"/>
              <w:ind w:hanging="0"/>
              <w:jc w:val="left"/>
              <w:rPr>
                <w:sz w:val="24"/>
                <w:szCs w:val="24"/>
              </w:rPr>
            </w:pPr>
            <w:r>
              <w:rPr>
                <w:sz w:val="24"/>
                <w:szCs w:val="24"/>
              </w:rPr>
              <w:t>ИНН 7804004400, КПП 780401001,</w:t>
            </w:r>
          </w:p>
          <w:p>
            <w:pPr>
              <w:pStyle w:val="Normal"/>
              <w:widowControl w:val="false"/>
              <w:spacing w:lineRule="auto" w:line="240"/>
              <w:ind w:right="-143" w:firstLine="34"/>
              <w:rPr>
                <w:sz w:val="24"/>
                <w:szCs w:val="24"/>
              </w:rPr>
            </w:pPr>
            <w:r>
              <w:rPr>
                <w:sz w:val="24"/>
                <w:szCs w:val="24"/>
              </w:rPr>
              <w:t>Код по ОКВЭД 72.19</w:t>
            </w:r>
          </w:p>
          <w:p>
            <w:pPr>
              <w:pStyle w:val="Normal"/>
              <w:widowControl w:val="false"/>
              <w:spacing w:lineRule="auto" w:line="240"/>
              <w:ind w:right="-143" w:firstLine="34"/>
              <w:rPr>
                <w:sz w:val="24"/>
                <w:szCs w:val="24"/>
              </w:rPr>
            </w:pPr>
            <w:r>
              <w:rPr>
                <w:sz w:val="24"/>
                <w:szCs w:val="24"/>
              </w:rPr>
              <w:t>ОГРН 1027802483400</w:t>
            </w:r>
          </w:p>
          <w:p>
            <w:pPr>
              <w:pStyle w:val="Normal"/>
              <w:widowControl w:val="false"/>
              <w:spacing w:lineRule="auto" w:line="240"/>
              <w:ind w:hanging="0"/>
              <w:jc w:val="left"/>
              <w:rPr>
                <w:sz w:val="24"/>
                <w:szCs w:val="24"/>
              </w:rPr>
            </w:pPr>
            <w:r>
              <w:rPr>
                <w:sz w:val="24"/>
                <w:szCs w:val="24"/>
              </w:rPr>
              <w:t>Реквизиты банка:</w:t>
            </w:r>
          </w:p>
          <w:p>
            <w:pPr>
              <w:pStyle w:val="Normal"/>
              <w:widowControl w:val="false"/>
              <w:spacing w:lineRule="auto" w:line="240"/>
              <w:ind w:right="-143" w:firstLine="34"/>
              <w:rPr>
                <w:sz w:val="24"/>
                <w:szCs w:val="24"/>
              </w:rPr>
            </w:pPr>
            <w:r>
              <w:rPr>
                <w:sz w:val="24"/>
                <w:szCs w:val="24"/>
              </w:rPr>
              <w:t>Северо-Западный банк</w:t>
            </w:r>
          </w:p>
          <w:p>
            <w:pPr>
              <w:pStyle w:val="Normal"/>
              <w:widowControl w:val="false"/>
              <w:spacing w:lineRule="auto" w:line="240"/>
              <w:ind w:right="-143" w:firstLine="34"/>
              <w:rPr>
                <w:sz w:val="24"/>
                <w:szCs w:val="24"/>
              </w:rPr>
            </w:pPr>
            <w:r>
              <w:rPr>
                <w:sz w:val="24"/>
                <w:szCs w:val="24"/>
              </w:rPr>
              <w:t>ПАО Сбербанк</w:t>
            </w:r>
          </w:p>
          <w:p>
            <w:pPr>
              <w:pStyle w:val="Normal"/>
              <w:widowControl w:val="false"/>
              <w:spacing w:lineRule="auto" w:line="240"/>
              <w:ind w:right="-143" w:firstLine="34"/>
              <w:rPr>
                <w:sz w:val="24"/>
                <w:szCs w:val="24"/>
              </w:rPr>
            </w:pPr>
            <w:r>
              <w:rPr>
                <w:sz w:val="24"/>
                <w:szCs w:val="24"/>
              </w:rPr>
              <w:t>г. Санкт-Петербург</w:t>
            </w:r>
          </w:p>
          <w:p>
            <w:pPr>
              <w:pStyle w:val="Normal"/>
              <w:widowControl w:val="false"/>
              <w:spacing w:lineRule="auto" w:line="240"/>
              <w:ind w:right="-143" w:firstLine="34"/>
              <w:rPr>
                <w:sz w:val="24"/>
                <w:szCs w:val="24"/>
              </w:rPr>
            </w:pPr>
            <w:r>
              <w:rPr>
                <w:sz w:val="24"/>
                <w:szCs w:val="24"/>
              </w:rPr>
              <w:t>р/с 40702810255080111494</w:t>
            </w:r>
          </w:p>
          <w:p>
            <w:pPr>
              <w:pStyle w:val="Normal"/>
              <w:widowControl w:val="false"/>
              <w:spacing w:lineRule="auto" w:line="240"/>
              <w:ind w:right="-143" w:firstLine="34"/>
              <w:rPr>
                <w:sz w:val="24"/>
                <w:szCs w:val="24"/>
              </w:rPr>
            </w:pPr>
            <w:r>
              <w:rPr>
                <w:sz w:val="24"/>
                <w:szCs w:val="24"/>
              </w:rPr>
              <w:t>к/с 30101810500000000653</w:t>
            </w:r>
          </w:p>
          <w:p>
            <w:pPr>
              <w:pStyle w:val="Normal"/>
              <w:widowControl w:val="false"/>
              <w:spacing w:lineRule="auto" w:line="240"/>
              <w:ind w:hanging="0"/>
              <w:jc w:val="left"/>
              <w:rPr>
                <w:sz w:val="24"/>
                <w:szCs w:val="24"/>
              </w:rPr>
            </w:pPr>
            <w:r>
              <w:rPr>
                <w:sz w:val="24"/>
                <w:szCs w:val="24"/>
              </w:rPr>
              <w:t>БИК      044030653</w:t>
            </w:r>
          </w:p>
        </w:tc>
        <w:tc>
          <w:tcPr>
            <w:tcW w:w="4711" w:type="dxa"/>
            <w:gridSpan w:val="2"/>
            <w:tcBorders/>
            <w:shd w:color="auto" w:fill="auto" w:val="clear"/>
          </w:tcPr>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tc>
      </w:tr>
      <w:tr>
        <w:trPr/>
        <w:tc>
          <w:tcPr>
            <w:tcW w:w="4779" w:type="dxa"/>
            <w:tcBorders/>
          </w:tcPr>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t>_______________ / _______________</w:t>
            </w:r>
          </w:p>
          <w:p>
            <w:pPr>
              <w:pStyle w:val="Normal"/>
              <w:widowControl w:val="false"/>
              <w:spacing w:lineRule="auto" w:line="240"/>
              <w:ind w:hanging="0"/>
              <w:jc w:val="left"/>
              <w:rPr>
                <w:sz w:val="24"/>
                <w:szCs w:val="24"/>
              </w:rPr>
            </w:pPr>
            <w:r>
              <w:rPr>
                <w:sz w:val="24"/>
                <w:szCs w:val="24"/>
              </w:rPr>
            </w:r>
          </w:p>
        </w:tc>
        <w:tc>
          <w:tcPr>
            <w:tcW w:w="4779" w:type="dxa"/>
            <w:gridSpan w:val="2"/>
            <w:tcBorders/>
          </w:tcPr>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t>_______________ / _______________</w:t>
            </w:r>
          </w:p>
          <w:p>
            <w:pPr>
              <w:pStyle w:val="Normal"/>
              <w:widowControl w:val="false"/>
              <w:spacing w:lineRule="auto" w:line="240"/>
              <w:ind w:hanging="0"/>
              <w:jc w:val="left"/>
              <w:rPr>
                <w:sz w:val="24"/>
                <w:szCs w:val="24"/>
              </w:rPr>
            </w:pPr>
            <w:r>
              <w:rPr>
                <w:sz w:val="24"/>
                <w:szCs w:val="24"/>
              </w:rPr>
            </w:r>
          </w:p>
        </w:tc>
        <w:tc>
          <w:tcPr>
            <w:tcW w:w="81" w:type="dxa"/>
            <w:tcBorders/>
          </w:tcPr>
          <w:p>
            <w:pPr>
              <w:pStyle w:val="Normal"/>
              <w:widowControl w:val="false"/>
              <w:rPr/>
            </w:pPr>
            <w:r>
              <w:rPr/>
            </w:r>
          </w:p>
        </w:tc>
      </w:tr>
    </w:tbl>
    <w:p>
      <w:pPr>
        <w:sectPr>
          <w:headerReference w:type="default" r:id="rId5"/>
          <w:footerReference w:type="default" r:id="rId6"/>
          <w:footnotePr>
            <w:numFmt w:val="decimal"/>
          </w:footnotePr>
          <w:type w:val="nextPage"/>
          <w:pgSz w:w="11906" w:h="16838"/>
          <w:pgMar w:left="1418" w:right="851" w:header="142" w:top="685" w:footer="361" w:bottom="851" w:gutter="0"/>
          <w:pgNumType w:fmt="decimal"/>
          <w:formProt w:val="false"/>
          <w:titlePg/>
          <w:textDirection w:val="lrTb"/>
          <w:docGrid w:type="default" w:linePitch="360" w:charSpace="0"/>
        </w:sectPr>
      </w:pPr>
    </w:p>
    <w:p>
      <w:pPr>
        <w:pStyle w:val="Normal"/>
        <w:shd w:val="clear" w:color="auto" w:fill="FFFFFF"/>
        <w:tabs>
          <w:tab w:val="clear" w:pos="709"/>
          <w:tab w:val="left" w:pos="3148" w:leader="none"/>
          <w:tab w:val="center" w:pos="4818" w:leader="none"/>
          <w:tab w:val="left" w:pos="6926" w:leader="none"/>
        </w:tabs>
        <w:spacing w:lineRule="auto" w:line="240"/>
        <w:ind w:hanging="0"/>
        <w:jc w:val="right"/>
        <w:rPr>
          <w:sz w:val="22"/>
          <w:szCs w:val="22"/>
        </w:rPr>
      </w:pPr>
      <w:r>
        <w:rPr>
          <w:sz w:val="22"/>
          <w:szCs w:val="22"/>
        </w:rPr>
        <w:t>Приложение № 1</w:t>
      </w:r>
    </w:p>
    <w:p>
      <w:pPr>
        <w:pStyle w:val="Normal"/>
        <w:spacing w:lineRule="auto" w:line="240"/>
        <w:ind w:left="4820" w:hanging="0"/>
        <w:jc w:val="right"/>
        <w:rPr>
          <w:sz w:val="22"/>
          <w:szCs w:val="22"/>
        </w:rPr>
      </w:pPr>
      <w:r>
        <w:rPr>
          <w:sz w:val="22"/>
          <w:szCs w:val="22"/>
        </w:rPr>
        <w:t>к Договору подряда</w:t>
      </w:r>
    </w:p>
    <w:p>
      <w:pPr>
        <w:pStyle w:val="Normal"/>
        <w:spacing w:lineRule="auto" w:line="240"/>
        <w:ind w:left="4820" w:hanging="0"/>
        <w:jc w:val="right"/>
        <w:rPr>
          <w:sz w:val="22"/>
          <w:szCs w:val="22"/>
        </w:rPr>
      </w:pPr>
      <w:r>
        <w:rPr>
          <w:sz w:val="22"/>
          <w:szCs w:val="22"/>
        </w:rPr>
        <w:t>от «____» __________ 20</w:t>
      </w:r>
      <w:r>
        <w:rPr>
          <w:sz w:val="22"/>
          <w:szCs w:val="22"/>
        </w:rPr>
        <w:t>26</w:t>
      </w:r>
      <w:r>
        <w:rPr>
          <w:sz w:val="22"/>
          <w:szCs w:val="22"/>
        </w:rPr>
        <w:t>г. № ________</w:t>
      </w:r>
    </w:p>
    <w:p>
      <w:pPr>
        <w:pStyle w:val="Normal"/>
        <w:spacing w:lineRule="auto" w:line="240"/>
        <w:ind w:left="1416" w:hanging="0"/>
        <w:jc w:val="right"/>
        <w:rPr>
          <w:b/>
          <w:b/>
          <w:sz w:val="24"/>
          <w:szCs w:val="24"/>
        </w:rPr>
      </w:pPr>
      <w:r>
        <w:rPr>
          <w:b/>
          <w:sz w:val="24"/>
          <w:szCs w:val="24"/>
        </w:rPr>
      </w:r>
    </w:p>
    <w:p>
      <w:pPr>
        <w:pStyle w:val="Normal"/>
        <w:spacing w:before="0" w:after="0"/>
        <w:ind w:firstLine="709"/>
        <w:contextualSpacing/>
        <w:jc w:val="right"/>
        <w:rPr/>
      </w:pPr>
      <w:r>
        <w:rPr/>
      </w:r>
      <w:bookmarkStart w:id="57" w:name="_Toc517582612"/>
      <w:bookmarkStart w:id="58" w:name="_Toc517582288"/>
      <w:bookmarkStart w:id="59" w:name="_Toc517582612"/>
      <w:bookmarkStart w:id="60" w:name="_Toc517582288"/>
      <w:bookmarkEnd w:id="59"/>
      <w:bookmarkEnd w:id="60"/>
    </w:p>
    <w:tbl>
      <w:tblPr>
        <w:tblW w:w="9570" w:type="dxa"/>
        <w:jc w:val="center"/>
        <w:tblInd w:w="0" w:type="dxa"/>
        <w:tblLayout w:type="fixed"/>
        <w:tblCellMar>
          <w:top w:w="0" w:type="dxa"/>
          <w:left w:w="108" w:type="dxa"/>
          <w:bottom w:w="0" w:type="dxa"/>
          <w:right w:w="108" w:type="dxa"/>
        </w:tblCellMar>
        <w:tblLook w:val="01e0" w:noHBand="0" w:noVBand="0" w:firstColumn="1" w:lastRow="1" w:lastColumn="1" w:firstRow="1"/>
      </w:tblPr>
      <w:tblGrid>
        <w:gridCol w:w="4869"/>
        <w:gridCol w:w="4700"/>
      </w:tblGrid>
      <w:tr>
        <w:trPr/>
        <w:tc>
          <w:tcPr>
            <w:tcW w:w="4869" w:type="dxa"/>
            <w:tcBorders/>
          </w:tcPr>
          <w:p>
            <w:pPr>
              <w:pStyle w:val="Normal"/>
              <w:widowControl w:val="false"/>
              <w:tabs>
                <w:tab w:val="clear" w:pos="709"/>
                <w:tab w:val="left" w:pos="9214" w:leader="none"/>
              </w:tabs>
              <w:spacing w:lineRule="auto" w:line="240"/>
              <w:ind w:hanging="0"/>
              <w:rPr>
                <w:b/>
                <w:b/>
                <w:sz w:val="24"/>
                <w:szCs w:val="24"/>
              </w:rPr>
            </w:pPr>
            <w:r>
              <w:rPr>
                <w:b/>
                <w:sz w:val="24"/>
                <w:szCs w:val="24"/>
              </w:rPr>
              <w:t>СОГЛАСОВАНО:</w:t>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___________________</w:t>
            </w:r>
          </w:p>
          <w:p>
            <w:pPr>
              <w:pStyle w:val="Normal"/>
              <w:widowControl w:val="false"/>
              <w:spacing w:lineRule="auto" w:line="240"/>
              <w:ind w:hanging="0"/>
              <w:rPr>
                <w:sz w:val="24"/>
                <w:szCs w:val="24"/>
              </w:rPr>
            </w:pPr>
            <w:r>
              <w:rPr>
                <w:sz w:val="24"/>
                <w:szCs w:val="24"/>
              </w:rPr>
              <w:t xml:space="preserve"> </w:t>
            </w:r>
            <w:r>
              <w:rPr>
                <w:sz w:val="24"/>
                <w:szCs w:val="24"/>
              </w:rPr>
              <w:t>«___» _____________2026</w:t>
            </w:r>
            <w:r>
              <w:rPr>
                <w:sz w:val="24"/>
                <w:szCs w:val="24"/>
                <w:lang w:val="en-US"/>
              </w:rPr>
              <w:t> </w:t>
            </w:r>
            <w:r>
              <w:rPr>
                <w:sz w:val="24"/>
                <w:szCs w:val="24"/>
              </w:rPr>
              <w:t>г.</w:t>
            </w:r>
          </w:p>
          <w:p>
            <w:pPr>
              <w:pStyle w:val="Normal"/>
              <w:widowControl w:val="false"/>
              <w:tabs>
                <w:tab w:val="clear" w:pos="709"/>
                <w:tab w:val="left" w:pos="9214" w:leader="none"/>
              </w:tabs>
              <w:spacing w:lineRule="auto" w:line="240"/>
              <w:ind w:hanging="0"/>
              <w:rPr>
                <w:sz w:val="24"/>
                <w:szCs w:val="24"/>
              </w:rPr>
            </w:pPr>
            <w:r>
              <w:rPr>
                <w:sz w:val="24"/>
                <w:szCs w:val="24"/>
              </w:rPr>
            </w:r>
          </w:p>
        </w:tc>
        <w:tc>
          <w:tcPr>
            <w:tcW w:w="4700" w:type="dxa"/>
            <w:tcBorders/>
          </w:tcPr>
          <w:p>
            <w:pPr>
              <w:pStyle w:val="Normal"/>
              <w:widowControl w:val="false"/>
              <w:shd w:val="clear" w:color="auto" w:fill="FFFFFF"/>
              <w:spacing w:lineRule="auto" w:line="240"/>
              <w:ind w:hanging="0"/>
              <w:rPr>
                <w:b/>
                <w:b/>
                <w:sz w:val="24"/>
                <w:szCs w:val="24"/>
              </w:rPr>
            </w:pPr>
            <w:r>
              <w:rPr>
                <w:b/>
                <w:caps/>
                <w:sz w:val="24"/>
                <w:szCs w:val="24"/>
              </w:rPr>
              <w:t>утверждаю</w:t>
            </w:r>
            <w:r>
              <w:rPr>
                <w:b/>
                <w:sz w:val="24"/>
                <w:szCs w:val="24"/>
              </w:rPr>
              <w:t>:</w:t>
            </w:r>
          </w:p>
          <w:p>
            <w:pPr>
              <w:pStyle w:val="Normal"/>
              <w:widowControl w:val="false"/>
              <w:shd w:val="clear" w:color="auto" w:fill="FFFFFF"/>
              <w:spacing w:lineRule="auto" w:line="240"/>
              <w:ind w:hanging="0"/>
              <w:rPr>
                <w:sz w:val="24"/>
                <w:szCs w:val="24"/>
                <w:lang w:eastAsia="ar-SA"/>
              </w:rPr>
            </w:pPr>
            <w:r>
              <w:rPr>
                <w:sz w:val="24"/>
                <w:szCs w:val="24"/>
                <w:lang w:eastAsia="ar-SA"/>
              </w:rPr>
            </w:r>
          </w:p>
          <w:p>
            <w:pPr>
              <w:pStyle w:val="Normal"/>
              <w:widowControl w:val="false"/>
              <w:tabs>
                <w:tab w:val="clear" w:pos="709"/>
                <w:tab w:val="left" w:pos="9214" w:leader="none"/>
              </w:tabs>
              <w:spacing w:lineRule="auto" w:line="240"/>
              <w:ind w:hanging="0"/>
              <w:rPr>
                <w:sz w:val="24"/>
                <w:szCs w:val="24"/>
                <w:lang w:eastAsia="ar-SA"/>
              </w:rPr>
            </w:pPr>
            <w:r>
              <w:rPr>
                <w:sz w:val="24"/>
                <w:szCs w:val="24"/>
              </w:rPr>
              <w:t>__________________</w:t>
            </w:r>
          </w:p>
          <w:p>
            <w:pPr>
              <w:pStyle w:val="Normal"/>
              <w:widowControl w:val="false"/>
              <w:tabs>
                <w:tab w:val="clear" w:pos="709"/>
                <w:tab w:val="left" w:pos="9214" w:leader="none"/>
              </w:tabs>
              <w:spacing w:lineRule="auto" w:line="240"/>
              <w:ind w:hanging="0"/>
              <w:rPr>
                <w:sz w:val="24"/>
                <w:szCs w:val="24"/>
              </w:rPr>
            </w:pPr>
            <w:r>
              <w:rPr>
                <w:sz w:val="24"/>
                <w:szCs w:val="24"/>
                <w:lang w:eastAsia="ar-SA"/>
              </w:rPr>
              <w:t>«___» _____________ 2026</w:t>
            </w:r>
            <w:r>
              <w:rPr>
                <w:sz w:val="24"/>
                <w:szCs w:val="24"/>
                <w:lang w:val="en-US" w:eastAsia="ar-SA"/>
              </w:rPr>
              <w:t> </w:t>
            </w:r>
            <w:r>
              <w:rPr>
                <w:sz w:val="24"/>
                <w:szCs w:val="24"/>
                <w:lang w:eastAsia="ar-SA"/>
              </w:rPr>
              <w:t>г.</w:t>
            </w:r>
          </w:p>
          <w:p>
            <w:pPr>
              <w:pStyle w:val="Normal"/>
              <w:widowControl w:val="false"/>
              <w:shd w:val="clear" w:color="auto" w:fill="FFFFFF"/>
              <w:spacing w:lineRule="auto" w:line="240"/>
              <w:ind w:hanging="0"/>
              <w:rPr>
                <w:sz w:val="24"/>
                <w:szCs w:val="24"/>
              </w:rPr>
            </w:pPr>
            <w:r>
              <w:rPr>
                <w:sz w:val="24"/>
                <w:szCs w:val="24"/>
              </w:rPr>
            </w:r>
          </w:p>
        </w:tc>
      </w:tr>
    </w:tbl>
    <w:p>
      <w:pPr>
        <w:pStyle w:val="Normal"/>
        <w:keepNext w:val="true"/>
        <w:numPr>
          <w:ilvl w:val="0"/>
          <w:numId w:val="0"/>
        </w:numPr>
        <w:spacing w:lineRule="auto" w:line="240" w:before="360" w:after="0"/>
        <w:ind w:left="0" w:firstLine="567"/>
        <w:jc w:val="center"/>
        <w:outlineLvl w:val="1"/>
        <w:rPr>
          <w:b/>
          <w:b/>
          <w:bCs/>
          <w:iCs/>
          <w:sz w:val="24"/>
          <w:szCs w:val="24"/>
        </w:rPr>
      </w:pPr>
      <w:r>
        <w:rPr>
          <w:b/>
          <w:bCs/>
          <w:iCs/>
          <w:sz w:val="24"/>
          <w:szCs w:val="24"/>
        </w:rPr>
        <w:t>ТЕХНИЧЕСКОЕ ЗАДАНИЕ</w:t>
      </w:r>
    </w:p>
    <w:p>
      <w:pPr>
        <w:sectPr>
          <w:headerReference w:type="default" r:id="rId7"/>
          <w:footerReference w:type="default" r:id="rId8"/>
          <w:footnotePr>
            <w:numFmt w:val="decimal"/>
          </w:footnotePr>
          <w:type w:val="nextPage"/>
          <w:pgSz w:w="11906" w:h="16838"/>
          <w:pgMar w:left="1418" w:right="851" w:header="567" w:top="1134" w:footer="284" w:bottom="1134" w:gutter="0"/>
          <w:pgNumType w:fmt="decimal"/>
          <w:formProt w:val="false"/>
          <w:textDirection w:val="lrTb"/>
          <w:docGrid w:type="default" w:linePitch="360" w:charSpace="0"/>
        </w:sectPr>
        <w:pStyle w:val="ListParagraph"/>
        <w:widowControl w:val="false"/>
        <w:numPr>
          <w:ilvl w:val="0"/>
          <w:numId w:val="0"/>
        </w:numPr>
        <w:shd w:val="clear" w:color="auto" w:fill="FFFFFF"/>
        <w:tabs>
          <w:tab w:val="clear" w:pos="709"/>
          <w:tab w:val="left" w:pos="1134" w:leader="none"/>
        </w:tabs>
        <w:spacing w:lineRule="auto" w:line="240" w:before="360" w:after="0"/>
        <w:ind w:left="0" w:firstLine="567"/>
        <w:jc w:val="center"/>
        <w:outlineLvl w:val="1"/>
        <w:rPr>
          <w:bCs/>
        </w:rPr>
      </w:pPr>
      <w:r>
        <w:rPr>
          <w:rFonts w:eastAsia="Calibri"/>
          <w:b/>
          <w:bCs/>
          <w:iCs/>
          <w:color w:val="000000"/>
          <w:kern w:val="0"/>
          <w:sz w:val="24"/>
          <w:szCs w:val="24"/>
          <w:shd w:fill="auto" w:val="clear"/>
          <w:lang w:val="ru-RU" w:eastAsia="en-US" w:bidi="ar-SA"/>
        </w:rPr>
        <w:t>Разработка специализированных разделов рабочей документации (СС, ОВиК) по объекту: «Модернизация химводоочистки технологического оборудования Владивостокской ТЭЦ-2</w:t>
      </w:r>
      <w:bookmarkStart w:id="61" w:name="_Toc5175826121"/>
      <w:bookmarkStart w:id="62" w:name="_Toc5175822881"/>
    </w:p>
    <w:p>
      <w:pPr>
        <w:pStyle w:val="Normal"/>
        <w:spacing w:lineRule="auto" w:line="240"/>
        <w:ind w:left="5103" w:hanging="0"/>
        <w:rPr>
          <w:sz w:val="22"/>
          <w:szCs w:val="22"/>
        </w:rPr>
      </w:pPr>
      <w:bookmarkEnd w:id="61"/>
      <w:bookmarkEnd w:id="62"/>
      <w:r>
        <w:rPr>
          <w:sz w:val="22"/>
          <w:szCs w:val="22"/>
        </w:rPr>
        <w:t>Приложение № 2</w:t>
      </w:r>
    </w:p>
    <w:p>
      <w:pPr>
        <w:pStyle w:val="Normal"/>
        <w:spacing w:lineRule="auto" w:line="240"/>
        <w:ind w:left="5103" w:hanging="0"/>
        <w:rPr>
          <w:sz w:val="22"/>
          <w:szCs w:val="22"/>
        </w:rPr>
      </w:pPr>
      <w:r>
        <w:rPr>
          <w:sz w:val="22"/>
          <w:szCs w:val="22"/>
        </w:rPr>
        <w:t>к Договору подряда</w:t>
      </w:r>
    </w:p>
    <w:p>
      <w:pPr>
        <w:pStyle w:val="Normal"/>
        <w:spacing w:lineRule="auto" w:line="240"/>
        <w:ind w:left="5103" w:hanging="0"/>
        <w:rPr>
          <w:sz w:val="22"/>
          <w:szCs w:val="22"/>
        </w:rPr>
      </w:pPr>
      <w:r>
        <w:rPr>
          <w:sz w:val="22"/>
          <w:szCs w:val="22"/>
        </w:rPr>
        <w:t>от «____» __________ 20</w:t>
      </w:r>
      <w:r>
        <w:rPr>
          <w:sz w:val="22"/>
          <w:szCs w:val="22"/>
        </w:rPr>
        <w:t>26</w:t>
      </w:r>
      <w:r>
        <w:rPr>
          <w:sz w:val="22"/>
          <w:szCs w:val="22"/>
        </w:rPr>
        <w:t xml:space="preserve"> г. № ________</w:t>
      </w:r>
    </w:p>
    <w:p>
      <w:pPr>
        <w:pStyle w:val="Normal"/>
        <w:spacing w:lineRule="auto" w:line="240"/>
        <w:rPr>
          <w:sz w:val="22"/>
          <w:szCs w:val="22"/>
        </w:rPr>
      </w:pPr>
      <w:r>
        <w:rPr>
          <w:sz w:val="22"/>
          <w:szCs w:val="22"/>
        </w:rPr>
      </w:r>
    </w:p>
    <w:p>
      <w:pPr>
        <w:pStyle w:val="Normal"/>
        <w:shd w:val="clear" w:color="auto" w:fill="FFFFFF"/>
        <w:spacing w:lineRule="auto" w:line="240"/>
        <w:jc w:val="center"/>
        <w:rPr>
          <w:b/>
          <w:b/>
          <w:bCs/>
          <w:szCs w:val="24"/>
        </w:rPr>
      </w:pPr>
      <w:r>
        <w:rPr>
          <w:b/>
          <w:bCs/>
          <w:sz w:val="24"/>
          <w:szCs w:val="24"/>
          <w:shd w:fill="auto" w:val="clear"/>
        </w:rPr>
        <w:t>Акт сдачи-приемки выполненных работ (форма))</w:t>
      </w:r>
      <w:r>
        <w:rPr>
          <w:rStyle w:val="Style6"/>
          <w:b/>
          <w:bCs/>
          <w:sz w:val="24"/>
          <w:szCs w:val="24"/>
          <w:shd w:fill="auto" w:val="clear"/>
        </w:rPr>
        <w:footnoteReference w:id="6"/>
      </w:r>
    </w:p>
    <w:p>
      <w:pPr>
        <w:pStyle w:val="Normal"/>
        <w:shd w:val="clear" w:color="auto" w:fill="FFFFFF"/>
        <w:spacing w:lineRule="auto" w:line="240"/>
        <w:jc w:val="center"/>
        <w:rPr>
          <w:b/>
          <w:b/>
          <w:bCs/>
          <w:szCs w:val="24"/>
        </w:rPr>
      </w:pPr>
      <w:r>
        <w:rPr>
          <w:b/>
          <w:bCs/>
          <w:szCs w:val="24"/>
        </w:rPr>
      </w:r>
    </w:p>
    <w:tbl>
      <w:tblPr>
        <w:tblW w:w="10070" w:type="dxa"/>
        <w:jc w:val="left"/>
        <w:tblInd w:w="-98" w:type="dxa"/>
        <w:tblLayout w:type="fixed"/>
        <w:tblCellMar>
          <w:top w:w="0" w:type="dxa"/>
          <w:left w:w="10" w:type="dxa"/>
          <w:bottom w:w="0" w:type="dxa"/>
          <w:right w:w="10" w:type="dxa"/>
        </w:tblCellMar>
        <w:tblLook w:val="04a0" w:noHBand="0" w:noVBand="1" w:firstColumn="1" w:lastRow="0" w:lastColumn="0" w:firstRow="1"/>
      </w:tblPr>
      <w:tblGrid>
        <w:gridCol w:w="26"/>
        <w:gridCol w:w="10043"/>
      </w:tblGrid>
      <w:tr>
        <w:trPr/>
        <w:tc>
          <w:tcPr>
            <w:tcW w:w="26"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center"/>
              <w:rPr>
                <w:b/>
                <w:b/>
                <w:bCs/>
                <w:szCs w:val="24"/>
              </w:rPr>
            </w:pPr>
            <w:r>
              <w:rPr>
                <w:b/>
                <w:bCs/>
                <w:szCs w:val="24"/>
              </w:rPr>
            </w:r>
          </w:p>
        </w:tc>
        <w:tc>
          <w:tcPr>
            <w:tcW w:w="10043" w:type="dxa"/>
            <w:tcBorders>
              <w:top w:val="single" w:sz="8" w:space="0" w:color="000000"/>
              <w:left w:val="single" w:sz="8" w:space="0" w:color="000000"/>
              <w:bottom w:val="single" w:sz="8" w:space="0" w:color="000000"/>
              <w:right w:val="single" w:sz="8" w:space="0" w:color="000000"/>
            </w:tcBorders>
            <w:tcMar>
              <w:left w:w="108" w:type="dxa"/>
              <w:right w:w="108" w:type="dxa"/>
            </w:tcMar>
          </w:tcPr>
          <w:p>
            <w:pPr>
              <w:pStyle w:val="Normal"/>
              <w:widowControl w:val="false"/>
              <w:spacing w:lineRule="auto" w:line="240"/>
              <w:jc w:val="center"/>
              <w:rPr>
                <w:b/>
                <w:b/>
                <w:bCs/>
                <w:szCs w:val="24"/>
              </w:rPr>
            </w:pPr>
            <w:r>
              <w:rPr>
                <w:b/>
                <w:bCs/>
                <w:szCs w:val="24"/>
              </w:rPr>
            </w:r>
          </w:p>
          <w:p>
            <w:pPr>
              <w:pStyle w:val="Normal"/>
              <w:widowControl w:val="false"/>
              <w:spacing w:lineRule="auto" w:line="240"/>
              <w:jc w:val="center"/>
              <w:rPr>
                <w:b/>
                <w:b/>
                <w:bCs/>
                <w:sz w:val="20"/>
                <w:szCs w:val="20"/>
              </w:rPr>
            </w:pPr>
            <w:r>
              <w:rPr>
                <w:b/>
                <w:bCs/>
                <w:sz w:val="20"/>
                <w:szCs w:val="20"/>
              </w:rPr>
              <w:t>АКТ СДАЧИ-ПРИЕМКИ ВЫПОЛНЕННЫХ РАБОТ №  _________</w:t>
            </w:r>
          </w:p>
          <w:tbl>
            <w:tblPr>
              <w:tblW w:w="9735" w:type="dxa"/>
              <w:jc w:val="left"/>
              <w:tblInd w:w="0" w:type="dxa"/>
              <w:tblLayout w:type="fixed"/>
              <w:tblCellMar>
                <w:top w:w="15" w:type="dxa"/>
                <w:left w:w="15" w:type="dxa"/>
                <w:bottom w:w="0" w:type="dxa"/>
                <w:right w:w="15" w:type="dxa"/>
              </w:tblCellMar>
              <w:tblLook w:val="04a0" w:noHBand="0" w:noVBand="1" w:firstColumn="1" w:lastRow="0" w:lastColumn="0" w:firstRow="1"/>
            </w:tblPr>
            <w:tblGrid>
              <w:gridCol w:w="1216"/>
              <w:gridCol w:w="2591"/>
              <w:gridCol w:w="1262"/>
              <w:gridCol w:w="220"/>
              <w:gridCol w:w="588"/>
              <w:gridCol w:w="1404"/>
              <w:gridCol w:w="6"/>
              <w:gridCol w:w="1335"/>
              <w:gridCol w:w="1111"/>
            </w:tblGrid>
            <w:tr>
              <w:trPr>
                <w:trHeight w:val="255" w:hRule="atLeast"/>
              </w:trPr>
              <w:tc>
                <w:tcPr>
                  <w:tcW w:w="9733" w:type="dxa"/>
                  <w:gridSpan w:val="9"/>
                  <w:tcBorders/>
                  <w:vAlign w:val="bottom"/>
                </w:tcPr>
                <w:p>
                  <w:pPr>
                    <w:pStyle w:val="Normal"/>
                    <w:widowControl w:val="false"/>
                    <w:spacing w:lineRule="auto" w:line="240"/>
                    <w:rPr>
                      <w:sz w:val="20"/>
                      <w:szCs w:val="20"/>
                    </w:rPr>
                  </w:pPr>
                  <w:r>
                    <w:rPr>
                      <w:sz w:val="20"/>
                      <w:szCs w:val="20"/>
                    </w:rPr>
                  </w:r>
                </w:p>
                <w:p>
                  <w:pPr>
                    <w:pStyle w:val="Normal"/>
                    <w:widowControl w:val="false"/>
                    <w:spacing w:lineRule="auto" w:line="240"/>
                    <w:rPr>
                      <w:sz w:val="20"/>
                      <w:szCs w:val="20"/>
                    </w:rPr>
                  </w:pPr>
                  <w:r>
                    <w:rPr>
                      <w:sz w:val="20"/>
                      <w:szCs w:val="20"/>
                    </w:rPr>
                    <w:t>г.___________                                                                                                             «_____» _________20_г.</w:t>
                  </w:r>
                </w:p>
                <w:tbl>
                  <w:tblPr>
                    <w:tblW w:w="9590" w:type="dxa"/>
                    <w:jc w:val="left"/>
                    <w:tblInd w:w="0" w:type="dxa"/>
                    <w:tblLayout w:type="fixed"/>
                    <w:tblCellMar>
                      <w:top w:w="15" w:type="dxa"/>
                      <w:left w:w="15" w:type="dxa"/>
                      <w:bottom w:w="0" w:type="dxa"/>
                      <w:right w:w="15" w:type="dxa"/>
                    </w:tblCellMar>
                    <w:tblLook w:val="04a0" w:noHBand="0" w:noVBand="1" w:firstColumn="1" w:lastRow="0" w:lastColumn="0" w:firstRow="1"/>
                  </w:tblPr>
                  <w:tblGrid>
                    <w:gridCol w:w="1442"/>
                    <w:gridCol w:w="8077"/>
                    <w:gridCol w:w="71"/>
                  </w:tblGrid>
                  <w:tr>
                    <w:trPr>
                      <w:trHeight w:val="255" w:hRule="atLeast"/>
                    </w:trPr>
                    <w:tc>
                      <w:tcPr>
                        <w:tcW w:w="1442" w:type="dxa"/>
                        <w:tcBorders/>
                        <w:vAlign w:val="bottom"/>
                      </w:tcPr>
                      <w:p>
                        <w:pPr>
                          <w:pStyle w:val="Normal"/>
                          <w:widowControl w:val="false"/>
                          <w:spacing w:lineRule="auto" w:line="240"/>
                          <w:ind w:hanging="0"/>
                          <w:jc w:val="left"/>
                          <w:rPr>
                            <w:sz w:val="22"/>
                            <w:szCs w:val="22"/>
                          </w:rPr>
                        </w:pPr>
                        <w:r>
                          <w:rPr>
                            <w:sz w:val="22"/>
                            <w:szCs w:val="22"/>
                          </w:rPr>
                        </w:r>
                      </w:p>
                      <w:p>
                        <w:pPr>
                          <w:pStyle w:val="Normal"/>
                          <w:widowControl w:val="false"/>
                          <w:spacing w:lineRule="auto" w:line="240"/>
                          <w:ind w:hanging="0"/>
                          <w:jc w:val="left"/>
                          <w:rPr>
                            <w:sz w:val="22"/>
                            <w:szCs w:val="22"/>
                          </w:rPr>
                        </w:pPr>
                        <w:r>
                          <w:rPr>
                            <w:sz w:val="22"/>
                            <w:szCs w:val="22"/>
                          </w:rPr>
                          <w:t>Генподрядчик:</w:t>
                        </w:r>
                      </w:p>
                    </w:tc>
                    <w:tc>
                      <w:tcPr>
                        <w:tcW w:w="8077" w:type="dxa"/>
                        <w:tcBorders>
                          <w:bottom w:val="single" w:sz="4" w:space="0" w:color="000000"/>
                        </w:tcBorders>
                        <w:vAlign w:val="bottom"/>
                      </w:tcPr>
                      <w:p>
                        <w:pPr>
                          <w:pStyle w:val="Normal"/>
                          <w:widowControl w:val="false"/>
                          <w:spacing w:lineRule="auto" w:line="240"/>
                          <w:ind w:hanging="0"/>
                          <w:jc w:val="left"/>
                          <w:rPr>
                            <w:sz w:val="22"/>
                            <w:szCs w:val="22"/>
                          </w:rPr>
                        </w:pPr>
                        <w:r>
                          <w:rPr>
                            <w:sz w:val="22"/>
                            <w:szCs w:val="22"/>
                          </w:rPr>
                        </w:r>
                      </w:p>
                    </w:tc>
                    <w:tc>
                      <w:tcPr>
                        <w:tcW w:w="71" w:type="dxa"/>
                        <w:tcBorders/>
                        <w:tcMar>
                          <w:top w:w="0" w:type="dxa"/>
                          <w:left w:w="0" w:type="dxa"/>
                          <w:right w:w="0" w:type="dxa"/>
                        </w:tcMar>
                      </w:tcPr>
                      <w:p>
                        <w:pPr>
                          <w:pStyle w:val="Normal"/>
                          <w:widowControl w:val="false"/>
                          <w:rPr>
                            <w:sz w:val="24"/>
                            <w:szCs w:val="24"/>
                          </w:rPr>
                        </w:pPr>
                        <w:r>
                          <w:rPr>
                            <w:sz w:val="24"/>
                            <w:szCs w:val="24"/>
                          </w:rPr>
                        </w:r>
                      </w:p>
                    </w:tc>
                  </w:tr>
                  <w:tr>
                    <w:trPr>
                      <w:trHeight w:val="255" w:hRule="atLeast"/>
                    </w:trPr>
                    <w:tc>
                      <w:tcPr>
                        <w:tcW w:w="1442" w:type="dxa"/>
                        <w:tcBorders/>
                        <w:vAlign w:val="bottom"/>
                      </w:tcPr>
                      <w:p>
                        <w:pPr>
                          <w:pStyle w:val="Normal"/>
                          <w:widowControl w:val="false"/>
                          <w:spacing w:lineRule="auto" w:line="240"/>
                          <w:ind w:hanging="0"/>
                          <w:jc w:val="left"/>
                          <w:rPr>
                            <w:sz w:val="22"/>
                            <w:szCs w:val="22"/>
                          </w:rPr>
                        </w:pPr>
                        <w:r>
                          <w:rPr>
                            <w:sz w:val="22"/>
                            <w:szCs w:val="22"/>
                          </w:rPr>
                        </w:r>
                      </w:p>
                    </w:tc>
                    <w:tc>
                      <w:tcPr>
                        <w:tcW w:w="8148" w:type="dxa"/>
                        <w:gridSpan w:val="2"/>
                        <w:tcBorders>
                          <w:top w:val="single" w:sz="4" w:space="0" w:color="000000"/>
                        </w:tcBorders>
                      </w:tcPr>
                      <w:p>
                        <w:pPr>
                          <w:pStyle w:val="Normal"/>
                          <w:widowControl w:val="false"/>
                          <w:spacing w:lineRule="auto" w:line="240"/>
                          <w:ind w:hanging="0"/>
                          <w:jc w:val="center"/>
                          <w:rPr>
                            <w:sz w:val="22"/>
                            <w:szCs w:val="22"/>
                          </w:rPr>
                        </w:pPr>
                        <w:r>
                          <w:rPr>
                            <w:i/>
                            <w:iCs/>
                            <w:sz w:val="22"/>
                            <w:szCs w:val="22"/>
                          </w:rPr>
                          <w:t>(наименование организации, адрес, телефон, факс</w:t>
                        </w:r>
                        <w:r>
                          <w:rPr>
                            <w:sz w:val="22"/>
                            <w:szCs w:val="22"/>
                          </w:rPr>
                          <w:t>, ИНН, КПП, ОГРН</w:t>
                        </w:r>
                        <w:r>
                          <w:rPr>
                            <w:i/>
                            <w:iCs/>
                            <w:sz w:val="22"/>
                            <w:szCs w:val="22"/>
                          </w:rPr>
                          <w:t>)</w:t>
                        </w:r>
                      </w:p>
                    </w:tc>
                  </w:tr>
                  <w:tr>
                    <w:trPr>
                      <w:trHeight w:val="255" w:hRule="atLeast"/>
                    </w:trPr>
                    <w:tc>
                      <w:tcPr>
                        <w:tcW w:w="1442" w:type="dxa"/>
                        <w:tcBorders/>
                        <w:vAlign w:val="bottom"/>
                      </w:tcPr>
                      <w:p>
                        <w:pPr>
                          <w:pStyle w:val="Normal"/>
                          <w:widowControl w:val="false"/>
                          <w:spacing w:lineRule="auto" w:line="240"/>
                          <w:ind w:hanging="0"/>
                          <w:jc w:val="left"/>
                          <w:rPr>
                            <w:sz w:val="22"/>
                            <w:szCs w:val="22"/>
                          </w:rPr>
                        </w:pPr>
                        <w:r>
                          <w:rPr>
                            <w:sz w:val="22"/>
                            <w:szCs w:val="22"/>
                          </w:rPr>
                          <w:t>Субподрядчик:</w:t>
                        </w:r>
                      </w:p>
                    </w:tc>
                    <w:tc>
                      <w:tcPr>
                        <w:tcW w:w="8148" w:type="dxa"/>
                        <w:gridSpan w:val="2"/>
                        <w:tcBorders>
                          <w:bottom w:val="single" w:sz="4" w:space="0" w:color="000000"/>
                        </w:tcBorders>
                        <w:vAlign w:val="bottom"/>
                      </w:tcPr>
                      <w:p>
                        <w:pPr>
                          <w:pStyle w:val="Normal"/>
                          <w:widowControl w:val="false"/>
                          <w:spacing w:lineRule="auto" w:line="240"/>
                          <w:ind w:hanging="0"/>
                          <w:jc w:val="left"/>
                          <w:rPr>
                            <w:sz w:val="22"/>
                            <w:szCs w:val="22"/>
                          </w:rPr>
                        </w:pPr>
                        <w:r>
                          <w:rPr>
                            <w:sz w:val="22"/>
                            <w:szCs w:val="22"/>
                          </w:rPr>
                        </w:r>
                      </w:p>
                    </w:tc>
                  </w:tr>
                  <w:tr>
                    <w:trPr>
                      <w:trHeight w:val="255" w:hRule="atLeast"/>
                    </w:trPr>
                    <w:tc>
                      <w:tcPr>
                        <w:tcW w:w="1442" w:type="dxa"/>
                        <w:tcBorders/>
                        <w:vAlign w:val="bottom"/>
                      </w:tcPr>
                      <w:p>
                        <w:pPr>
                          <w:pStyle w:val="Normal"/>
                          <w:widowControl w:val="false"/>
                          <w:spacing w:lineRule="auto" w:line="240"/>
                          <w:ind w:hanging="0"/>
                          <w:jc w:val="left"/>
                          <w:rPr>
                            <w:sz w:val="22"/>
                            <w:szCs w:val="22"/>
                          </w:rPr>
                        </w:pPr>
                        <w:r>
                          <w:rPr>
                            <w:sz w:val="22"/>
                            <w:szCs w:val="22"/>
                          </w:rPr>
                        </w:r>
                      </w:p>
                    </w:tc>
                    <w:tc>
                      <w:tcPr>
                        <w:tcW w:w="8148" w:type="dxa"/>
                        <w:gridSpan w:val="2"/>
                        <w:tcBorders/>
                      </w:tcPr>
                      <w:p>
                        <w:pPr>
                          <w:pStyle w:val="Normal"/>
                          <w:widowControl w:val="false"/>
                          <w:spacing w:lineRule="auto" w:line="240"/>
                          <w:ind w:hanging="0"/>
                          <w:jc w:val="center"/>
                          <w:rPr>
                            <w:sz w:val="22"/>
                            <w:szCs w:val="22"/>
                          </w:rPr>
                        </w:pPr>
                        <w:r>
                          <w:rPr>
                            <w:i/>
                            <w:iCs/>
                            <w:sz w:val="22"/>
                            <w:szCs w:val="22"/>
                          </w:rPr>
                          <w:t>(наименование организации, адрес, телефон, факс</w:t>
                        </w:r>
                        <w:r>
                          <w:rPr>
                            <w:sz w:val="22"/>
                            <w:szCs w:val="22"/>
                          </w:rPr>
                          <w:t>, ИНН, КПП, ОГРН</w:t>
                        </w:r>
                        <w:r>
                          <w:rPr>
                            <w:i/>
                            <w:iCs/>
                            <w:sz w:val="22"/>
                            <w:szCs w:val="22"/>
                          </w:rPr>
                          <w:t>)</w:t>
                        </w:r>
                      </w:p>
                    </w:tc>
                  </w:tr>
                </w:tbl>
                <w:p>
                  <w:pPr>
                    <w:pStyle w:val="Normal"/>
                    <w:widowControl w:val="false"/>
                    <w:spacing w:lineRule="auto" w:line="240"/>
                    <w:ind w:hanging="0"/>
                    <w:rPr>
                      <w:sz w:val="20"/>
                      <w:szCs w:val="20"/>
                    </w:rPr>
                  </w:pPr>
                  <w:r>
                    <w:rPr>
                      <w:sz w:val="20"/>
                      <w:szCs w:val="20"/>
                    </w:rPr>
                  </w:r>
                </w:p>
                <w:p>
                  <w:pPr>
                    <w:pStyle w:val="Normal"/>
                    <w:widowControl w:val="false"/>
                    <w:spacing w:lineRule="auto" w:line="240"/>
                    <w:ind w:hanging="0"/>
                    <w:rPr>
                      <w:sz w:val="20"/>
                      <w:szCs w:val="20"/>
                    </w:rPr>
                  </w:pPr>
                  <w:r>
                    <w:rPr>
                      <w:sz w:val="20"/>
                      <w:szCs w:val="20"/>
                    </w:rPr>
                    <w:t>составили настоящий акт о нижеследующем:</w:t>
                  </w:r>
                </w:p>
                <w:p>
                  <w:pPr>
                    <w:pStyle w:val="Normal"/>
                    <w:widowControl w:val="false"/>
                    <w:spacing w:lineRule="auto" w:line="240"/>
                    <w:ind w:hanging="0"/>
                    <w:rPr>
                      <w:sz w:val="20"/>
                      <w:szCs w:val="20"/>
                    </w:rPr>
                  </w:pPr>
                  <w:r>
                    <w:rPr>
                      <w:sz w:val="20"/>
                      <w:szCs w:val="20"/>
                    </w:rPr>
                  </w:r>
                </w:p>
                <w:p>
                  <w:pPr>
                    <w:pStyle w:val="Normal"/>
                    <w:widowControl w:val="false"/>
                    <w:spacing w:lineRule="auto" w:line="240"/>
                    <w:rPr>
                      <w:sz w:val="20"/>
                      <w:szCs w:val="20"/>
                    </w:rPr>
                  </w:pPr>
                  <w:r>
                    <w:rPr>
                      <w:sz w:val="20"/>
                      <w:szCs w:val="20"/>
                    </w:rPr>
                  </w:r>
                </w:p>
              </w:tc>
            </w:tr>
            <w:tr>
              <w:trPr>
                <w:trHeight w:val="255" w:hRule="atLeast"/>
              </w:trPr>
              <w:tc>
                <w:tcPr>
                  <w:tcW w:w="9733" w:type="dxa"/>
                  <w:gridSpan w:val="9"/>
                  <w:tcBorders/>
                  <w:vAlign w:val="bottom"/>
                </w:tcPr>
                <w:p>
                  <w:pPr>
                    <w:pStyle w:val="Normal"/>
                    <w:widowControl w:val="false"/>
                    <w:spacing w:lineRule="auto" w:line="240"/>
                    <w:rPr>
                      <w:sz w:val="20"/>
                      <w:szCs w:val="20"/>
                    </w:rPr>
                  </w:pPr>
                  <w:r>
                    <w:rPr>
                      <w:sz w:val="20"/>
                      <w:szCs w:val="20"/>
                    </w:rPr>
                    <w:t>Сметная (договорная) стоимость по договору № _____  от  _________ 20__ г.  -  ___________ руб.</w:t>
                  </w:r>
                </w:p>
                <w:p>
                  <w:pPr>
                    <w:pStyle w:val="Normal"/>
                    <w:widowControl w:val="false"/>
                    <w:spacing w:lineRule="auto" w:line="240"/>
                    <w:rPr>
                      <w:i/>
                      <w:i/>
                      <w:iCs/>
                      <w:sz w:val="20"/>
                      <w:szCs w:val="20"/>
                    </w:rPr>
                  </w:pPr>
                  <w:r>
                    <w:rPr>
                      <w:i/>
                      <w:iCs/>
                      <w:sz w:val="20"/>
                      <w:szCs w:val="20"/>
                    </w:rPr>
                  </w:r>
                </w:p>
              </w:tc>
            </w:tr>
            <w:tr>
              <w:trPr>
                <w:trHeight w:val="255" w:hRule="atLeast"/>
              </w:trPr>
              <w:tc>
                <w:tcPr>
                  <w:tcW w:w="5289" w:type="dxa"/>
                  <w:gridSpan w:val="4"/>
                  <w:tcBorders/>
                  <w:vAlign w:val="bottom"/>
                </w:tcPr>
                <w:p>
                  <w:pPr>
                    <w:pStyle w:val="Normal"/>
                    <w:widowControl w:val="false"/>
                    <w:spacing w:lineRule="auto" w:line="240"/>
                    <w:rPr>
                      <w:sz w:val="20"/>
                      <w:szCs w:val="20"/>
                    </w:rPr>
                  </w:pPr>
                  <w:r>
                    <w:rPr>
                      <w:sz w:val="20"/>
                      <w:szCs w:val="20"/>
                    </w:rPr>
                  </w:r>
                </w:p>
                <w:p>
                  <w:pPr>
                    <w:pStyle w:val="Normal"/>
                    <w:widowControl w:val="false"/>
                    <w:spacing w:lineRule="auto" w:line="240"/>
                    <w:rPr>
                      <w:sz w:val="20"/>
                      <w:szCs w:val="20"/>
                    </w:rPr>
                  </w:pPr>
                  <w:r>
                    <w:rPr>
                      <w:sz w:val="20"/>
                      <w:szCs w:val="20"/>
                    </w:rPr>
                  </w:r>
                </w:p>
              </w:tc>
              <w:tc>
                <w:tcPr>
                  <w:tcW w:w="4444" w:type="dxa"/>
                  <w:gridSpan w:val="5"/>
                  <w:tcBorders/>
                  <w:tcMar>
                    <w:top w:w="0" w:type="dxa"/>
                    <w:left w:w="0" w:type="dxa"/>
                    <w:right w:w="0" w:type="dxa"/>
                  </w:tcMar>
                </w:tcPr>
                <w:p>
                  <w:pPr>
                    <w:pStyle w:val="Normal"/>
                    <w:widowControl w:val="false"/>
                    <w:spacing w:lineRule="auto" w:line="240"/>
                    <w:ind w:right="180" w:firstLine="567"/>
                    <w:jc w:val="right"/>
                    <w:rPr>
                      <w:sz w:val="20"/>
                      <w:szCs w:val="20"/>
                    </w:rPr>
                  </w:pPr>
                  <w:r>
                    <w:rPr>
                      <w:sz w:val="20"/>
                      <w:szCs w:val="20"/>
                    </w:rPr>
                    <w:t>               </w:t>
                  </w:r>
                  <w:r>
                    <w:rPr>
                      <w:sz w:val="20"/>
                      <w:szCs w:val="20"/>
                    </w:rPr>
                    <w:t>Этап № ______</w:t>
                  </w:r>
                </w:p>
              </w:tc>
            </w:tr>
            <w:tr>
              <w:trPr>
                <w:cantSplit w:val="true"/>
              </w:trPr>
              <w:tc>
                <w:tcPr>
                  <w:tcW w:w="1216" w:type="dxa"/>
                  <w:tcBorders/>
                  <w:tcMar>
                    <w:top w:w="0" w:type="dxa"/>
                    <w:left w:w="0" w:type="dxa"/>
                    <w:right w:w="0" w:type="dxa"/>
                  </w:tcMar>
                </w:tcPr>
                <w:p>
                  <w:pPr>
                    <w:pStyle w:val="Normal"/>
                    <w:widowControl w:val="false"/>
                    <w:spacing w:lineRule="auto" w:line="240"/>
                    <w:ind w:hanging="0"/>
                    <w:jc w:val="center"/>
                    <w:rPr>
                      <w:b/>
                      <w:b/>
                      <w:bCs/>
                      <w:sz w:val="20"/>
                      <w:szCs w:val="20"/>
                    </w:rPr>
                  </w:pPr>
                  <w:r>
                    <w:rPr>
                      <w:b/>
                      <w:bCs/>
                      <w:sz w:val="20"/>
                      <w:szCs w:val="20"/>
                    </w:rPr>
                  </w:r>
                </w:p>
              </w:tc>
              <w:tc>
                <w:tcPr>
                  <w:tcW w:w="0" w:type="dxa"/>
                  <w:tcBorders>
                    <w:top w:val="single" w:sz="8" w:space="0" w:color="000000"/>
                    <w:left w:val="single" w:sz="8" w:space="0" w:color="000000"/>
                    <w:bottom w:val="single" w:sz="8" w:space="0" w:color="000000"/>
                    <w:right w:val="single" w:sz="8" w:space="0" w:color="000000"/>
                  </w:tcBorders>
                  <w:tcMar>
                    <w:top w:w="0" w:type="dxa"/>
                    <w:left w:w="108" w:type="dxa"/>
                    <w:right w:w="108" w:type="dxa"/>
                  </w:tcMar>
                  <w:vAlign w:val="center"/>
                </w:tcPr>
                <w:p>
                  <w:pPr>
                    <w:pStyle w:val="Normal"/>
                    <w:widowControl w:val="false"/>
                    <w:spacing w:lineRule="auto" w:line="240"/>
                    <w:ind w:hanging="0"/>
                    <w:jc w:val="center"/>
                    <w:rPr>
                      <w:b/>
                      <w:b/>
                      <w:bCs/>
                      <w:sz w:val="20"/>
                      <w:szCs w:val="20"/>
                    </w:rPr>
                  </w:pPr>
                  <w:r>
                    <w:rPr>
                      <w:b/>
                      <w:bCs/>
                      <w:sz w:val="20"/>
                      <w:szCs w:val="20"/>
                    </w:rPr>
                    <w:t xml:space="preserve">№ </w:t>
                  </w:r>
                  <w:r>
                    <w:rPr>
                      <w:b/>
                      <w:bCs/>
                      <w:sz w:val="20"/>
                      <w:szCs w:val="20"/>
                    </w:rPr>
                    <w:t>п/п</w:t>
                  </w:r>
                </w:p>
              </w:tc>
              <w:tc>
                <w:tcPr>
                  <w:tcW w:w="2591" w:type="dxa"/>
                  <w:vMerge w:val="restart"/>
                  <w:tcBorders>
                    <w:top w:val="single" w:sz="8" w:space="0" w:color="000000"/>
                    <w:bottom w:val="single" w:sz="8" w:space="0" w:color="000000"/>
                    <w:right w:val="single" w:sz="8" w:space="0" w:color="000000"/>
                  </w:tcBorders>
                  <w:tcMar>
                    <w:top w:w="0" w:type="dxa"/>
                    <w:left w:w="108" w:type="dxa"/>
                    <w:right w:w="108" w:type="dxa"/>
                  </w:tcMar>
                  <w:vAlign w:val="center"/>
                </w:tcPr>
                <w:p>
                  <w:pPr>
                    <w:pStyle w:val="Normal"/>
                    <w:widowControl w:val="false"/>
                    <w:spacing w:lineRule="auto" w:line="240"/>
                    <w:ind w:hanging="0"/>
                    <w:jc w:val="center"/>
                    <w:rPr>
                      <w:b/>
                      <w:b/>
                      <w:bCs/>
                      <w:sz w:val="20"/>
                      <w:szCs w:val="20"/>
                    </w:rPr>
                  </w:pPr>
                  <w:r>
                    <w:rPr>
                      <w:b/>
                      <w:bCs/>
                      <w:sz w:val="20"/>
                      <w:szCs w:val="20"/>
                    </w:rPr>
                    <w:t>Наименование работ</w:t>
                  </w:r>
                </w:p>
              </w:tc>
              <w:tc>
                <w:tcPr>
                  <w:tcW w:w="5926" w:type="dxa"/>
                  <w:gridSpan w:val="7"/>
                  <w:tcBorders>
                    <w:top w:val="single" w:sz="8" w:space="0" w:color="000000"/>
                    <w:bottom w:val="single" w:sz="8" w:space="0" w:color="000000"/>
                    <w:right w:val="single" w:sz="8" w:space="0" w:color="000000"/>
                  </w:tcBorders>
                  <w:tcMar>
                    <w:top w:w="0" w:type="dxa"/>
                    <w:left w:w="108" w:type="dxa"/>
                    <w:right w:w="108" w:type="dxa"/>
                  </w:tcMar>
                </w:tcPr>
                <w:p>
                  <w:pPr>
                    <w:pStyle w:val="Normal"/>
                    <w:widowControl w:val="false"/>
                    <w:spacing w:lineRule="auto" w:line="240"/>
                    <w:ind w:hanging="0"/>
                    <w:jc w:val="center"/>
                    <w:rPr>
                      <w:b/>
                      <w:b/>
                      <w:bCs/>
                      <w:sz w:val="20"/>
                      <w:szCs w:val="20"/>
                    </w:rPr>
                  </w:pPr>
                  <w:r>
                    <w:rPr>
                      <w:b/>
                      <w:bCs/>
                      <w:sz w:val="20"/>
                      <w:szCs w:val="20"/>
                    </w:rPr>
                    <w:t>Выполнено работ</w:t>
                  </w:r>
                </w:p>
              </w:tc>
            </w:tr>
            <w:tr>
              <w:trPr>
                <w:trHeight w:val="693" w:hRule="atLeast"/>
                <w:cantSplit w:val="true"/>
              </w:trPr>
              <w:tc>
                <w:tcPr>
                  <w:tcW w:w="1216" w:type="dxa"/>
                  <w:tcBorders/>
                  <w:tcMar>
                    <w:top w:w="0" w:type="dxa"/>
                    <w:left w:w="0" w:type="dxa"/>
                    <w:right w:w="0" w:type="dxa"/>
                  </w:tcMar>
                </w:tcPr>
                <w:p>
                  <w:pPr>
                    <w:pStyle w:val="Normal"/>
                    <w:widowControl w:val="false"/>
                    <w:spacing w:lineRule="auto" w:line="240"/>
                    <w:ind w:hanging="0"/>
                    <w:rPr>
                      <w:b/>
                      <w:b/>
                      <w:bCs/>
                      <w:sz w:val="20"/>
                      <w:szCs w:val="20"/>
                    </w:rPr>
                  </w:pPr>
                  <w:r>
                    <w:rPr>
                      <w:b/>
                      <w:bCs/>
                      <w:sz w:val="20"/>
                      <w:szCs w:val="20"/>
                    </w:rPr>
                  </w:r>
                </w:p>
              </w:tc>
              <w:tc>
                <w:tcPr>
                  <w:tcW w:w="0" w:type="dxa"/>
                  <w:vMerge w:val="continue"/>
                  <w:tcBorders>
                    <w:top w:val="single" w:sz="8" w:space="0" w:color="000000"/>
                    <w:left w:val="single" w:sz="8" w:space="0" w:color="000000"/>
                    <w:bottom w:val="single" w:sz="8" w:space="0" w:color="000000"/>
                    <w:right w:val="single" w:sz="8" w:space="0" w:color="000000"/>
                  </w:tcBorders>
                  <w:tcMar>
                    <w:top w:w="0" w:type="dxa"/>
                    <w:left w:w="0" w:type="dxa"/>
                    <w:right w:w="0" w:type="dxa"/>
                  </w:tcMar>
                  <w:vAlign w:val="center"/>
                </w:tcPr>
                <w:p>
                  <w:pPr>
                    <w:pStyle w:val="Normal"/>
                    <w:widowControl w:val="false"/>
                    <w:spacing w:lineRule="auto" w:line="240"/>
                    <w:ind w:hanging="0"/>
                    <w:rPr>
                      <w:b/>
                      <w:b/>
                      <w:bCs/>
                      <w:sz w:val="20"/>
                      <w:szCs w:val="20"/>
                    </w:rPr>
                  </w:pPr>
                  <w:r>
                    <w:rPr>
                      <w:b/>
                      <w:bCs/>
                      <w:sz w:val="20"/>
                      <w:szCs w:val="20"/>
                    </w:rPr>
                  </w:r>
                </w:p>
              </w:tc>
              <w:tc>
                <w:tcPr>
                  <w:tcW w:w="2591" w:type="dxa"/>
                  <w:vMerge w:val="continue"/>
                  <w:tcBorders>
                    <w:top w:val="single" w:sz="8" w:space="0" w:color="000000"/>
                    <w:bottom w:val="single" w:sz="8" w:space="0" w:color="000000"/>
                    <w:right w:val="single" w:sz="8" w:space="0" w:color="000000"/>
                  </w:tcBorders>
                  <w:tcMar>
                    <w:top w:w="0" w:type="dxa"/>
                    <w:left w:w="0" w:type="dxa"/>
                    <w:right w:w="0" w:type="dxa"/>
                  </w:tcMar>
                  <w:vAlign w:val="center"/>
                </w:tcPr>
                <w:p>
                  <w:pPr>
                    <w:pStyle w:val="Normal"/>
                    <w:widowControl w:val="false"/>
                    <w:spacing w:lineRule="auto" w:line="240"/>
                    <w:ind w:hanging="0"/>
                    <w:rPr>
                      <w:b/>
                      <w:b/>
                      <w:bCs/>
                      <w:sz w:val="20"/>
                      <w:szCs w:val="20"/>
                    </w:rPr>
                  </w:pPr>
                  <w:r>
                    <w:rPr>
                      <w:b/>
                      <w:bCs/>
                      <w:sz w:val="20"/>
                      <w:szCs w:val="20"/>
                    </w:rPr>
                  </w:r>
                </w:p>
              </w:tc>
              <w:tc>
                <w:tcPr>
                  <w:tcW w:w="1262" w:type="dxa"/>
                  <w:tcBorders>
                    <w:bottom w:val="single" w:sz="8" w:space="0" w:color="000000"/>
                    <w:right w:val="single" w:sz="8" w:space="0" w:color="000000"/>
                  </w:tcBorders>
                  <w:tcMar>
                    <w:top w:w="0" w:type="dxa"/>
                    <w:left w:w="108" w:type="dxa"/>
                    <w:right w:w="108" w:type="dxa"/>
                  </w:tcMar>
                  <w:vAlign w:val="center"/>
                </w:tcPr>
                <w:p>
                  <w:pPr>
                    <w:pStyle w:val="Normal"/>
                    <w:widowControl w:val="false"/>
                    <w:spacing w:lineRule="auto" w:line="240"/>
                    <w:ind w:hanging="0"/>
                    <w:jc w:val="center"/>
                    <w:rPr>
                      <w:b/>
                      <w:b/>
                      <w:bCs/>
                      <w:sz w:val="20"/>
                      <w:szCs w:val="20"/>
                    </w:rPr>
                  </w:pPr>
                  <w:r>
                    <w:rPr>
                      <w:b/>
                      <w:bCs/>
                      <w:sz w:val="20"/>
                      <w:szCs w:val="20"/>
                    </w:rPr>
                    <w:t>ед.</w:t>
                  </w:r>
                </w:p>
                <w:p>
                  <w:pPr>
                    <w:pStyle w:val="Normal"/>
                    <w:widowControl w:val="false"/>
                    <w:spacing w:lineRule="auto" w:line="240"/>
                    <w:ind w:hanging="0"/>
                    <w:jc w:val="center"/>
                    <w:rPr>
                      <w:b/>
                      <w:b/>
                      <w:bCs/>
                      <w:sz w:val="20"/>
                      <w:szCs w:val="20"/>
                    </w:rPr>
                  </w:pPr>
                  <w:r>
                    <w:rPr>
                      <w:b/>
                      <w:bCs/>
                      <w:sz w:val="20"/>
                      <w:szCs w:val="20"/>
                    </w:rPr>
                    <w:t>изм.</w:t>
                  </w:r>
                </w:p>
              </w:tc>
              <w:tc>
                <w:tcPr>
                  <w:tcW w:w="808" w:type="dxa"/>
                  <w:gridSpan w:val="2"/>
                  <w:tcBorders>
                    <w:bottom w:val="single" w:sz="8" w:space="0" w:color="000000"/>
                    <w:right w:val="single" w:sz="8" w:space="0" w:color="000000"/>
                  </w:tcBorders>
                  <w:tcMar>
                    <w:top w:w="0" w:type="dxa"/>
                    <w:left w:w="108" w:type="dxa"/>
                    <w:right w:w="108" w:type="dxa"/>
                  </w:tcMar>
                  <w:vAlign w:val="center"/>
                </w:tcPr>
                <w:p>
                  <w:pPr>
                    <w:pStyle w:val="Normal"/>
                    <w:widowControl w:val="false"/>
                    <w:spacing w:lineRule="auto" w:line="240"/>
                    <w:ind w:hanging="0"/>
                    <w:jc w:val="center"/>
                    <w:rPr>
                      <w:b/>
                      <w:b/>
                      <w:bCs/>
                      <w:sz w:val="20"/>
                      <w:szCs w:val="20"/>
                    </w:rPr>
                  </w:pPr>
                  <w:r>
                    <w:rPr>
                      <w:b/>
                      <w:bCs/>
                      <w:sz w:val="20"/>
                      <w:szCs w:val="20"/>
                    </w:rPr>
                    <w:t>коли-чество</w:t>
                  </w:r>
                </w:p>
              </w:tc>
              <w:tc>
                <w:tcPr>
                  <w:tcW w:w="1404" w:type="dxa"/>
                  <w:tcBorders>
                    <w:bottom w:val="single" w:sz="8" w:space="0" w:color="000000"/>
                    <w:right w:val="single" w:sz="8" w:space="0" w:color="000000"/>
                  </w:tcBorders>
                  <w:tcMar>
                    <w:top w:w="0" w:type="dxa"/>
                    <w:left w:w="108" w:type="dxa"/>
                    <w:right w:w="108" w:type="dxa"/>
                  </w:tcMar>
                  <w:vAlign w:val="center"/>
                </w:tcPr>
                <w:p>
                  <w:pPr>
                    <w:pStyle w:val="Normal"/>
                    <w:widowControl w:val="false"/>
                    <w:spacing w:lineRule="auto" w:line="240"/>
                    <w:ind w:hanging="0"/>
                    <w:jc w:val="center"/>
                    <w:rPr>
                      <w:b/>
                      <w:b/>
                      <w:bCs/>
                      <w:sz w:val="20"/>
                      <w:szCs w:val="20"/>
                    </w:rPr>
                  </w:pPr>
                  <w:r>
                    <w:rPr>
                      <w:b/>
                      <w:bCs/>
                      <w:sz w:val="20"/>
                      <w:szCs w:val="20"/>
                    </w:rPr>
                    <w:t>цена за</w:t>
                  </w:r>
                </w:p>
                <w:p>
                  <w:pPr>
                    <w:pStyle w:val="Normal"/>
                    <w:widowControl w:val="false"/>
                    <w:spacing w:lineRule="auto" w:line="240"/>
                    <w:ind w:hanging="0"/>
                    <w:jc w:val="center"/>
                    <w:rPr>
                      <w:b/>
                      <w:b/>
                      <w:bCs/>
                      <w:sz w:val="20"/>
                      <w:szCs w:val="20"/>
                    </w:rPr>
                  </w:pPr>
                  <w:r>
                    <w:rPr>
                      <w:b/>
                      <w:bCs/>
                      <w:sz w:val="20"/>
                      <w:szCs w:val="20"/>
                    </w:rPr>
                    <w:t>1 ед., руб.</w:t>
                  </w:r>
                </w:p>
              </w:tc>
              <w:tc>
                <w:tcPr>
                  <w:tcW w:w="1341" w:type="dxa"/>
                  <w:gridSpan w:val="2"/>
                  <w:tcBorders>
                    <w:bottom w:val="single" w:sz="8" w:space="0" w:color="000000"/>
                    <w:right w:val="single" w:sz="8" w:space="0" w:color="000000"/>
                  </w:tcBorders>
                  <w:tcMar>
                    <w:top w:w="0" w:type="dxa"/>
                    <w:left w:w="108" w:type="dxa"/>
                    <w:right w:w="108" w:type="dxa"/>
                  </w:tcMar>
                  <w:vAlign w:val="center"/>
                </w:tcPr>
                <w:p>
                  <w:pPr>
                    <w:pStyle w:val="Normal"/>
                    <w:widowControl w:val="false"/>
                    <w:spacing w:lineRule="auto" w:line="240"/>
                    <w:ind w:hanging="0"/>
                    <w:jc w:val="center"/>
                    <w:rPr>
                      <w:b/>
                      <w:b/>
                      <w:bCs/>
                      <w:sz w:val="20"/>
                      <w:szCs w:val="20"/>
                    </w:rPr>
                  </w:pPr>
                  <w:r>
                    <w:rPr>
                      <w:b/>
                      <w:bCs/>
                      <w:sz w:val="20"/>
                      <w:szCs w:val="20"/>
                    </w:rPr>
                    <w:t>стоимость,</w:t>
                  </w:r>
                </w:p>
                <w:p>
                  <w:pPr>
                    <w:pStyle w:val="Normal"/>
                    <w:widowControl w:val="false"/>
                    <w:spacing w:lineRule="auto" w:line="240"/>
                    <w:ind w:hanging="0"/>
                    <w:jc w:val="center"/>
                    <w:rPr>
                      <w:b/>
                      <w:b/>
                      <w:bCs/>
                      <w:sz w:val="20"/>
                      <w:szCs w:val="20"/>
                    </w:rPr>
                  </w:pPr>
                  <w:r>
                    <w:rPr>
                      <w:b/>
                      <w:bCs/>
                      <w:sz w:val="20"/>
                      <w:szCs w:val="20"/>
                    </w:rPr>
                    <w:t>руб.</w:t>
                  </w:r>
                </w:p>
              </w:tc>
              <w:tc>
                <w:tcPr>
                  <w:tcW w:w="1111" w:type="dxa"/>
                  <w:tcBorders>
                    <w:bottom w:val="single" w:sz="8" w:space="0" w:color="000000"/>
                    <w:right w:val="single" w:sz="8" w:space="0" w:color="000000"/>
                  </w:tcBorders>
                  <w:tcMar>
                    <w:top w:w="0" w:type="dxa"/>
                    <w:left w:w="108" w:type="dxa"/>
                    <w:right w:w="108" w:type="dxa"/>
                  </w:tcMar>
                  <w:vAlign w:val="center"/>
                </w:tcPr>
                <w:p>
                  <w:pPr>
                    <w:pStyle w:val="Normal"/>
                    <w:widowControl w:val="false"/>
                    <w:spacing w:lineRule="auto" w:line="240"/>
                    <w:ind w:hanging="0"/>
                    <w:jc w:val="center"/>
                    <w:rPr>
                      <w:b/>
                      <w:b/>
                      <w:bCs/>
                      <w:sz w:val="20"/>
                      <w:szCs w:val="20"/>
                    </w:rPr>
                  </w:pPr>
                  <w:r>
                    <w:rPr>
                      <w:b/>
                      <w:bCs/>
                      <w:sz w:val="20"/>
                      <w:szCs w:val="20"/>
                    </w:rPr>
                    <w:t>в т.ч. НДС, руб.</w:t>
                  </w:r>
                </w:p>
              </w:tc>
            </w:tr>
            <w:tr>
              <w:trPr/>
              <w:tc>
                <w:tcPr>
                  <w:tcW w:w="1216" w:type="dxa"/>
                  <w:tcBorders/>
                  <w:tcMar>
                    <w:top w:w="0" w:type="dxa"/>
                    <w:left w:w="0" w:type="dxa"/>
                    <w:right w:w="0" w:type="dxa"/>
                  </w:tcMar>
                </w:tcPr>
                <w:p>
                  <w:pPr>
                    <w:pStyle w:val="Normal"/>
                    <w:widowControl w:val="false"/>
                    <w:spacing w:lineRule="auto" w:line="240"/>
                    <w:ind w:hanging="0"/>
                    <w:jc w:val="center"/>
                    <w:rPr>
                      <w:b/>
                      <w:b/>
                      <w:bCs/>
                      <w:sz w:val="20"/>
                      <w:szCs w:val="20"/>
                    </w:rPr>
                  </w:pPr>
                  <w:r>
                    <w:rPr>
                      <w:b/>
                      <w:bCs/>
                      <w:sz w:val="20"/>
                      <w:szCs w:val="20"/>
                    </w:rPr>
                  </w:r>
                </w:p>
              </w:tc>
              <w:tc>
                <w:tcPr>
                  <w:tcW w:w="0" w:type="dxa"/>
                  <w:tcBorders>
                    <w:left w:val="single" w:sz="8" w:space="0" w:color="000000"/>
                    <w:bottom w:val="single" w:sz="8" w:space="0" w:color="000000"/>
                    <w:right w:val="single" w:sz="8" w:space="0" w:color="000000"/>
                  </w:tcBorders>
                  <w:tcMar>
                    <w:top w:w="0" w:type="dxa"/>
                    <w:left w:w="108" w:type="dxa"/>
                    <w:right w:w="108" w:type="dxa"/>
                  </w:tcMar>
                </w:tcPr>
                <w:p>
                  <w:pPr>
                    <w:pStyle w:val="Normal"/>
                    <w:widowControl w:val="false"/>
                    <w:spacing w:lineRule="auto" w:line="240"/>
                    <w:ind w:hanging="0"/>
                    <w:jc w:val="center"/>
                    <w:rPr>
                      <w:b/>
                      <w:b/>
                      <w:bCs/>
                      <w:sz w:val="20"/>
                      <w:szCs w:val="20"/>
                    </w:rPr>
                  </w:pPr>
                  <w:r>
                    <w:rPr>
                      <w:b/>
                      <w:bCs/>
                      <w:sz w:val="20"/>
                      <w:szCs w:val="20"/>
                    </w:rPr>
                    <w:t>1</w:t>
                  </w:r>
                </w:p>
              </w:tc>
              <w:tc>
                <w:tcPr>
                  <w:tcW w:w="2591" w:type="dxa"/>
                  <w:tcBorders>
                    <w:bottom w:val="single" w:sz="8" w:space="0" w:color="000000"/>
                    <w:right w:val="single" w:sz="8" w:space="0" w:color="000000"/>
                  </w:tcBorders>
                  <w:tcMar>
                    <w:top w:w="0" w:type="dxa"/>
                    <w:left w:w="108" w:type="dxa"/>
                    <w:right w:w="108" w:type="dxa"/>
                  </w:tcMar>
                </w:tcPr>
                <w:p>
                  <w:pPr>
                    <w:pStyle w:val="Normal"/>
                    <w:widowControl w:val="false"/>
                    <w:spacing w:lineRule="auto" w:line="240"/>
                    <w:ind w:hanging="0"/>
                    <w:jc w:val="center"/>
                    <w:rPr>
                      <w:b/>
                      <w:b/>
                      <w:bCs/>
                      <w:sz w:val="20"/>
                      <w:szCs w:val="20"/>
                    </w:rPr>
                  </w:pPr>
                  <w:r>
                    <w:rPr>
                      <w:b/>
                      <w:bCs/>
                      <w:sz w:val="20"/>
                      <w:szCs w:val="20"/>
                    </w:rPr>
                    <w:t>2</w:t>
                  </w:r>
                </w:p>
              </w:tc>
              <w:tc>
                <w:tcPr>
                  <w:tcW w:w="1262" w:type="dxa"/>
                  <w:tcBorders>
                    <w:bottom w:val="single" w:sz="8" w:space="0" w:color="000000"/>
                    <w:right w:val="single" w:sz="8" w:space="0" w:color="000000"/>
                  </w:tcBorders>
                  <w:tcMar>
                    <w:top w:w="0" w:type="dxa"/>
                    <w:left w:w="108" w:type="dxa"/>
                    <w:right w:w="108" w:type="dxa"/>
                  </w:tcMar>
                </w:tcPr>
                <w:p>
                  <w:pPr>
                    <w:pStyle w:val="Normal"/>
                    <w:widowControl w:val="false"/>
                    <w:spacing w:lineRule="auto" w:line="240"/>
                    <w:ind w:hanging="0"/>
                    <w:jc w:val="center"/>
                    <w:rPr>
                      <w:b/>
                      <w:b/>
                      <w:bCs/>
                      <w:sz w:val="20"/>
                      <w:szCs w:val="20"/>
                    </w:rPr>
                  </w:pPr>
                  <w:r>
                    <w:rPr>
                      <w:b/>
                      <w:bCs/>
                      <w:sz w:val="20"/>
                      <w:szCs w:val="20"/>
                    </w:rPr>
                    <w:t>3</w:t>
                  </w:r>
                </w:p>
              </w:tc>
              <w:tc>
                <w:tcPr>
                  <w:tcW w:w="808" w:type="dxa"/>
                  <w:gridSpan w:val="2"/>
                  <w:tcBorders>
                    <w:bottom w:val="single" w:sz="8" w:space="0" w:color="000000"/>
                    <w:right w:val="single" w:sz="8" w:space="0" w:color="000000"/>
                  </w:tcBorders>
                  <w:tcMar>
                    <w:top w:w="0" w:type="dxa"/>
                    <w:left w:w="108" w:type="dxa"/>
                    <w:right w:w="108" w:type="dxa"/>
                  </w:tcMar>
                </w:tcPr>
                <w:p>
                  <w:pPr>
                    <w:pStyle w:val="Normal"/>
                    <w:widowControl w:val="false"/>
                    <w:spacing w:lineRule="auto" w:line="240"/>
                    <w:ind w:hanging="0"/>
                    <w:jc w:val="center"/>
                    <w:rPr>
                      <w:b/>
                      <w:b/>
                      <w:bCs/>
                      <w:sz w:val="20"/>
                      <w:szCs w:val="20"/>
                    </w:rPr>
                  </w:pPr>
                  <w:r>
                    <w:rPr>
                      <w:b/>
                      <w:bCs/>
                      <w:sz w:val="20"/>
                      <w:szCs w:val="20"/>
                    </w:rPr>
                    <w:t>4</w:t>
                  </w:r>
                </w:p>
              </w:tc>
              <w:tc>
                <w:tcPr>
                  <w:tcW w:w="1404" w:type="dxa"/>
                  <w:tcBorders>
                    <w:bottom w:val="single" w:sz="8" w:space="0" w:color="000000"/>
                    <w:right w:val="single" w:sz="8" w:space="0" w:color="000000"/>
                  </w:tcBorders>
                  <w:tcMar>
                    <w:top w:w="0" w:type="dxa"/>
                    <w:left w:w="108" w:type="dxa"/>
                    <w:right w:w="108" w:type="dxa"/>
                  </w:tcMar>
                </w:tcPr>
                <w:p>
                  <w:pPr>
                    <w:pStyle w:val="Normal"/>
                    <w:widowControl w:val="false"/>
                    <w:spacing w:lineRule="auto" w:line="240"/>
                    <w:ind w:hanging="0"/>
                    <w:jc w:val="center"/>
                    <w:rPr>
                      <w:b/>
                      <w:b/>
                      <w:bCs/>
                      <w:sz w:val="20"/>
                      <w:szCs w:val="20"/>
                    </w:rPr>
                  </w:pPr>
                  <w:r>
                    <w:rPr>
                      <w:b/>
                      <w:bCs/>
                      <w:sz w:val="20"/>
                      <w:szCs w:val="20"/>
                    </w:rPr>
                    <w:t>5</w:t>
                  </w:r>
                </w:p>
              </w:tc>
              <w:tc>
                <w:tcPr>
                  <w:tcW w:w="1341" w:type="dxa"/>
                  <w:gridSpan w:val="2"/>
                  <w:tcBorders>
                    <w:bottom w:val="single" w:sz="8" w:space="0" w:color="000000"/>
                    <w:right w:val="single" w:sz="8" w:space="0" w:color="000000"/>
                  </w:tcBorders>
                  <w:tcMar>
                    <w:top w:w="0" w:type="dxa"/>
                    <w:left w:w="108" w:type="dxa"/>
                    <w:right w:w="108" w:type="dxa"/>
                  </w:tcMar>
                </w:tcPr>
                <w:p>
                  <w:pPr>
                    <w:pStyle w:val="Normal"/>
                    <w:widowControl w:val="false"/>
                    <w:spacing w:lineRule="auto" w:line="240"/>
                    <w:ind w:hanging="0"/>
                    <w:jc w:val="center"/>
                    <w:rPr>
                      <w:b/>
                      <w:b/>
                      <w:bCs/>
                      <w:sz w:val="20"/>
                      <w:szCs w:val="20"/>
                    </w:rPr>
                  </w:pPr>
                  <w:r>
                    <w:rPr>
                      <w:b/>
                      <w:bCs/>
                      <w:sz w:val="20"/>
                      <w:szCs w:val="20"/>
                    </w:rPr>
                    <w:t>6</w:t>
                  </w:r>
                </w:p>
              </w:tc>
              <w:tc>
                <w:tcPr>
                  <w:tcW w:w="1111" w:type="dxa"/>
                  <w:tcBorders>
                    <w:bottom w:val="single" w:sz="8" w:space="0" w:color="000000"/>
                    <w:right w:val="single" w:sz="8" w:space="0" w:color="000000"/>
                  </w:tcBorders>
                  <w:tcMar>
                    <w:top w:w="0" w:type="dxa"/>
                    <w:left w:w="108" w:type="dxa"/>
                    <w:right w:w="108" w:type="dxa"/>
                  </w:tcMar>
                </w:tcPr>
                <w:p>
                  <w:pPr>
                    <w:pStyle w:val="Normal"/>
                    <w:widowControl w:val="false"/>
                    <w:spacing w:lineRule="auto" w:line="240"/>
                    <w:ind w:hanging="0"/>
                    <w:jc w:val="center"/>
                    <w:rPr>
                      <w:b/>
                      <w:b/>
                      <w:bCs/>
                      <w:sz w:val="20"/>
                      <w:szCs w:val="20"/>
                    </w:rPr>
                  </w:pPr>
                  <w:r>
                    <w:rPr>
                      <w:b/>
                      <w:bCs/>
                      <w:sz w:val="20"/>
                      <w:szCs w:val="20"/>
                    </w:rPr>
                    <w:t>7</w:t>
                  </w:r>
                </w:p>
              </w:tc>
            </w:tr>
            <w:tr>
              <w:trPr/>
              <w:tc>
                <w:tcPr>
                  <w:tcW w:w="1216" w:type="dxa"/>
                  <w:tcBorders/>
                  <w:tcMar>
                    <w:top w:w="0" w:type="dxa"/>
                    <w:left w:w="0" w:type="dxa"/>
                    <w:right w:w="0" w:type="dxa"/>
                  </w:tcMar>
                </w:tcPr>
                <w:p>
                  <w:pPr>
                    <w:pStyle w:val="Normal"/>
                    <w:widowControl w:val="false"/>
                    <w:spacing w:lineRule="auto" w:line="240"/>
                    <w:jc w:val="center"/>
                    <w:rPr>
                      <w:sz w:val="20"/>
                      <w:szCs w:val="20"/>
                    </w:rPr>
                  </w:pPr>
                  <w:r>
                    <w:rPr>
                      <w:sz w:val="20"/>
                      <w:szCs w:val="20"/>
                    </w:rPr>
                  </w:r>
                </w:p>
              </w:tc>
              <w:tc>
                <w:tcPr>
                  <w:tcW w:w="0" w:type="dxa"/>
                  <w:tcBorders>
                    <w:left w:val="single" w:sz="8" w:space="0" w:color="000000"/>
                    <w:bottom w:val="single" w:sz="8" w:space="0" w:color="000000"/>
                    <w:right w:val="single" w:sz="8" w:space="0" w:color="000000"/>
                  </w:tcBorders>
                  <w:tcMar>
                    <w:top w:w="0" w:type="dxa"/>
                    <w:left w:w="108" w:type="dxa"/>
                    <w:right w:w="108" w:type="dxa"/>
                  </w:tcMar>
                </w:tcPr>
                <w:p>
                  <w:pPr>
                    <w:pStyle w:val="Normal"/>
                    <w:widowControl w:val="false"/>
                    <w:spacing w:lineRule="auto" w:line="240"/>
                    <w:jc w:val="center"/>
                    <w:rPr>
                      <w:sz w:val="20"/>
                      <w:szCs w:val="20"/>
                    </w:rPr>
                  </w:pPr>
                  <w:r>
                    <w:rPr>
                      <w:sz w:val="20"/>
                      <w:szCs w:val="20"/>
                    </w:rPr>
                  </w:r>
                </w:p>
              </w:tc>
              <w:tc>
                <w:tcPr>
                  <w:tcW w:w="2591" w:type="dxa"/>
                  <w:tcBorders>
                    <w:bottom w:val="single" w:sz="8" w:space="0" w:color="000000"/>
                    <w:right w:val="single" w:sz="8" w:space="0" w:color="000000"/>
                  </w:tcBorders>
                  <w:tcMar>
                    <w:top w:w="0" w:type="dxa"/>
                    <w:left w:w="108" w:type="dxa"/>
                    <w:right w:w="108" w:type="dxa"/>
                  </w:tcMar>
                </w:tcPr>
                <w:p>
                  <w:pPr>
                    <w:pStyle w:val="Normal"/>
                    <w:widowControl w:val="false"/>
                    <w:spacing w:lineRule="auto" w:line="240"/>
                    <w:rPr>
                      <w:sz w:val="20"/>
                      <w:szCs w:val="20"/>
                    </w:rPr>
                  </w:pPr>
                  <w:r>
                    <w:rPr>
                      <w:sz w:val="20"/>
                      <w:szCs w:val="20"/>
                    </w:rPr>
                  </w:r>
                </w:p>
              </w:tc>
              <w:tc>
                <w:tcPr>
                  <w:tcW w:w="1262" w:type="dxa"/>
                  <w:tcBorders>
                    <w:bottom w:val="single" w:sz="8" w:space="0" w:color="000000"/>
                    <w:right w:val="single" w:sz="8" w:space="0" w:color="000000"/>
                  </w:tcBorders>
                  <w:tcMar>
                    <w:top w:w="0" w:type="dxa"/>
                    <w:left w:w="108" w:type="dxa"/>
                    <w:right w:w="108" w:type="dxa"/>
                  </w:tcMar>
                </w:tcPr>
                <w:p>
                  <w:pPr>
                    <w:pStyle w:val="Normal"/>
                    <w:widowControl w:val="false"/>
                    <w:spacing w:lineRule="auto" w:line="240"/>
                    <w:rPr>
                      <w:sz w:val="20"/>
                      <w:szCs w:val="20"/>
                    </w:rPr>
                  </w:pPr>
                  <w:r>
                    <w:rPr>
                      <w:sz w:val="20"/>
                      <w:szCs w:val="20"/>
                    </w:rPr>
                  </w:r>
                </w:p>
              </w:tc>
              <w:tc>
                <w:tcPr>
                  <w:tcW w:w="808" w:type="dxa"/>
                  <w:gridSpan w:val="2"/>
                  <w:tcBorders>
                    <w:bottom w:val="single" w:sz="8" w:space="0" w:color="000000"/>
                    <w:right w:val="single" w:sz="8" w:space="0" w:color="000000"/>
                  </w:tcBorders>
                  <w:tcMar>
                    <w:top w:w="0" w:type="dxa"/>
                    <w:left w:w="108" w:type="dxa"/>
                    <w:right w:w="108" w:type="dxa"/>
                  </w:tcMar>
                </w:tcPr>
                <w:p>
                  <w:pPr>
                    <w:pStyle w:val="Normal"/>
                    <w:widowControl w:val="false"/>
                    <w:spacing w:lineRule="auto" w:line="240"/>
                    <w:rPr>
                      <w:sz w:val="20"/>
                      <w:szCs w:val="20"/>
                    </w:rPr>
                  </w:pPr>
                  <w:r>
                    <w:rPr>
                      <w:sz w:val="20"/>
                      <w:szCs w:val="20"/>
                    </w:rPr>
                  </w:r>
                </w:p>
              </w:tc>
              <w:tc>
                <w:tcPr>
                  <w:tcW w:w="1404" w:type="dxa"/>
                  <w:tcBorders>
                    <w:bottom w:val="single" w:sz="8" w:space="0" w:color="000000"/>
                    <w:right w:val="single" w:sz="8" w:space="0" w:color="000000"/>
                  </w:tcBorders>
                  <w:tcMar>
                    <w:top w:w="0" w:type="dxa"/>
                    <w:left w:w="108" w:type="dxa"/>
                    <w:right w:w="108" w:type="dxa"/>
                  </w:tcMar>
                </w:tcPr>
                <w:p>
                  <w:pPr>
                    <w:pStyle w:val="Normal"/>
                    <w:widowControl w:val="false"/>
                    <w:spacing w:lineRule="auto" w:line="240"/>
                    <w:rPr>
                      <w:sz w:val="20"/>
                      <w:szCs w:val="20"/>
                    </w:rPr>
                  </w:pPr>
                  <w:r>
                    <w:rPr>
                      <w:sz w:val="20"/>
                      <w:szCs w:val="20"/>
                    </w:rPr>
                  </w:r>
                </w:p>
              </w:tc>
              <w:tc>
                <w:tcPr>
                  <w:tcW w:w="1341" w:type="dxa"/>
                  <w:gridSpan w:val="2"/>
                  <w:tcBorders>
                    <w:bottom w:val="single" w:sz="8" w:space="0" w:color="000000"/>
                    <w:right w:val="single" w:sz="8" w:space="0" w:color="000000"/>
                  </w:tcBorders>
                  <w:tcMar>
                    <w:top w:w="0" w:type="dxa"/>
                    <w:left w:w="108" w:type="dxa"/>
                    <w:right w:w="108" w:type="dxa"/>
                  </w:tcMar>
                </w:tcPr>
                <w:p>
                  <w:pPr>
                    <w:pStyle w:val="Normal"/>
                    <w:widowControl w:val="false"/>
                    <w:spacing w:lineRule="auto" w:line="240"/>
                    <w:rPr>
                      <w:sz w:val="20"/>
                      <w:szCs w:val="20"/>
                    </w:rPr>
                  </w:pPr>
                  <w:r>
                    <w:rPr>
                      <w:sz w:val="20"/>
                      <w:szCs w:val="20"/>
                    </w:rPr>
                  </w:r>
                </w:p>
              </w:tc>
              <w:tc>
                <w:tcPr>
                  <w:tcW w:w="1111" w:type="dxa"/>
                  <w:tcBorders>
                    <w:bottom w:val="single" w:sz="8" w:space="0" w:color="000000"/>
                    <w:right w:val="single" w:sz="8" w:space="0" w:color="000000"/>
                  </w:tcBorders>
                  <w:tcMar>
                    <w:top w:w="0" w:type="dxa"/>
                    <w:left w:w="108" w:type="dxa"/>
                    <w:right w:w="108" w:type="dxa"/>
                  </w:tcMar>
                </w:tcPr>
                <w:p>
                  <w:pPr>
                    <w:pStyle w:val="Normal"/>
                    <w:widowControl w:val="false"/>
                    <w:spacing w:lineRule="auto" w:line="240"/>
                    <w:rPr>
                      <w:sz w:val="20"/>
                      <w:szCs w:val="20"/>
                    </w:rPr>
                  </w:pPr>
                  <w:r>
                    <w:rPr>
                      <w:sz w:val="20"/>
                      <w:szCs w:val="20"/>
                    </w:rPr>
                  </w:r>
                </w:p>
              </w:tc>
            </w:tr>
            <w:tr>
              <w:trPr/>
              <w:tc>
                <w:tcPr>
                  <w:tcW w:w="1216" w:type="dxa"/>
                  <w:tcBorders/>
                  <w:tcMar>
                    <w:top w:w="0" w:type="dxa"/>
                    <w:left w:w="0" w:type="dxa"/>
                    <w:right w:w="0" w:type="dxa"/>
                  </w:tcMar>
                </w:tcPr>
                <w:p>
                  <w:pPr>
                    <w:pStyle w:val="Normal"/>
                    <w:widowControl w:val="false"/>
                    <w:spacing w:lineRule="auto" w:line="240"/>
                    <w:jc w:val="center"/>
                    <w:rPr>
                      <w:sz w:val="20"/>
                      <w:szCs w:val="20"/>
                    </w:rPr>
                  </w:pPr>
                  <w:r>
                    <w:rPr>
                      <w:sz w:val="20"/>
                      <w:szCs w:val="20"/>
                    </w:rPr>
                  </w:r>
                </w:p>
              </w:tc>
              <w:tc>
                <w:tcPr>
                  <w:tcW w:w="0" w:type="dxa"/>
                  <w:tcBorders>
                    <w:left w:val="single" w:sz="8" w:space="0" w:color="000000"/>
                    <w:bottom w:val="single" w:sz="8" w:space="0" w:color="000000"/>
                    <w:right w:val="single" w:sz="8" w:space="0" w:color="000000"/>
                  </w:tcBorders>
                  <w:tcMar>
                    <w:top w:w="0" w:type="dxa"/>
                    <w:left w:w="108" w:type="dxa"/>
                    <w:right w:w="108" w:type="dxa"/>
                  </w:tcMar>
                </w:tcPr>
                <w:p>
                  <w:pPr>
                    <w:pStyle w:val="Normal"/>
                    <w:widowControl w:val="false"/>
                    <w:spacing w:lineRule="auto" w:line="240"/>
                    <w:jc w:val="center"/>
                    <w:rPr>
                      <w:sz w:val="20"/>
                      <w:szCs w:val="20"/>
                    </w:rPr>
                  </w:pPr>
                  <w:r>
                    <w:rPr>
                      <w:sz w:val="20"/>
                      <w:szCs w:val="20"/>
                    </w:rPr>
                  </w:r>
                </w:p>
              </w:tc>
              <w:tc>
                <w:tcPr>
                  <w:tcW w:w="2591" w:type="dxa"/>
                  <w:tcBorders>
                    <w:bottom w:val="single" w:sz="8" w:space="0" w:color="000000"/>
                    <w:right w:val="single" w:sz="8" w:space="0" w:color="000000"/>
                  </w:tcBorders>
                  <w:tcMar>
                    <w:top w:w="0" w:type="dxa"/>
                    <w:left w:w="108" w:type="dxa"/>
                    <w:right w:w="108" w:type="dxa"/>
                  </w:tcMar>
                </w:tcPr>
                <w:p>
                  <w:pPr>
                    <w:pStyle w:val="Normal"/>
                    <w:widowControl w:val="false"/>
                    <w:spacing w:lineRule="auto" w:line="240"/>
                    <w:rPr>
                      <w:sz w:val="20"/>
                      <w:szCs w:val="20"/>
                    </w:rPr>
                  </w:pPr>
                  <w:r>
                    <w:rPr>
                      <w:sz w:val="20"/>
                      <w:szCs w:val="20"/>
                    </w:rPr>
                  </w:r>
                </w:p>
              </w:tc>
              <w:tc>
                <w:tcPr>
                  <w:tcW w:w="1262" w:type="dxa"/>
                  <w:tcBorders>
                    <w:bottom w:val="single" w:sz="8" w:space="0" w:color="000000"/>
                    <w:right w:val="single" w:sz="8" w:space="0" w:color="000000"/>
                  </w:tcBorders>
                  <w:tcMar>
                    <w:top w:w="0" w:type="dxa"/>
                    <w:left w:w="108" w:type="dxa"/>
                    <w:right w:w="108" w:type="dxa"/>
                  </w:tcMar>
                </w:tcPr>
                <w:p>
                  <w:pPr>
                    <w:pStyle w:val="Normal"/>
                    <w:widowControl w:val="false"/>
                    <w:spacing w:lineRule="auto" w:line="240"/>
                    <w:rPr>
                      <w:sz w:val="20"/>
                      <w:szCs w:val="20"/>
                    </w:rPr>
                  </w:pPr>
                  <w:r>
                    <w:rPr>
                      <w:sz w:val="20"/>
                      <w:szCs w:val="20"/>
                    </w:rPr>
                  </w:r>
                </w:p>
              </w:tc>
              <w:tc>
                <w:tcPr>
                  <w:tcW w:w="808" w:type="dxa"/>
                  <w:gridSpan w:val="2"/>
                  <w:tcBorders>
                    <w:bottom w:val="single" w:sz="8" w:space="0" w:color="000000"/>
                    <w:right w:val="single" w:sz="8" w:space="0" w:color="000000"/>
                  </w:tcBorders>
                  <w:tcMar>
                    <w:top w:w="0" w:type="dxa"/>
                    <w:left w:w="108" w:type="dxa"/>
                    <w:right w:w="108" w:type="dxa"/>
                  </w:tcMar>
                </w:tcPr>
                <w:p>
                  <w:pPr>
                    <w:pStyle w:val="Normal"/>
                    <w:widowControl w:val="false"/>
                    <w:spacing w:lineRule="auto" w:line="240"/>
                    <w:rPr>
                      <w:sz w:val="20"/>
                      <w:szCs w:val="20"/>
                    </w:rPr>
                  </w:pPr>
                  <w:r>
                    <w:rPr>
                      <w:sz w:val="20"/>
                      <w:szCs w:val="20"/>
                    </w:rPr>
                  </w:r>
                </w:p>
              </w:tc>
              <w:tc>
                <w:tcPr>
                  <w:tcW w:w="1404" w:type="dxa"/>
                  <w:tcBorders>
                    <w:bottom w:val="single" w:sz="8" w:space="0" w:color="000000"/>
                    <w:right w:val="single" w:sz="8" w:space="0" w:color="000000"/>
                  </w:tcBorders>
                  <w:tcMar>
                    <w:top w:w="0" w:type="dxa"/>
                    <w:left w:w="108" w:type="dxa"/>
                    <w:right w:w="108" w:type="dxa"/>
                  </w:tcMar>
                </w:tcPr>
                <w:p>
                  <w:pPr>
                    <w:pStyle w:val="Normal"/>
                    <w:widowControl w:val="false"/>
                    <w:spacing w:lineRule="auto" w:line="240"/>
                    <w:rPr>
                      <w:sz w:val="20"/>
                      <w:szCs w:val="20"/>
                    </w:rPr>
                  </w:pPr>
                  <w:r>
                    <w:rPr>
                      <w:sz w:val="20"/>
                      <w:szCs w:val="20"/>
                    </w:rPr>
                  </w:r>
                </w:p>
              </w:tc>
              <w:tc>
                <w:tcPr>
                  <w:tcW w:w="1341" w:type="dxa"/>
                  <w:gridSpan w:val="2"/>
                  <w:tcBorders>
                    <w:bottom w:val="single" w:sz="8" w:space="0" w:color="000000"/>
                    <w:right w:val="single" w:sz="8" w:space="0" w:color="000000"/>
                  </w:tcBorders>
                  <w:tcMar>
                    <w:top w:w="0" w:type="dxa"/>
                    <w:left w:w="108" w:type="dxa"/>
                    <w:right w:w="108" w:type="dxa"/>
                  </w:tcMar>
                </w:tcPr>
                <w:p>
                  <w:pPr>
                    <w:pStyle w:val="Normal"/>
                    <w:widowControl w:val="false"/>
                    <w:spacing w:lineRule="auto" w:line="240"/>
                    <w:rPr>
                      <w:sz w:val="20"/>
                      <w:szCs w:val="20"/>
                    </w:rPr>
                  </w:pPr>
                  <w:r>
                    <w:rPr>
                      <w:sz w:val="20"/>
                      <w:szCs w:val="20"/>
                    </w:rPr>
                  </w:r>
                </w:p>
              </w:tc>
              <w:tc>
                <w:tcPr>
                  <w:tcW w:w="1111" w:type="dxa"/>
                  <w:tcBorders>
                    <w:bottom w:val="single" w:sz="8" w:space="0" w:color="000000"/>
                    <w:right w:val="single" w:sz="8" w:space="0" w:color="000000"/>
                  </w:tcBorders>
                  <w:tcMar>
                    <w:top w:w="0" w:type="dxa"/>
                    <w:left w:w="108" w:type="dxa"/>
                    <w:right w:w="108" w:type="dxa"/>
                  </w:tcMar>
                </w:tcPr>
                <w:p>
                  <w:pPr>
                    <w:pStyle w:val="Normal"/>
                    <w:widowControl w:val="false"/>
                    <w:spacing w:lineRule="auto" w:line="240"/>
                    <w:rPr>
                      <w:sz w:val="20"/>
                      <w:szCs w:val="20"/>
                    </w:rPr>
                  </w:pPr>
                  <w:r>
                    <w:rPr>
                      <w:sz w:val="20"/>
                      <w:szCs w:val="20"/>
                    </w:rPr>
                  </w:r>
                </w:p>
              </w:tc>
            </w:tr>
            <w:tr>
              <w:trPr/>
              <w:tc>
                <w:tcPr>
                  <w:tcW w:w="1216" w:type="dxa"/>
                  <w:tcBorders/>
                  <w:tcMar>
                    <w:top w:w="0" w:type="dxa"/>
                    <w:left w:w="0" w:type="dxa"/>
                    <w:right w:w="0" w:type="dxa"/>
                  </w:tcMar>
                </w:tcPr>
                <w:p>
                  <w:pPr>
                    <w:pStyle w:val="Normal"/>
                    <w:widowControl w:val="false"/>
                    <w:spacing w:lineRule="auto" w:line="240"/>
                    <w:jc w:val="center"/>
                    <w:rPr>
                      <w:sz w:val="20"/>
                      <w:szCs w:val="20"/>
                    </w:rPr>
                  </w:pPr>
                  <w:r>
                    <w:rPr>
                      <w:sz w:val="20"/>
                      <w:szCs w:val="20"/>
                    </w:rPr>
                  </w:r>
                </w:p>
              </w:tc>
              <w:tc>
                <w:tcPr>
                  <w:tcW w:w="0" w:type="dxa"/>
                  <w:tcBorders>
                    <w:left w:val="single" w:sz="8" w:space="0" w:color="000000"/>
                    <w:bottom w:val="single" w:sz="8" w:space="0" w:color="000000"/>
                    <w:right w:val="single" w:sz="8" w:space="0" w:color="000000"/>
                  </w:tcBorders>
                  <w:tcMar>
                    <w:top w:w="0" w:type="dxa"/>
                    <w:left w:w="108" w:type="dxa"/>
                    <w:right w:w="108" w:type="dxa"/>
                  </w:tcMar>
                </w:tcPr>
                <w:p>
                  <w:pPr>
                    <w:pStyle w:val="Normal"/>
                    <w:widowControl w:val="false"/>
                    <w:spacing w:lineRule="auto" w:line="240"/>
                    <w:jc w:val="center"/>
                    <w:rPr>
                      <w:sz w:val="20"/>
                      <w:szCs w:val="20"/>
                    </w:rPr>
                  </w:pPr>
                  <w:r>
                    <w:rPr>
                      <w:sz w:val="20"/>
                      <w:szCs w:val="20"/>
                    </w:rPr>
                  </w:r>
                </w:p>
              </w:tc>
              <w:tc>
                <w:tcPr>
                  <w:tcW w:w="2591" w:type="dxa"/>
                  <w:tcBorders>
                    <w:bottom w:val="single" w:sz="8" w:space="0" w:color="000000"/>
                    <w:right w:val="single" w:sz="8" w:space="0" w:color="000000"/>
                  </w:tcBorders>
                  <w:tcMar>
                    <w:top w:w="0" w:type="dxa"/>
                    <w:left w:w="108" w:type="dxa"/>
                    <w:right w:w="108" w:type="dxa"/>
                  </w:tcMar>
                </w:tcPr>
                <w:p>
                  <w:pPr>
                    <w:pStyle w:val="Normal"/>
                    <w:widowControl w:val="false"/>
                    <w:spacing w:lineRule="auto" w:line="240"/>
                    <w:rPr>
                      <w:sz w:val="20"/>
                      <w:szCs w:val="20"/>
                    </w:rPr>
                  </w:pPr>
                  <w:r>
                    <w:rPr>
                      <w:sz w:val="20"/>
                      <w:szCs w:val="20"/>
                    </w:rPr>
                  </w:r>
                </w:p>
              </w:tc>
              <w:tc>
                <w:tcPr>
                  <w:tcW w:w="1262" w:type="dxa"/>
                  <w:tcBorders>
                    <w:bottom w:val="single" w:sz="8" w:space="0" w:color="000000"/>
                    <w:right w:val="single" w:sz="8" w:space="0" w:color="000000"/>
                  </w:tcBorders>
                  <w:tcMar>
                    <w:top w:w="0" w:type="dxa"/>
                    <w:left w:w="108" w:type="dxa"/>
                    <w:right w:w="108" w:type="dxa"/>
                  </w:tcMar>
                </w:tcPr>
                <w:p>
                  <w:pPr>
                    <w:pStyle w:val="Normal"/>
                    <w:widowControl w:val="false"/>
                    <w:spacing w:lineRule="auto" w:line="240"/>
                    <w:rPr>
                      <w:sz w:val="20"/>
                      <w:szCs w:val="20"/>
                    </w:rPr>
                  </w:pPr>
                  <w:r>
                    <w:rPr>
                      <w:sz w:val="20"/>
                      <w:szCs w:val="20"/>
                    </w:rPr>
                  </w:r>
                </w:p>
              </w:tc>
              <w:tc>
                <w:tcPr>
                  <w:tcW w:w="808" w:type="dxa"/>
                  <w:gridSpan w:val="2"/>
                  <w:tcBorders>
                    <w:bottom w:val="single" w:sz="8" w:space="0" w:color="000000"/>
                    <w:right w:val="single" w:sz="8" w:space="0" w:color="000000"/>
                  </w:tcBorders>
                  <w:tcMar>
                    <w:top w:w="0" w:type="dxa"/>
                    <w:left w:w="108" w:type="dxa"/>
                    <w:right w:w="108" w:type="dxa"/>
                  </w:tcMar>
                </w:tcPr>
                <w:p>
                  <w:pPr>
                    <w:pStyle w:val="Normal"/>
                    <w:widowControl w:val="false"/>
                    <w:spacing w:lineRule="auto" w:line="240"/>
                    <w:rPr>
                      <w:sz w:val="20"/>
                      <w:szCs w:val="20"/>
                    </w:rPr>
                  </w:pPr>
                  <w:r>
                    <w:rPr>
                      <w:sz w:val="20"/>
                      <w:szCs w:val="20"/>
                    </w:rPr>
                  </w:r>
                </w:p>
              </w:tc>
              <w:tc>
                <w:tcPr>
                  <w:tcW w:w="1404" w:type="dxa"/>
                  <w:tcBorders>
                    <w:bottom w:val="single" w:sz="8" w:space="0" w:color="000000"/>
                    <w:right w:val="single" w:sz="8" w:space="0" w:color="000000"/>
                  </w:tcBorders>
                  <w:tcMar>
                    <w:top w:w="0" w:type="dxa"/>
                    <w:left w:w="108" w:type="dxa"/>
                    <w:right w:w="108" w:type="dxa"/>
                  </w:tcMar>
                </w:tcPr>
                <w:p>
                  <w:pPr>
                    <w:pStyle w:val="Normal"/>
                    <w:widowControl w:val="false"/>
                    <w:spacing w:lineRule="auto" w:line="240"/>
                    <w:rPr>
                      <w:sz w:val="20"/>
                      <w:szCs w:val="20"/>
                    </w:rPr>
                  </w:pPr>
                  <w:r>
                    <w:rPr>
                      <w:sz w:val="20"/>
                      <w:szCs w:val="20"/>
                    </w:rPr>
                  </w:r>
                </w:p>
              </w:tc>
              <w:tc>
                <w:tcPr>
                  <w:tcW w:w="1341" w:type="dxa"/>
                  <w:gridSpan w:val="2"/>
                  <w:tcBorders>
                    <w:bottom w:val="single" w:sz="8" w:space="0" w:color="000000"/>
                    <w:right w:val="single" w:sz="8" w:space="0" w:color="000000"/>
                  </w:tcBorders>
                  <w:tcMar>
                    <w:top w:w="0" w:type="dxa"/>
                    <w:left w:w="108" w:type="dxa"/>
                    <w:right w:w="108" w:type="dxa"/>
                  </w:tcMar>
                </w:tcPr>
                <w:p>
                  <w:pPr>
                    <w:pStyle w:val="Normal"/>
                    <w:widowControl w:val="false"/>
                    <w:spacing w:lineRule="auto" w:line="240"/>
                    <w:rPr>
                      <w:sz w:val="20"/>
                      <w:szCs w:val="20"/>
                    </w:rPr>
                  </w:pPr>
                  <w:r>
                    <w:rPr>
                      <w:sz w:val="20"/>
                      <w:szCs w:val="20"/>
                    </w:rPr>
                  </w:r>
                </w:p>
              </w:tc>
              <w:tc>
                <w:tcPr>
                  <w:tcW w:w="1111" w:type="dxa"/>
                  <w:tcBorders>
                    <w:bottom w:val="single" w:sz="8" w:space="0" w:color="000000"/>
                    <w:right w:val="single" w:sz="8" w:space="0" w:color="000000"/>
                  </w:tcBorders>
                  <w:tcMar>
                    <w:top w:w="0" w:type="dxa"/>
                    <w:left w:w="108" w:type="dxa"/>
                    <w:right w:w="108" w:type="dxa"/>
                  </w:tcMar>
                </w:tcPr>
                <w:p>
                  <w:pPr>
                    <w:pStyle w:val="Normal"/>
                    <w:widowControl w:val="false"/>
                    <w:spacing w:lineRule="auto" w:line="240"/>
                    <w:rPr>
                      <w:sz w:val="20"/>
                      <w:szCs w:val="20"/>
                    </w:rPr>
                  </w:pPr>
                  <w:r>
                    <w:rPr>
                      <w:sz w:val="20"/>
                      <w:szCs w:val="20"/>
                    </w:rPr>
                  </w:r>
                </w:p>
              </w:tc>
            </w:tr>
            <w:tr>
              <w:trPr/>
              <w:tc>
                <w:tcPr>
                  <w:tcW w:w="1216" w:type="dxa"/>
                  <w:tcBorders/>
                  <w:tcMar>
                    <w:top w:w="0" w:type="dxa"/>
                    <w:left w:w="0" w:type="dxa"/>
                    <w:right w:w="0" w:type="dxa"/>
                  </w:tcMar>
                </w:tcPr>
                <w:p>
                  <w:pPr>
                    <w:pStyle w:val="Normal"/>
                    <w:widowControl w:val="false"/>
                    <w:spacing w:lineRule="auto" w:line="240"/>
                    <w:rPr>
                      <w:sz w:val="20"/>
                      <w:szCs w:val="20"/>
                    </w:rPr>
                  </w:pPr>
                  <w:r>
                    <w:rPr>
                      <w:sz w:val="20"/>
                      <w:szCs w:val="20"/>
                    </w:rPr>
                  </w:r>
                </w:p>
              </w:tc>
              <w:tc>
                <w:tcPr>
                  <w:tcW w:w="2591" w:type="dxa"/>
                  <w:tcBorders>
                    <w:left w:val="single" w:sz="8" w:space="0" w:color="000000"/>
                    <w:bottom w:val="single" w:sz="8" w:space="0" w:color="000000"/>
                    <w:right w:val="single" w:sz="8" w:space="0" w:color="000000"/>
                  </w:tcBorders>
                  <w:tcMar>
                    <w:top w:w="0" w:type="dxa"/>
                    <w:left w:w="108" w:type="dxa"/>
                    <w:right w:w="108" w:type="dxa"/>
                  </w:tcMar>
                </w:tcPr>
                <w:p>
                  <w:pPr>
                    <w:pStyle w:val="Normal"/>
                    <w:widowControl w:val="false"/>
                    <w:spacing w:lineRule="auto" w:line="240"/>
                    <w:rPr>
                      <w:sz w:val="20"/>
                      <w:szCs w:val="20"/>
                    </w:rPr>
                  </w:pPr>
                  <w:r>
                    <w:rPr>
                      <w:sz w:val="20"/>
                      <w:szCs w:val="20"/>
                    </w:rPr>
                    <w:t>Выполнено работ</w:t>
                  </w:r>
                </w:p>
              </w:tc>
              <w:tc>
                <w:tcPr>
                  <w:tcW w:w="3480" w:type="dxa"/>
                  <w:gridSpan w:val="5"/>
                  <w:tcBorders>
                    <w:bottom w:val="single" w:sz="8" w:space="0" w:color="000000"/>
                    <w:right w:val="single" w:sz="8" w:space="0" w:color="000000"/>
                  </w:tcBorders>
                  <w:tcMar>
                    <w:top w:w="0" w:type="dxa"/>
                    <w:left w:w="108" w:type="dxa"/>
                    <w:right w:w="108" w:type="dxa"/>
                  </w:tcMar>
                  <w:vAlign w:val="center"/>
                </w:tcPr>
                <w:p>
                  <w:pPr>
                    <w:pStyle w:val="Normal"/>
                    <w:widowControl w:val="false"/>
                    <w:spacing w:lineRule="auto" w:line="240"/>
                    <w:jc w:val="center"/>
                    <w:rPr>
                      <w:b/>
                      <w:b/>
                      <w:bCs/>
                      <w:sz w:val="20"/>
                      <w:szCs w:val="20"/>
                    </w:rPr>
                  </w:pPr>
                  <w:r>
                    <w:rPr>
                      <w:b/>
                      <w:bCs/>
                      <w:sz w:val="20"/>
                      <w:szCs w:val="20"/>
                    </w:rPr>
                    <w:t>ИТОГО</w:t>
                  </w:r>
                </w:p>
              </w:tc>
              <w:tc>
                <w:tcPr>
                  <w:tcW w:w="1335" w:type="dxa"/>
                  <w:tcBorders>
                    <w:bottom w:val="single" w:sz="8" w:space="0" w:color="000000"/>
                    <w:right w:val="single" w:sz="8" w:space="0" w:color="000000"/>
                  </w:tcBorders>
                  <w:tcMar>
                    <w:top w:w="0" w:type="dxa"/>
                    <w:left w:w="108" w:type="dxa"/>
                    <w:right w:w="108" w:type="dxa"/>
                  </w:tcMar>
                </w:tcPr>
                <w:p>
                  <w:pPr>
                    <w:pStyle w:val="Normal"/>
                    <w:widowControl w:val="false"/>
                    <w:spacing w:lineRule="auto" w:line="240"/>
                    <w:rPr>
                      <w:sz w:val="20"/>
                      <w:szCs w:val="20"/>
                    </w:rPr>
                  </w:pPr>
                  <w:r>
                    <w:rPr>
                      <w:sz w:val="20"/>
                      <w:szCs w:val="20"/>
                    </w:rPr>
                  </w:r>
                </w:p>
              </w:tc>
              <w:tc>
                <w:tcPr>
                  <w:tcW w:w="1111" w:type="dxa"/>
                  <w:tcBorders>
                    <w:bottom w:val="single" w:sz="8" w:space="0" w:color="000000"/>
                    <w:right w:val="single" w:sz="8" w:space="0" w:color="000000"/>
                  </w:tcBorders>
                  <w:tcMar>
                    <w:top w:w="0" w:type="dxa"/>
                    <w:left w:w="108" w:type="dxa"/>
                    <w:right w:w="108" w:type="dxa"/>
                  </w:tcMar>
                </w:tcPr>
                <w:p>
                  <w:pPr>
                    <w:pStyle w:val="Normal"/>
                    <w:widowControl w:val="false"/>
                    <w:spacing w:lineRule="auto" w:line="240"/>
                    <w:rPr>
                      <w:sz w:val="20"/>
                      <w:szCs w:val="20"/>
                    </w:rPr>
                  </w:pPr>
                  <w:r>
                    <w:rPr>
                      <w:sz w:val="20"/>
                      <w:szCs w:val="20"/>
                    </w:rPr>
                  </w:r>
                </w:p>
              </w:tc>
            </w:tr>
          </w:tbl>
          <w:p>
            <w:pPr>
              <w:pStyle w:val="Normal"/>
              <w:widowControl w:val="false"/>
              <w:spacing w:lineRule="auto" w:line="240"/>
              <w:rPr>
                <w:sz w:val="20"/>
                <w:szCs w:val="20"/>
              </w:rPr>
            </w:pPr>
            <w:r>
              <w:rPr>
                <w:sz w:val="20"/>
                <w:szCs w:val="20"/>
              </w:rPr>
            </w:r>
          </w:p>
          <w:p>
            <w:pPr>
              <w:pStyle w:val="Normal"/>
              <w:widowControl w:val="false"/>
              <w:spacing w:lineRule="auto" w:line="240"/>
              <w:rPr>
                <w:sz w:val="20"/>
                <w:szCs w:val="20"/>
              </w:rPr>
            </w:pPr>
            <w:r>
              <w:rPr>
                <w:sz w:val="20"/>
                <w:szCs w:val="20"/>
              </w:rPr>
              <w:t>Выполненные работы удовлетворяют условиям договора (техническому заданию).</w:t>
            </w:r>
          </w:p>
          <w:p>
            <w:pPr>
              <w:pStyle w:val="Normal"/>
              <w:widowControl w:val="false"/>
              <w:spacing w:lineRule="auto" w:line="240"/>
              <w:rPr>
                <w:sz w:val="20"/>
                <w:szCs w:val="20"/>
              </w:rPr>
            </w:pPr>
            <w:r>
              <w:rPr>
                <w:sz w:val="20"/>
                <w:szCs w:val="20"/>
              </w:rPr>
              <w:t>Субподрядчиком переданы Генподрядчику следующие документы (с указанием количества оригиналов/копий, на каком носителе, в каком формате)</w:t>
            </w:r>
          </w:p>
          <w:p>
            <w:pPr>
              <w:pStyle w:val="Normal"/>
              <w:widowControl w:val="false"/>
              <w:spacing w:lineRule="auto" w:line="240"/>
              <w:rPr>
                <w:sz w:val="20"/>
                <w:szCs w:val="20"/>
              </w:rPr>
            </w:pPr>
            <w:r>
              <w:rPr>
                <w:sz w:val="20"/>
                <w:szCs w:val="20"/>
              </w:rPr>
              <w:t>____________________________________________________________________</w:t>
            </w:r>
          </w:p>
          <w:tbl>
            <w:tblPr>
              <w:tblW w:w="9720"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451"/>
              <w:gridCol w:w="4049"/>
              <w:gridCol w:w="707"/>
              <w:gridCol w:w="347"/>
              <w:gridCol w:w="4166"/>
            </w:tblGrid>
            <w:tr>
              <w:trPr>
                <w:cantSplit w:val="true"/>
              </w:trPr>
              <w:tc>
                <w:tcPr>
                  <w:tcW w:w="4500" w:type="dxa"/>
                  <w:gridSpan w:val="2"/>
                  <w:tcBorders/>
                </w:tcPr>
                <w:p>
                  <w:pPr>
                    <w:pStyle w:val="Normal"/>
                    <w:widowControl w:val="false"/>
                    <w:spacing w:lineRule="auto" w:line="240"/>
                    <w:rPr>
                      <w:sz w:val="20"/>
                      <w:szCs w:val="20"/>
                    </w:rPr>
                  </w:pPr>
                  <w:r>
                    <w:rPr>
                      <w:b/>
                      <w:bCs/>
                      <w:sz w:val="20"/>
                      <w:szCs w:val="20"/>
                    </w:rPr>
                    <w:t>Генподрядчика:</w:t>
                  </w:r>
                </w:p>
              </w:tc>
              <w:tc>
                <w:tcPr>
                  <w:tcW w:w="707" w:type="dxa"/>
                  <w:vMerge w:val="restart"/>
                  <w:tcBorders/>
                </w:tcPr>
                <w:p>
                  <w:pPr>
                    <w:pStyle w:val="Normal"/>
                    <w:widowControl w:val="false"/>
                    <w:spacing w:lineRule="auto" w:line="240"/>
                    <w:rPr>
                      <w:sz w:val="20"/>
                      <w:szCs w:val="20"/>
                    </w:rPr>
                  </w:pPr>
                  <w:r>
                    <w:rPr>
                      <w:sz w:val="20"/>
                      <w:szCs w:val="20"/>
                    </w:rPr>
                  </w:r>
                </w:p>
              </w:tc>
              <w:tc>
                <w:tcPr>
                  <w:tcW w:w="4513" w:type="dxa"/>
                  <w:gridSpan w:val="2"/>
                  <w:tcBorders/>
                </w:tcPr>
                <w:p>
                  <w:pPr>
                    <w:pStyle w:val="Normal"/>
                    <w:widowControl w:val="false"/>
                    <w:spacing w:lineRule="auto" w:line="240"/>
                    <w:rPr>
                      <w:sz w:val="20"/>
                      <w:szCs w:val="20"/>
                    </w:rPr>
                  </w:pPr>
                  <w:r>
                    <w:rPr>
                      <w:b/>
                      <w:bCs/>
                      <w:sz w:val="20"/>
                      <w:szCs w:val="20"/>
                    </w:rPr>
                    <w:t>Субподрядчика:</w:t>
                  </w:r>
                </w:p>
              </w:tc>
            </w:tr>
            <w:tr>
              <w:trPr>
                <w:cantSplit w:val="true"/>
              </w:trPr>
              <w:tc>
                <w:tcPr>
                  <w:tcW w:w="4500" w:type="dxa"/>
                  <w:gridSpan w:val="2"/>
                  <w:tcBorders/>
                </w:tcPr>
                <w:p>
                  <w:pPr>
                    <w:pStyle w:val="Normal"/>
                    <w:widowControl w:val="false"/>
                    <w:spacing w:lineRule="auto" w:line="240"/>
                    <w:rPr>
                      <w:b/>
                      <w:b/>
                      <w:bCs/>
                      <w:sz w:val="20"/>
                      <w:szCs w:val="20"/>
                    </w:rPr>
                  </w:pPr>
                  <w:r>
                    <w:rPr>
                      <w:b/>
                      <w:bCs/>
                      <w:sz w:val="20"/>
                      <w:szCs w:val="20"/>
                    </w:rPr>
                  </w:r>
                </w:p>
              </w:tc>
              <w:tc>
                <w:tcPr>
                  <w:tcW w:w="707"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4513" w:type="dxa"/>
                  <w:gridSpan w:val="2"/>
                  <w:tcBorders/>
                </w:tcPr>
                <w:p>
                  <w:pPr>
                    <w:pStyle w:val="Normal"/>
                    <w:widowControl w:val="false"/>
                    <w:spacing w:lineRule="auto" w:line="240"/>
                    <w:rPr>
                      <w:b/>
                      <w:b/>
                      <w:bCs/>
                      <w:sz w:val="20"/>
                      <w:szCs w:val="20"/>
                    </w:rPr>
                  </w:pPr>
                  <w:r>
                    <w:rPr>
                      <w:b/>
                      <w:bCs/>
                      <w:sz w:val="20"/>
                      <w:szCs w:val="20"/>
                    </w:rPr>
                  </w:r>
                </w:p>
              </w:tc>
            </w:tr>
            <w:tr>
              <w:trPr>
                <w:cantSplit w:val="true"/>
              </w:trPr>
              <w:tc>
                <w:tcPr>
                  <w:tcW w:w="451" w:type="dxa"/>
                  <w:vMerge w:val="restart"/>
                  <w:tcBorders/>
                </w:tcPr>
                <w:p>
                  <w:pPr>
                    <w:pStyle w:val="Normal"/>
                    <w:widowControl w:val="false"/>
                    <w:spacing w:lineRule="auto" w:line="240"/>
                    <w:rPr>
                      <w:sz w:val="20"/>
                      <w:szCs w:val="20"/>
                    </w:rPr>
                  </w:pPr>
                  <w:r>
                    <w:rPr>
                      <w:sz w:val="20"/>
                      <w:szCs w:val="20"/>
                    </w:rPr>
                  </w:r>
                </w:p>
              </w:tc>
              <w:tc>
                <w:tcPr>
                  <w:tcW w:w="4049" w:type="dxa"/>
                  <w:tcBorders>
                    <w:top w:val="single" w:sz="4" w:space="0" w:color="000000"/>
                  </w:tcBorders>
                </w:tcPr>
                <w:p>
                  <w:pPr>
                    <w:pStyle w:val="Normal"/>
                    <w:widowControl w:val="false"/>
                    <w:spacing w:lineRule="auto" w:line="240"/>
                    <w:jc w:val="center"/>
                    <w:rPr>
                      <w:sz w:val="20"/>
                      <w:szCs w:val="20"/>
                    </w:rPr>
                  </w:pPr>
                  <w:r>
                    <w:rPr>
                      <w:i/>
                      <w:iCs/>
                      <w:sz w:val="20"/>
                      <w:szCs w:val="20"/>
                    </w:rPr>
                    <w:t>(должность)</w:t>
                  </w:r>
                </w:p>
              </w:tc>
              <w:tc>
                <w:tcPr>
                  <w:tcW w:w="707"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347" w:type="dxa"/>
                  <w:vMerge w:val="restart"/>
                  <w:tcBorders/>
                </w:tcPr>
                <w:p>
                  <w:pPr>
                    <w:pStyle w:val="Normal"/>
                    <w:widowControl w:val="false"/>
                    <w:spacing w:lineRule="auto" w:line="240"/>
                    <w:rPr>
                      <w:sz w:val="20"/>
                      <w:szCs w:val="20"/>
                    </w:rPr>
                  </w:pPr>
                  <w:r>
                    <w:rPr>
                      <w:sz w:val="20"/>
                      <w:szCs w:val="20"/>
                    </w:rPr>
                  </w:r>
                </w:p>
              </w:tc>
              <w:tc>
                <w:tcPr>
                  <w:tcW w:w="4166" w:type="dxa"/>
                  <w:tcBorders>
                    <w:top w:val="single" w:sz="4" w:space="0" w:color="000000"/>
                  </w:tcBorders>
                </w:tcPr>
                <w:p>
                  <w:pPr>
                    <w:pStyle w:val="Normal"/>
                    <w:widowControl w:val="false"/>
                    <w:spacing w:lineRule="auto" w:line="240"/>
                    <w:jc w:val="center"/>
                    <w:rPr>
                      <w:sz w:val="20"/>
                      <w:szCs w:val="20"/>
                    </w:rPr>
                  </w:pPr>
                  <w:r>
                    <w:rPr>
                      <w:i/>
                      <w:iCs/>
                      <w:sz w:val="20"/>
                      <w:szCs w:val="20"/>
                    </w:rPr>
                    <w:t>(должность)</w:t>
                  </w:r>
                </w:p>
              </w:tc>
            </w:tr>
            <w:tr>
              <w:trPr>
                <w:cantSplit w:val="true"/>
              </w:trPr>
              <w:tc>
                <w:tcPr>
                  <w:tcW w:w="451"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4049" w:type="dxa"/>
                  <w:tcBorders>
                    <w:bottom w:val="single" w:sz="4" w:space="0" w:color="000000"/>
                  </w:tcBorders>
                </w:tcPr>
                <w:p>
                  <w:pPr>
                    <w:pStyle w:val="Normal"/>
                    <w:widowControl w:val="false"/>
                    <w:spacing w:lineRule="auto" w:line="240"/>
                    <w:rPr>
                      <w:sz w:val="20"/>
                      <w:szCs w:val="20"/>
                    </w:rPr>
                  </w:pPr>
                  <w:r>
                    <w:rPr>
                      <w:sz w:val="20"/>
                      <w:szCs w:val="20"/>
                    </w:rPr>
                  </w:r>
                </w:p>
              </w:tc>
              <w:tc>
                <w:tcPr>
                  <w:tcW w:w="707"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347"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4166" w:type="dxa"/>
                  <w:tcBorders>
                    <w:bottom w:val="single" w:sz="4" w:space="0" w:color="000000"/>
                  </w:tcBorders>
                </w:tcPr>
                <w:p>
                  <w:pPr>
                    <w:pStyle w:val="Normal"/>
                    <w:widowControl w:val="false"/>
                    <w:spacing w:lineRule="auto" w:line="240"/>
                    <w:rPr>
                      <w:sz w:val="20"/>
                      <w:szCs w:val="20"/>
                    </w:rPr>
                  </w:pPr>
                  <w:r>
                    <w:rPr>
                      <w:sz w:val="20"/>
                      <w:szCs w:val="20"/>
                    </w:rPr>
                  </w:r>
                </w:p>
              </w:tc>
            </w:tr>
            <w:tr>
              <w:trPr>
                <w:cantSplit w:val="true"/>
              </w:trPr>
              <w:tc>
                <w:tcPr>
                  <w:tcW w:w="451"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4049" w:type="dxa"/>
                  <w:tcBorders>
                    <w:top w:val="single" w:sz="4" w:space="0" w:color="000000"/>
                  </w:tcBorders>
                </w:tcPr>
                <w:p>
                  <w:pPr>
                    <w:pStyle w:val="Normal"/>
                    <w:widowControl w:val="false"/>
                    <w:spacing w:lineRule="auto" w:line="240"/>
                    <w:jc w:val="center"/>
                    <w:rPr>
                      <w:sz w:val="20"/>
                      <w:szCs w:val="20"/>
                    </w:rPr>
                  </w:pPr>
                  <w:r>
                    <w:rPr>
                      <w:i/>
                      <w:iCs/>
                      <w:sz w:val="20"/>
                      <w:szCs w:val="20"/>
                    </w:rPr>
                    <w:t>(подпись)</w:t>
                  </w:r>
                </w:p>
              </w:tc>
              <w:tc>
                <w:tcPr>
                  <w:tcW w:w="707"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347"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4166" w:type="dxa"/>
                  <w:tcBorders>
                    <w:top w:val="single" w:sz="4" w:space="0" w:color="000000"/>
                  </w:tcBorders>
                </w:tcPr>
                <w:p>
                  <w:pPr>
                    <w:pStyle w:val="Normal"/>
                    <w:widowControl w:val="false"/>
                    <w:spacing w:lineRule="auto" w:line="240"/>
                    <w:jc w:val="center"/>
                    <w:rPr>
                      <w:sz w:val="20"/>
                      <w:szCs w:val="20"/>
                    </w:rPr>
                  </w:pPr>
                  <w:r>
                    <w:rPr>
                      <w:i/>
                      <w:iCs/>
                      <w:sz w:val="20"/>
                      <w:szCs w:val="20"/>
                    </w:rPr>
                    <w:t>(подпись)</w:t>
                  </w:r>
                </w:p>
              </w:tc>
            </w:tr>
            <w:tr>
              <w:trPr>
                <w:cantSplit w:val="true"/>
              </w:trPr>
              <w:tc>
                <w:tcPr>
                  <w:tcW w:w="451"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4049" w:type="dxa"/>
                  <w:tcBorders>
                    <w:bottom w:val="single" w:sz="4" w:space="0" w:color="000000"/>
                  </w:tcBorders>
                </w:tcPr>
                <w:p>
                  <w:pPr>
                    <w:pStyle w:val="Normal"/>
                    <w:widowControl w:val="false"/>
                    <w:spacing w:lineRule="auto" w:line="240"/>
                    <w:rPr>
                      <w:sz w:val="20"/>
                      <w:szCs w:val="20"/>
                    </w:rPr>
                  </w:pPr>
                  <w:r>
                    <w:rPr>
                      <w:sz w:val="20"/>
                      <w:szCs w:val="20"/>
                    </w:rPr>
                  </w:r>
                </w:p>
              </w:tc>
              <w:tc>
                <w:tcPr>
                  <w:tcW w:w="707"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347"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4166" w:type="dxa"/>
                  <w:tcBorders>
                    <w:bottom w:val="single" w:sz="4" w:space="0" w:color="000000"/>
                  </w:tcBorders>
                </w:tcPr>
                <w:p>
                  <w:pPr>
                    <w:pStyle w:val="Normal"/>
                    <w:widowControl w:val="false"/>
                    <w:spacing w:lineRule="auto" w:line="240"/>
                    <w:rPr>
                      <w:sz w:val="20"/>
                      <w:szCs w:val="20"/>
                    </w:rPr>
                  </w:pPr>
                  <w:r>
                    <w:rPr>
                      <w:sz w:val="20"/>
                      <w:szCs w:val="20"/>
                    </w:rPr>
                  </w:r>
                </w:p>
              </w:tc>
            </w:tr>
            <w:tr>
              <w:trPr>
                <w:cantSplit w:val="true"/>
              </w:trPr>
              <w:tc>
                <w:tcPr>
                  <w:tcW w:w="451"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4049" w:type="dxa"/>
                  <w:tcBorders>
                    <w:top w:val="single" w:sz="4" w:space="0" w:color="000000"/>
                  </w:tcBorders>
                </w:tcPr>
                <w:p>
                  <w:pPr>
                    <w:pStyle w:val="Normal"/>
                    <w:widowControl w:val="false"/>
                    <w:spacing w:lineRule="auto" w:line="240"/>
                    <w:ind w:firstLine="7"/>
                    <w:jc w:val="center"/>
                    <w:rPr>
                      <w:sz w:val="20"/>
                      <w:szCs w:val="20"/>
                    </w:rPr>
                  </w:pPr>
                  <w:r>
                    <w:rPr>
                      <w:i/>
                      <w:iCs/>
                      <w:sz w:val="20"/>
                      <w:szCs w:val="20"/>
                    </w:rPr>
                    <w:t>(расшифровка подписи)</w:t>
                  </w:r>
                </w:p>
              </w:tc>
              <w:tc>
                <w:tcPr>
                  <w:tcW w:w="707"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347"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4166" w:type="dxa"/>
                  <w:tcBorders>
                    <w:top w:val="single" w:sz="4" w:space="0" w:color="000000"/>
                  </w:tcBorders>
                </w:tcPr>
                <w:p>
                  <w:pPr>
                    <w:pStyle w:val="Normal"/>
                    <w:widowControl w:val="false"/>
                    <w:spacing w:lineRule="auto" w:line="240"/>
                    <w:jc w:val="center"/>
                    <w:rPr>
                      <w:sz w:val="20"/>
                      <w:szCs w:val="20"/>
                    </w:rPr>
                  </w:pPr>
                  <w:r>
                    <w:rPr>
                      <w:i/>
                      <w:iCs/>
                      <w:sz w:val="20"/>
                      <w:szCs w:val="20"/>
                    </w:rPr>
                    <w:t>(расшифровка подписи)</w:t>
                  </w:r>
                </w:p>
              </w:tc>
            </w:tr>
            <w:tr>
              <w:trPr>
                <w:cantSplit w:val="true"/>
              </w:trPr>
              <w:tc>
                <w:tcPr>
                  <w:tcW w:w="451"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4049" w:type="dxa"/>
                  <w:tcBorders/>
                </w:tcPr>
                <w:p>
                  <w:pPr>
                    <w:pStyle w:val="Normal"/>
                    <w:widowControl w:val="false"/>
                    <w:spacing w:lineRule="auto" w:line="240"/>
                    <w:rPr>
                      <w:sz w:val="20"/>
                      <w:szCs w:val="20"/>
                    </w:rPr>
                  </w:pPr>
                  <w:r>
                    <w:rPr>
                      <w:sz w:val="20"/>
                      <w:szCs w:val="20"/>
                    </w:rPr>
                  </w:r>
                </w:p>
              </w:tc>
              <w:tc>
                <w:tcPr>
                  <w:tcW w:w="707"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347"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4166" w:type="dxa"/>
                  <w:tcBorders/>
                </w:tcPr>
                <w:p>
                  <w:pPr>
                    <w:pStyle w:val="Normal"/>
                    <w:widowControl w:val="false"/>
                    <w:spacing w:lineRule="auto" w:line="240"/>
                    <w:rPr>
                      <w:sz w:val="20"/>
                      <w:szCs w:val="20"/>
                    </w:rPr>
                  </w:pPr>
                  <w:r>
                    <w:rPr>
                      <w:sz w:val="20"/>
                      <w:szCs w:val="20"/>
                    </w:rPr>
                  </w:r>
                </w:p>
              </w:tc>
            </w:tr>
          </w:tbl>
          <w:p>
            <w:pPr>
              <w:pStyle w:val="Normal"/>
              <w:widowControl w:val="false"/>
              <w:spacing w:lineRule="auto" w:line="240"/>
              <w:ind w:right="-76" w:firstLine="567"/>
              <w:jc w:val="center"/>
              <w:rPr>
                <w:szCs w:val="24"/>
              </w:rPr>
            </w:pPr>
            <w:r>
              <w:rPr>
                <w:szCs w:val="24"/>
              </w:rPr>
            </w:r>
          </w:p>
        </w:tc>
      </w:tr>
    </w:tbl>
    <w:p>
      <w:pPr>
        <w:pStyle w:val="Normal"/>
        <w:spacing w:lineRule="auto" w:line="240"/>
        <w:ind w:left="5103" w:firstLine="567"/>
        <w:rPr>
          <w:sz w:val="24"/>
          <w:szCs w:val="24"/>
        </w:rPr>
      </w:pPr>
      <w:r>
        <w:rPr>
          <w:sz w:val="24"/>
          <w:szCs w:val="24"/>
        </w:rPr>
      </w:r>
    </w:p>
    <w:p>
      <w:pPr>
        <w:pStyle w:val="Normal"/>
        <w:spacing w:lineRule="auto" w:line="240"/>
        <w:ind w:left="5103" w:firstLine="567"/>
        <w:rPr>
          <w:sz w:val="24"/>
          <w:szCs w:val="24"/>
        </w:rPr>
      </w:pPr>
      <w:r>
        <w:rPr>
          <w:sz w:val="24"/>
          <w:szCs w:val="24"/>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spacing w:lineRule="auto" w:line="240"/>
              <w:rPr>
                <w:b/>
                <w:b/>
                <w:sz w:val="24"/>
                <w:szCs w:val="24"/>
                <w:lang w:val="en-US"/>
              </w:rPr>
            </w:pPr>
            <w:r>
              <w:rPr>
                <w:b/>
                <w:sz w:val="24"/>
                <w:szCs w:val="24"/>
              </w:rPr>
              <w:t>Генподрядчик</w:t>
            </w:r>
            <w:r>
              <w:rPr>
                <w:b/>
                <w:sz w:val="24"/>
                <w:szCs w:val="24"/>
                <w:lang w:val="en-US"/>
              </w:rPr>
              <w:t>:</w:t>
            </w:r>
          </w:p>
          <w:p>
            <w:pPr>
              <w:pStyle w:val="Normal"/>
              <w:widowControl w:val="false"/>
              <w:spacing w:lineRule="auto" w:line="240"/>
              <w:rPr>
                <w:b/>
                <w:b/>
                <w:sz w:val="24"/>
                <w:szCs w:val="24"/>
              </w:rPr>
            </w:pPr>
            <w:r>
              <w:rPr>
                <w:b/>
                <w:sz w:val="24"/>
                <w:szCs w:val="24"/>
              </w:rPr>
            </w:r>
          </w:p>
          <w:p>
            <w:pPr>
              <w:pStyle w:val="Normal"/>
              <w:widowControl w:val="false"/>
              <w:spacing w:lineRule="auto" w:line="240"/>
              <w:ind w:firstLine="34"/>
              <w:rPr>
                <w:b/>
                <w:b/>
                <w:sz w:val="24"/>
                <w:szCs w:val="24"/>
              </w:rPr>
            </w:pPr>
            <w:r>
              <w:rPr>
                <w:b/>
                <w:sz w:val="24"/>
                <w:szCs w:val="24"/>
              </w:rPr>
              <w:t>__________/___________________________</w:t>
            </w:r>
          </w:p>
        </w:tc>
        <w:tc>
          <w:tcPr>
            <w:tcW w:w="4785" w:type="dxa"/>
            <w:tcBorders/>
          </w:tcPr>
          <w:p>
            <w:pPr>
              <w:pStyle w:val="Normal"/>
              <w:widowControl w:val="false"/>
              <w:spacing w:lineRule="auto" w:line="240"/>
              <w:rPr>
                <w:b/>
                <w:b/>
                <w:sz w:val="24"/>
                <w:szCs w:val="24"/>
              </w:rPr>
            </w:pPr>
            <w:r>
              <w:rPr>
                <w:b/>
                <w:sz w:val="24"/>
                <w:szCs w:val="24"/>
              </w:rPr>
              <w:t>Субподрядчик:</w:t>
            </w:r>
          </w:p>
          <w:p>
            <w:pPr>
              <w:pStyle w:val="Normal"/>
              <w:widowControl w:val="false"/>
              <w:spacing w:lineRule="auto" w:line="240"/>
              <w:rPr>
                <w:b/>
                <w:b/>
                <w:sz w:val="24"/>
                <w:szCs w:val="24"/>
              </w:rPr>
            </w:pPr>
            <w:r>
              <w:rPr>
                <w:b/>
                <w:sz w:val="24"/>
                <w:szCs w:val="24"/>
              </w:rPr>
            </w:r>
          </w:p>
          <w:p>
            <w:pPr>
              <w:pStyle w:val="Normal"/>
              <w:widowControl w:val="false"/>
              <w:spacing w:lineRule="auto" w:line="240"/>
              <w:ind w:hanging="0"/>
              <w:rPr>
                <w:b/>
                <w:b/>
                <w:sz w:val="24"/>
                <w:szCs w:val="24"/>
              </w:rPr>
            </w:pPr>
            <w:r>
              <w:rPr>
                <w:b/>
                <w:sz w:val="24"/>
                <w:szCs w:val="24"/>
              </w:rPr>
              <w:t>_______________/_____________________</w:t>
            </w:r>
          </w:p>
        </w:tc>
      </w:tr>
    </w:tbl>
    <w:p>
      <w:pPr>
        <w:sectPr>
          <w:headerReference w:type="default" r:id="rId9"/>
          <w:footerReference w:type="default" r:id="rId10"/>
          <w:footnotePr>
            <w:numFmt w:val="decimal"/>
          </w:footnotePr>
          <w:type w:val="nextPage"/>
          <w:pgSz w:w="11906" w:h="16838"/>
          <w:pgMar w:left="1134" w:right="1134" w:header="567" w:top="1418" w:footer="284" w:bottom="851" w:gutter="0"/>
          <w:pgNumType w:fmt="decimal"/>
          <w:formProt w:val="false"/>
          <w:textDirection w:val="lrTb"/>
          <w:docGrid w:type="default" w:linePitch="360" w:charSpace="0"/>
        </w:sectPr>
      </w:pPr>
    </w:p>
    <w:p>
      <w:pPr>
        <w:pStyle w:val="Normal"/>
        <w:spacing w:lineRule="auto" w:line="240"/>
        <w:ind w:left="4395" w:firstLine="708"/>
        <w:rPr>
          <w:sz w:val="22"/>
          <w:szCs w:val="22"/>
        </w:rPr>
      </w:pPr>
      <w:r>
        <w:rPr>
          <w:sz w:val="22"/>
          <w:szCs w:val="22"/>
        </w:rPr>
        <w:t>Приложение № 3</w:t>
      </w:r>
    </w:p>
    <w:p>
      <w:pPr>
        <w:pStyle w:val="Normal"/>
        <w:spacing w:lineRule="auto" w:line="240"/>
        <w:ind w:left="5103" w:hanging="0"/>
        <w:rPr>
          <w:sz w:val="22"/>
          <w:szCs w:val="22"/>
        </w:rPr>
      </w:pPr>
      <w:r>
        <w:rPr>
          <w:sz w:val="22"/>
          <w:szCs w:val="22"/>
        </w:rPr>
        <w:t>к Договору подряда</w:t>
      </w:r>
    </w:p>
    <w:p>
      <w:pPr>
        <w:pStyle w:val="Normal"/>
        <w:spacing w:lineRule="auto" w:line="240"/>
        <w:ind w:left="5103" w:hanging="0"/>
        <w:rPr>
          <w:sz w:val="22"/>
          <w:szCs w:val="22"/>
        </w:rPr>
      </w:pPr>
      <w:r>
        <w:rPr>
          <w:sz w:val="22"/>
          <w:szCs w:val="22"/>
        </w:rPr>
        <w:t>от «____» __________ 20</w:t>
      </w:r>
      <w:r>
        <w:rPr>
          <w:sz w:val="22"/>
          <w:szCs w:val="22"/>
        </w:rPr>
        <w:t>26</w:t>
      </w:r>
      <w:r>
        <w:rPr>
          <w:sz w:val="22"/>
          <w:szCs w:val="22"/>
        </w:rPr>
        <w:t xml:space="preserve"> г. № ____</w:t>
      </w:r>
    </w:p>
    <w:p>
      <w:pPr>
        <w:pStyle w:val="Normal"/>
        <w:spacing w:lineRule="auto" w:line="240"/>
        <w:rPr>
          <w:sz w:val="22"/>
          <w:szCs w:val="22"/>
        </w:rPr>
      </w:pPr>
      <w:r>
        <w:rPr>
          <w:sz w:val="22"/>
          <w:szCs w:val="22"/>
        </w:rPr>
      </w:r>
    </w:p>
    <w:p>
      <w:pPr>
        <w:pStyle w:val="Normal"/>
        <w:spacing w:lineRule="auto" w:line="240"/>
        <w:ind w:hanging="0"/>
        <w:rPr>
          <w:b/>
          <w:b/>
          <w:bCs/>
          <w:sz w:val="24"/>
          <w:szCs w:val="24"/>
        </w:rPr>
      </w:pPr>
      <w:r>
        <w:rPr>
          <w:b/>
          <w:bCs/>
          <w:sz w:val="24"/>
          <w:szCs w:val="24"/>
        </w:rPr>
      </w:r>
    </w:p>
    <w:p>
      <w:pPr>
        <w:pStyle w:val="Normal"/>
        <w:spacing w:lineRule="auto" w:line="240"/>
        <w:ind w:hanging="0"/>
        <w:jc w:val="center"/>
        <w:rPr>
          <w:b/>
          <w:b/>
          <w:sz w:val="24"/>
          <w:szCs w:val="24"/>
        </w:rPr>
      </w:pPr>
      <w:r>
        <w:rPr>
          <w:b/>
          <w:sz w:val="24"/>
          <w:szCs w:val="24"/>
        </w:rPr>
        <w:t xml:space="preserve">СМЕТА </w:t>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rPr>
      </w:pPr>
      <w:r>
        <w:rPr>
          <w:sz w:val="24"/>
        </w:rPr>
      </w:r>
    </w:p>
    <w:p>
      <w:pPr>
        <w:pStyle w:val="Normal"/>
        <w:spacing w:lineRule="auto" w:line="240"/>
        <w:ind w:hanging="0"/>
        <w:rPr>
          <w:sz w:val="24"/>
        </w:rPr>
      </w:pPr>
      <w:r>
        <w:rPr>
          <w:sz w:val="24"/>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spacing w:lineRule="auto" w:line="240"/>
              <w:ind w:hanging="0"/>
              <w:rPr>
                <w:b/>
                <w:b/>
                <w:sz w:val="24"/>
              </w:rPr>
            </w:pPr>
            <w:r>
              <w:rPr>
                <w:b/>
                <w:sz w:val="24"/>
              </w:rPr>
              <w:t>Генподрядчик:</w:t>
            </w:r>
          </w:p>
        </w:tc>
        <w:tc>
          <w:tcPr>
            <w:tcW w:w="4785" w:type="dxa"/>
            <w:tcBorders/>
          </w:tcPr>
          <w:p>
            <w:pPr>
              <w:pStyle w:val="Normal"/>
              <w:widowControl w:val="false"/>
              <w:spacing w:lineRule="auto" w:line="240"/>
              <w:ind w:hanging="0"/>
              <w:rPr>
                <w:b/>
                <w:b/>
                <w:sz w:val="24"/>
              </w:rPr>
            </w:pPr>
            <w:r>
              <w:rPr>
                <w:b/>
                <w:sz w:val="24"/>
              </w:rPr>
              <w:t>Субподрядчик:</w:t>
            </w:r>
          </w:p>
        </w:tc>
      </w:tr>
      <w:tr>
        <w:trPr/>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_______________ / _______________</w:t>
            </w:r>
          </w:p>
          <w:p>
            <w:pPr>
              <w:pStyle w:val="Normal"/>
              <w:widowControl w:val="false"/>
              <w:spacing w:lineRule="auto" w:line="240"/>
              <w:ind w:hanging="0"/>
              <w:rPr>
                <w:sz w:val="22"/>
                <w:szCs w:val="22"/>
              </w:rPr>
            </w:pPr>
            <w:r>
              <w:rPr>
                <w:sz w:val="22"/>
                <w:szCs w:val="22"/>
              </w:rPr>
            </w:r>
          </w:p>
        </w:tc>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_______________ / _______________</w:t>
            </w:r>
          </w:p>
          <w:p>
            <w:pPr>
              <w:pStyle w:val="Normal"/>
              <w:widowControl w:val="false"/>
              <w:spacing w:lineRule="auto" w:line="240"/>
              <w:ind w:hanging="0"/>
              <w:rPr>
                <w:sz w:val="22"/>
                <w:szCs w:val="22"/>
              </w:rPr>
            </w:pPr>
            <w:r>
              <w:rPr>
                <w:sz w:val="22"/>
                <w:szCs w:val="22"/>
              </w:rPr>
            </w:r>
          </w:p>
        </w:tc>
      </w:tr>
    </w:tbl>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hanging="0"/>
        <w:jc w:val="left"/>
        <w:rPr>
          <w:sz w:val="22"/>
          <w:szCs w:val="22"/>
        </w:rPr>
      </w:pPr>
      <w:r>
        <w:rPr>
          <w:sz w:val="22"/>
          <w:szCs w:val="22"/>
        </w:rPr>
      </w:r>
    </w:p>
    <w:p>
      <w:pPr>
        <w:pStyle w:val="Normal"/>
        <w:spacing w:lineRule="auto" w:line="240"/>
        <w:ind w:hanging="0"/>
        <w:jc w:val="left"/>
        <w:rPr>
          <w:sz w:val="22"/>
          <w:szCs w:val="22"/>
        </w:rPr>
      </w:pPr>
      <w:r>
        <w:rPr>
          <w:sz w:val="22"/>
          <w:szCs w:val="22"/>
        </w:rPr>
      </w:r>
    </w:p>
    <w:p>
      <w:pPr>
        <w:pStyle w:val="Normal"/>
        <w:spacing w:lineRule="auto" w:line="240"/>
        <w:ind w:hanging="0"/>
        <w:jc w:val="left"/>
        <w:rPr>
          <w:sz w:val="22"/>
          <w:szCs w:val="22"/>
        </w:rPr>
      </w:pPr>
      <w:r>
        <w:rPr>
          <w:sz w:val="22"/>
          <w:szCs w:val="22"/>
        </w:rPr>
      </w:r>
    </w:p>
    <w:p>
      <w:pPr>
        <w:pStyle w:val="Normal"/>
        <w:spacing w:lineRule="auto" w:line="240"/>
        <w:ind w:hanging="0"/>
        <w:jc w:val="left"/>
        <w:rPr>
          <w:sz w:val="22"/>
          <w:szCs w:val="22"/>
        </w:rPr>
      </w:pPr>
      <w:r>
        <w:rPr>
          <w:sz w:val="22"/>
          <w:szCs w:val="22"/>
        </w:rPr>
      </w:r>
    </w:p>
    <w:p>
      <w:pPr>
        <w:pStyle w:val="Normal"/>
        <w:spacing w:lineRule="auto" w:line="240"/>
        <w:ind w:hanging="0"/>
        <w:jc w:val="left"/>
        <w:rPr>
          <w:sz w:val="22"/>
          <w:szCs w:val="22"/>
        </w:rPr>
      </w:pPr>
      <w:r>
        <w:rPr>
          <w:sz w:val="22"/>
          <w:szCs w:val="22"/>
        </w:rPr>
      </w:r>
    </w:p>
    <w:p>
      <w:pPr>
        <w:pStyle w:val="Normal"/>
        <w:spacing w:lineRule="auto" w:line="240"/>
        <w:ind w:hanging="0"/>
        <w:jc w:val="left"/>
        <w:rPr>
          <w:sz w:val="22"/>
          <w:szCs w:val="22"/>
        </w:rPr>
      </w:pPr>
      <w:r>
        <w:rPr>
          <w:sz w:val="22"/>
          <w:szCs w:val="22"/>
        </w:rPr>
      </w:r>
    </w:p>
    <w:p>
      <w:pPr>
        <w:pStyle w:val="Normal"/>
        <w:spacing w:lineRule="auto" w:line="240"/>
        <w:ind w:hanging="0"/>
        <w:jc w:val="left"/>
        <w:rPr>
          <w:sz w:val="22"/>
          <w:szCs w:val="22"/>
        </w:rPr>
      </w:pPr>
      <w:r>
        <w:rPr>
          <w:sz w:val="22"/>
          <w:szCs w:val="22"/>
        </w:rPr>
      </w:r>
    </w:p>
    <w:p>
      <w:pPr>
        <w:pStyle w:val="Normal"/>
        <w:spacing w:lineRule="auto" w:line="240"/>
        <w:ind w:hanging="0"/>
        <w:jc w:val="left"/>
        <w:rPr>
          <w:sz w:val="22"/>
          <w:szCs w:val="22"/>
        </w:rPr>
      </w:pPr>
      <w:r>
        <w:rPr>
          <w:sz w:val="22"/>
          <w:szCs w:val="22"/>
        </w:rPr>
      </w:r>
    </w:p>
    <w:p>
      <w:pPr>
        <w:pStyle w:val="Normal"/>
        <w:spacing w:lineRule="auto" w:line="240"/>
        <w:ind w:hanging="0"/>
        <w:jc w:val="left"/>
        <w:rPr>
          <w:sz w:val="22"/>
          <w:szCs w:val="22"/>
        </w:rPr>
      </w:pPr>
      <w:r>
        <w:rPr>
          <w:sz w:val="22"/>
          <w:szCs w:val="22"/>
        </w:rPr>
      </w:r>
    </w:p>
    <w:p>
      <w:pPr>
        <w:pStyle w:val="Normal"/>
        <w:spacing w:lineRule="auto" w:line="240"/>
        <w:ind w:hanging="0"/>
        <w:jc w:val="left"/>
        <w:rPr>
          <w:sz w:val="22"/>
          <w:szCs w:val="22"/>
        </w:rPr>
      </w:pPr>
      <w:r>
        <w:rPr>
          <w:sz w:val="22"/>
          <w:szCs w:val="22"/>
        </w:rPr>
      </w:r>
    </w:p>
    <w:p>
      <w:pPr>
        <w:pStyle w:val="Normal"/>
        <w:spacing w:lineRule="auto" w:line="240"/>
        <w:ind w:hanging="0"/>
        <w:jc w:val="left"/>
        <w:rPr>
          <w:sz w:val="22"/>
          <w:szCs w:val="22"/>
        </w:rPr>
      </w:pPr>
      <w:r>
        <w:rPr>
          <w:sz w:val="22"/>
          <w:szCs w:val="22"/>
        </w:rPr>
      </w:r>
    </w:p>
    <w:p>
      <w:pPr>
        <w:pStyle w:val="Normal"/>
        <w:spacing w:lineRule="auto" w:line="240"/>
        <w:ind w:hanging="0"/>
        <w:jc w:val="left"/>
        <w:rPr>
          <w:sz w:val="22"/>
          <w:szCs w:val="22"/>
        </w:rPr>
      </w:pPr>
      <w:r>
        <w:rPr>
          <w:sz w:val="22"/>
          <w:szCs w:val="22"/>
        </w:rPr>
      </w:r>
    </w:p>
    <w:p>
      <w:pPr>
        <w:pStyle w:val="Normal"/>
        <w:spacing w:lineRule="auto" w:line="240"/>
        <w:ind w:hanging="0"/>
        <w:jc w:val="left"/>
        <w:rPr>
          <w:sz w:val="22"/>
          <w:szCs w:val="22"/>
        </w:rPr>
      </w:pPr>
      <w:r>
        <w:rPr>
          <w:sz w:val="22"/>
          <w:szCs w:val="22"/>
        </w:rPr>
      </w:r>
    </w:p>
    <w:p>
      <w:pPr>
        <w:pStyle w:val="Normal"/>
        <w:spacing w:lineRule="auto" w:line="240"/>
        <w:ind w:hanging="0"/>
        <w:jc w:val="left"/>
        <w:rPr>
          <w:sz w:val="22"/>
          <w:szCs w:val="22"/>
        </w:rPr>
      </w:pPr>
      <w:r>
        <w:rPr>
          <w:sz w:val="22"/>
          <w:szCs w:val="22"/>
        </w:rPr>
      </w:r>
    </w:p>
    <w:p>
      <w:pPr>
        <w:pStyle w:val="Normal"/>
        <w:spacing w:lineRule="auto" w:line="240"/>
        <w:ind w:hanging="0"/>
        <w:jc w:val="left"/>
        <w:rPr>
          <w:sz w:val="22"/>
          <w:szCs w:val="22"/>
        </w:rPr>
      </w:pPr>
      <w:r>
        <w:rPr>
          <w:sz w:val="22"/>
          <w:szCs w:val="22"/>
        </w:rPr>
      </w:r>
    </w:p>
    <w:p>
      <w:pPr>
        <w:pStyle w:val="Normal"/>
        <w:spacing w:lineRule="auto" w:line="240"/>
        <w:ind w:left="708" w:firstLine="708"/>
        <w:jc w:val="right"/>
        <w:rPr>
          <w:sz w:val="22"/>
          <w:szCs w:val="22"/>
        </w:rPr>
      </w:pPr>
      <w:r>
        <w:rPr>
          <w:sz w:val="22"/>
          <w:szCs w:val="22"/>
        </w:rPr>
      </w:r>
    </w:p>
    <w:p>
      <w:pPr>
        <w:pStyle w:val="Normal"/>
        <w:spacing w:lineRule="auto" w:line="240"/>
        <w:ind w:left="5103" w:hanging="0"/>
        <w:jc w:val="left"/>
        <w:rPr>
          <w:sz w:val="22"/>
          <w:szCs w:val="22"/>
        </w:rPr>
      </w:pPr>
      <w:r>
        <w:rPr>
          <w:sz w:val="22"/>
          <w:szCs w:val="22"/>
        </w:rPr>
        <w:t>Приложение № 4</w:t>
      </w:r>
    </w:p>
    <w:p>
      <w:pPr>
        <w:pStyle w:val="Normal"/>
        <w:spacing w:lineRule="auto" w:line="240"/>
        <w:ind w:left="5103" w:hanging="0"/>
        <w:jc w:val="left"/>
        <w:rPr>
          <w:sz w:val="22"/>
          <w:szCs w:val="22"/>
        </w:rPr>
      </w:pPr>
      <w:r>
        <w:rPr>
          <w:sz w:val="22"/>
          <w:szCs w:val="22"/>
        </w:rPr>
        <w:t>к Договору подряда</w:t>
      </w:r>
    </w:p>
    <w:p>
      <w:pPr>
        <w:pStyle w:val="Normal"/>
        <w:spacing w:lineRule="auto" w:line="240"/>
        <w:ind w:left="5103" w:hanging="0"/>
        <w:jc w:val="left"/>
        <w:rPr>
          <w:sz w:val="22"/>
          <w:szCs w:val="22"/>
        </w:rPr>
      </w:pPr>
      <w:r>
        <w:rPr>
          <w:sz w:val="22"/>
          <w:szCs w:val="22"/>
        </w:rPr>
        <w:t>от «____» __________ 20</w:t>
      </w:r>
      <w:r>
        <w:rPr>
          <w:sz w:val="22"/>
          <w:szCs w:val="22"/>
        </w:rPr>
        <w:t>26</w:t>
      </w:r>
      <w:r>
        <w:rPr>
          <w:sz w:val="22"/>
          <w:szCs w:val="22"/>
        </w:rPr>
        <w:t xml:space="preserve">г. № ____ </w:t>
      </w:r>
    </w:p>
    <w:p>
      <w:pPr>
        <w:pStyle w:val="Normal"/>
        <w:spacing w:lineRule="auto" w:line="240"/>
        <w:rPr>
          <w:sz w:val="22"/>
          <w:szCs w:val="22"/>
        </w:rPr>
      </w:pPr>
      <w:r>
        <w:rPr>
          <w:sz w:val="22"/>
          <w:szCs w:val="22"/>
        </w:rPr>
      </w:r>
    </w:p>
    <w:p>
      <w:pPr>
        <w:pStyle w:val="Normal"/>
        <w:spacing w:lineRule="auto" w:line="240"/>
        <w:ind w:hanging="0"/>
        <w:rPr>
          <w:b/>
          <w:b/>
          <w:bCs/>
          <w:sz w:val="24"/>
          <w:szCs w:val="24"/>
        </w:rPr>
      </w:pPr>
      <w:r>
        <w:rPr>
          <w:b/>
          <w:bCs/>
          <w:sz w:val="24"/>
          <w:szCs w:val="24"/>
        </w:rPr>
      </w:r>
    </w:p>
    <w:p>
      <w:pPr>
        <w:pStyle w:val="Style39"/>
        <w:shd w:val="clear" w:color="auto" w:fill="auto"/>
        <w:ind w:hanging="0"/>
        <w:rPr>
          <w:b w:val="false"/>
          <w:b w:val="false"/>
          <w:sz w:val="24"/>
        </w:rPr>
      </w:pPr>
      <w:r>
        <w:rPr>
          <w:sz w:val="24"/>
        </w:rPr>
        <w:t>ФОРМА</w:t>
      </w:r>
    </w:p>
    <w:p>
      <w:pPr>
        <w:pStyle w:val="Style39"/>
        <w:shd w:val="clear" w:color="auto" w:fill="auto"/>
        <w:ind w:hanging="0"/>
        <w:rPr>
          <w:i/>
          <w:i/>
          <w:sz w:val="24"/>
        </w:rPr>
      </w:pPr>
      <w:r>
        <w:rPr>
          <w:sz w:val="24"/>
        </w:rPr>
        <w:t xml:space="preserve">Акта сдачи-приемки технической и иной документации </w:t>
      </w:r>
    </w:p>
    <w:p>
      <w:pPr>
        <w:pStyle w:val="Normal"/>
        <w:spacing w:lineRule="auto" w:line="240"/>
        <w:ind w:hanging="0"/>
        <w:rPr>
          <w:sz w:val="24"/>
          <w:szCs w:val="24"/>
        </w:rPr>
      </w:pPr>
      <w:r>
        <w:rPr>
          <w:sz w:val="24"/>
          <w:szCs w:val="24"/>
        </w:rPr>
      </w:r>
    </w:p>
    <w:tbl>
      <w:tblPr>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9637"/>
      </w:tblGrid>
      <w:tr>
        <w:trPr/>
        <w:tc>
          <w:tcPr>
            <w:tcW w:w="9637" w:type="dxa"/>
            <w:tcBorders>
              <w:top w:val="single" w:sz="4" w:space="0" w:color="000000"/>
              <w:left w:val="single" w:sz="4" w:space="0" w:color="000000"/>
              <w:bottom w:val="single" w:sz="4" w:space="0" w:color="000000"/>
              <w:right w:val="single" w:sz="4" w:space="0" w:color="000000"/>
            </w:tcBorders>
            <w:shd w:color="auto" w:fill="auto" w:val="clear"/>
          </w:tcPr>
          <w:p>
            <w:pPr>
              <w:pStyle w:val="Style39"/>
              <w:widowControl w:val="false"/>
              <w:shd w:val="clear" w:color="auto" w:fill="auto"/>
              <w:ind w:hanging="0"/>
              <w:rPr>
                <w:b w:val="false"/>
                <w:b w:val="false"/>
                <w:bCs/>
              </w:rPr>
            </w:pPr>
            <w:r>
              <w:rPr>
                <w:b w:val="false"/>
                <w:bCs/>
              </w:rPr>
              <w:t>Акт</w:t>
            </w:r>
          </w:p>
          <w:p>
            <w:pPr>
              <w:pStyle w:val="Style39"/>
              <w:widowControl w:val="false"/>
              <w:shd w:val="clear" w:color="auto" w:fill="auto"/>
              <w:ind w:hanging="0"/>
              <w:rPr>
                <w:i/>
                <w:i/>
                <w:iCs/>
              </w:rPr>
            </w:pPr>
            <w:r>
              <w:rPr>
                <w:b w:val="false"/>
                <w:bCs/>
              </w:rPr>
              <w:t>сдачи-приемки технической и иной документации</w:t>
            </w:r>
          </w:p>
          <w:p>
            <w:pPr>
              <w:pStyle w:val="Normal"/>
              <w:widowControl w:val="false"/>
              <w:rPr>
                <w:sz w:val="24"/>
                <w:szCs w:val="24"/>
              </w:rPr>
            </w:pPr>
            <w:r>
              <w:rPr>
                <w:sz w:val="24"/>
                <w:szCs w:val="24"/>
              </w:rPr>
            </w:r>
          </w:p>
          <w:p>
            <w:pPr>
              <w:pStyle w:val="Normal"/>
              <w:widowControl w:val="false"/>
              <w:ind w:hanging="0"/>
              <w:rPr>
                <w:sz w:val="22"/>
                <w:szCs w:val="22"/>
              </w:rPr>
            </w:pPr>
            <w:r>
              <w:rPr>
                <w:sz w:val="22"/>
                <w:szCs w:val="22"/>
              </w:rPr>
              <w:t>г.___________                                                                                                     «_____» _________20_г.</w:t>
            </w:r>
          </w:p>
          <w:p>
            <w:pPr>
              <w:pStyle w:val="Normal"/>
              <w:widowControl w:val="false"/>
              <w:rPr>
                <w:sz w:val="22"/>
                <w:szCs w:val="22"/>
              </w:rPr>
            </w:pPr>
            <w:r>
              <w:rPr>
                <w:sz w:val="22"/>
                <w:szCs w:val="22"/>
              </w:rPr>
            </w:r>
          </w:p>
          <w:p>
            <w:pPr>
              <w:pStyle w:val="Normal"/>
              <w:widowControl w:val="false"/>
              <w:ind w:hanging="0"/>
              <w:rPr>
                <w:sz w:val="22"/>
                <w:szCs w:val="22"/>
              </w:rPr>
            </w:pPr>
            <w:r>
              <w:rPr>
                <w:sz w:val="22"/>
                <w:szCs w:val="22"/>
              </w:rPr>
              <w:t>____________________, именуемое далее «Субподрядчик», в лице ________________, действующего на основании ______________,</w:t>
            </w:r>
          </w:p>
          <w:p>
            <w:pPr>
              <w:pStyle w:val="Normal"/>
              <w:widowControl w:val="false"/>
              <w:ind w:hanging="0"/>
              <w:rPr>
                <w:sz w:val="22"/>
                <w:szCs w:val="22"/>
              </w:rPr>
            </w:pPr>
            <w:r>
              <w:rPr>
                <w:sz w:val="22"/>
                <w:szCs w:val="22"/>
              </w:rPr>
              <w:t>____________________, именуемое далее «Генподрядчик», в лице ________________, действующего на основании ______________, составили настоящий акт о нижеследующем:</w:t>
            </w:r>
          </w:p>
          <w:p>
            <w:pPr>
              <w:pStyle w:val="Normal"/>
              <w:widowControl w:val="false"/>
              <w:ind w:hanging="0"/>
              <w:rPr>
                <w:bCs/>
                <w:sz w:val="22"/>
                <w:szCs w:val="22"/>
              </w:rPr>
            </w:pPr>
            <w:r>
              <w:rPr>
                <w:sz w:val="22"/>
                <w:szCs w:val="22"/>
              </w:rPr>
              <w:t>Генподрядчик передал Субподрядчику, а Субподрядчик принял</w:t>
            </w:r>
            <w:r>
              <w:rPr>
                <w:bCs/>
                <w:sz w:val="22"/>
                <w:szCs w:val="22"/>
              </w:rPr>
              <w:t xml:space="preserve"> следующую </w:t>
            </w:r>
            <w:r>
              <w:rPr>
                <w:sz w:val="22"/>
                <w:szCs w:val="22"/>
              </w:rPr>
              <w:t>техническую и иную документацию для выполнения Работ по Договору</w:t>
            </w:r>
            <w:r>
              <w:rPr>
                <w:bCs/>
                <w:sz w:val="22"/>
                <w:szCs w:val="22"/>
              </w:rPr>
              <w:t xml:space="preserve"> №______ от _____________:</w:t>
            </w:r>
          </w:p>
          <w:p>
            <w:pPr>
              <w:pStyle w:val="Normal"/>
              <w:widowControl w:val="false"/>
              <w:ind w:hanging="0"/>
              <w:rPr>
                <w:bCs/>
                <w:sz w:val="22"/>
                <w:szCs w:val="22"/>
              </w:rPr>
            </w:pPr>
            <w:r>
              <w:rPr>
                <w:bCs/>
                <w:sz w:val="22"/>
                <w:szCs w:val="22"/>
              </w:rPr>
              <w:t>__________________________________________________________________________</w:t>
            </w:r>
          </w:p>
          <w:p>
            <w:pPr>
              <w:pStyle w:val="Normal"/>
              <w:widowControl w:val="false"/>
              <w:ind w:hanging="0"/>
              <w:rPr>
                <w:bCs/>
                <w:sz w:val="22"/>
                <w:szCs w:val="22"/>
              </w:rPr>
            </w:pPr>
            <w:r>
              <w:rPr>
                <w:bCs/>
                <w:sz w:val="22"/>
                <w:szCs w:val="22"/>
              </w:rPr>
              <w:t>__________________________________________________________________________</w:t>
            </w:r>
          </w:p>
          <w:p>
            <w:pPr>
              <w:pStyle w:val="Normal"/>
              <w:widowControl w:val="false"/>
              <w:ind w:hanging="0"/>
              <w:rPr>
                <w:bCs/>
                <w:sz w:val="22"/>
                <w:szCs w:val="22"/>
              </w:rPr>
            </w:pPr>
            <w:r>
              <w:rPr>
                <w:bCs/>
                <w:sz w:val="22"/>
                <w:szCs w:val="22"/>
              </w:rPr>
              <w:t>__________________________________________________________________________</w:t>
            </w:r>
          </w:p>
          <w:p>
            <w:pPr>
              <w:pStyle w:val="Normal"/>
              <w:widowControl w:val="false"/>
              <w:ind w:hanging="0"/>
              <w:rPr>
                <w:bCs/>
                <w:sz w:val="22"/>
                <w:szCs w:val="22"/>
              </w:rPr>
            </w:pPr>
            <w:r>
              <w:rPr>
                <w:bCs/>
                <w:sz w:val="22"/>
                <w:szCs w:val="22"/>
              </w:rPr>
              <w:t xml:space="preserve">Документация передана </w:t>
            </w:r>
            <w:r>
              <w:rPr>
                <w:sz w:val="22"/>
                <w:szCs w:val="22"/>
              </w:rPr>
              <w:t>Субподрядчик</w:t>
            </w:r>
            <w:r>
              <w:rPr>
                <w:bCs/>
                <w:sz w:val="22"/>
                <w:szCs w:val="22"/>
              </w:rPr>
              <w:t>у в установленный Договором срок.</w:t>
            </w:r>
          </w:p>
          <w:p>
            <w:pPr>
              <w:pStyle w:val="Normal"/>
              <w:widowControl w:val="false"/>
              <w:spacing w:lineRule="auto" w:line="240"/>
              <w:ind w:hanging="0"/>
              <w:rPr>
                <w:sz w:val="20"/>
                <w:szCs w:val="20"/>
              </w:rPr>
            </w:pPr>
            <w:r>
              <w:rPr>
                <w:sz w:val="20"/>
                <w:szCs w:val="20"/>
              </w:rPr>
            </w:r>
          </w:p>
          <w:p>
            <w:pPr>
              <w:pStyle w:val="Normal"/>
              <w:widowControl w:val="false"/>
              <w:rPr>
                <w:sz w:val="22"/>
                <w:szCs w:val="22"/>
              </w:rPr>
            </w:pPr>
            <w:r>
              <w:rPr>
                <w:sz w:val="22"/>
                <w:szCs w:val="22"/>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spacing w:lineRule="auto" w:line="240"/>
                    <w:ind w:hanging="0"/>
                    <w:rPr>
                      <w:bCs/>
                      <w:sz w:val="24"/>
                      <w:szCs w:val="24"/>
                    </w:rPr>
                  </w:pPr>
                  <w:r>
                    <w:rPr>
                      <w:bCs/>
                      <w:sz w:val="24"/>
                      <w:szCs w:val="24"/>
                    </w:rPr>
                    <w:t>Генподрядчик:</w:t>
                  </w:r>
                </w:p>
              </w:tc>
              <w:tc>
                <w:tcPr>
                  <w:tcW w:w="4785" w:type="dxa"/>
                  <w:tcBorders/>
                </w:tcPr>
                <w:p>
                  <w:pPr>
                    <w:pStyle w:val="Normal"/>
                    <w:widowControl w:val="false"/>
                    <w:spacing w:lineRule="auto" w:line="240"/>
                    <w:ind w:hanging="0"/>
                    <w:rPr>
                      <w:bCs/>
                      <w:sz w:val="24"/>
                      <w:szCs w:val="24"/>
                    </w:rPr>
                  </w:pPr>
                  <w:r>
                    <w:rPr>
                      <w:bCs/>
                      <w:sz w:val="24"/>
                      <w:szCs w:val="24"/>
                    </w:rPr>
                    <w:t>Субподрядчик:</w:t>
                  </w:r>
                </w:p>
              </w:tc>
            </w:tr>
            <w:tr>
              <w:trPr/>
              <w:tc>
                <w:tcPr>
                  <w:tcW w:w="4785"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_______________ / _______________</w:t>
                  </w:r>
                </w:p>
                <w:p>
                  <w:pPr>
                    <w:pStyle w:val="Normal"/>
                    <w:widowControl w:val="false"/>
                    <w:spacing w:lineRule="auto" w:line="240"/>
                    <w:ind w:hanging="0"/>
                    <w:rPr>
                      <w:sz w:val="22"/>
                      <w:szCs w:val="22"/>
                    </w:rPr>
                  </w:pPr>
                  <w:r>
                    <w:rPr>
                      <w:sz w:val="22"/>
                      <w:szCs w:val="22"/>
                    </w:rPr>
                  </w:r>
                </w:p>
              </w:tc>
              <w:tc>
                <w:tcPr>
                  <w:tcW w:w="4785"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_______________ / _______________</w:t>
                  </w:r>
                </w:p>
                <w:p>
                  <w:pPr>
                    <w:pStyle w:val="Normal"/>
                    <w:widowControl w:val="false"/>
                    <w:spacing w:lineRule="auto" w:line="240"/>
                    <w:ind w:hanging="0"/>
                    <w:rPr>
                      <w:sz w:val="22"/>
                      <w:szCs w:val="22"/>
                    </w:rPr>
                  </w:pPr>
                  <w:r>
                    <w:rPr>
                      <w:sz w:val="22"/>
                      <w:szCs w:val="22"/>
                    </w:rPr>
                  </w:r>
                </w:p>
              </w:tc>
            </w:tr>
          </w:tbl>
          <w:p>
            <w:pPr>
              <w:pStyle w:val="Style39"/>
              <w:widowControl w:val="false"/>
              <w:shd w:val="clear" w:color="auto" w:fill="auto"/>
              <w:ind w:hanging="0"/>
              <w:jc w:val="left"/>
              <w:rPr>
                <w:i/>
                <w:i/>
                <w:iCs/>
              </w:rPr>
            </w:pPr>
            <w:r>
              <w:rPr>
                <w:i/>
                <w:iCs/>
              </w:rPr>
            </w:r>
          </w:p>
          <w:p>
            <w:pPr>
              <w:pStyle w:val="Style39"/>
              <w:widowControl w:val="false"/>
              <w:shd w:val="clear" w:color="auto" w:fill="auto"/>
              <w:spacing w:before="0" w:after="120"/>
              <w:ind w:hanging="0"/>
              <w:jc w:val="left"/>
              <w:rPr>
                <w:i/>
                <w:i/>
                <w:iCs/>
              </w:rPr>
            </w:pPr>
            <w:r>
              <w:rPr>
                <w:i/>
                <w:iCs/>
              </w:rPr>
            </w:r>
          </w:p>
        </w:tc>
      </w:tr>
    </w:tbl>
    <w:p>
      <w:pPr>
        <w:pStyle w:val="Style39"/>
        <w:ind w:hanging="0"/>
        <w:jc w:val="left"/>
        <w:rPr>
          <w:i/>
          <w:i/>
          <w:iCs/>
        </w:rPr>
      </w:pPr>
      <w:r>
        <w:rPr>
          <w:i/>
          <w:iCs/>
        </w:rPr>
      </w:r>
    </w:p>
    <w:p>
      <w:pPr>
        <w:pStyle w:val="Normal"/>
        <w:spacing w:lineRule="auto" w:line="240"/>
        <w:ind w:left="5103" w:hanging="0"/>
        <w:rPr>
          <w:sz w:val="22"/>
          <w:szCs w:val="22"/>
        </w:rPr>
      </w:pPr>
      <w:r>
        <w:rPr>
          <w:sz w:val="22"/>
          <w:szCs w:val="22"/>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spacing w:lineRule="auto" w:line="240"/>
              <w:ind w:hanging="0"/>
              <w:rPr>
                <w:b/>
                <w:b/>
                <w:sz w:val="24"/>
              </w:rPr>
            </w:pPr>
            <w:r>
              <w:rPr>
                <w:b/>
                <w:sz w:val="24"/>
              </w:rPr>
              <w:t>Генподрядчик:</w:t>
            </w:r>
          </w:p>
        </w:tc>
        <w:tc>
          <w:tcPr>
            <w:tcW w:w="4785" w:type="dxa"/>
            <w:tcBorders/>
          </w:tcPr>
          <w:p>
            <w:pPr>
              <w:pStyle w:val="Normal"/>
              <w:widowControl w:val="false"/>
              <w:spacing w:lineRule="auto" w:line="240"/>
              <w:ind w:hanging="0"/>
              <w:rPr>
                <w:b/>
                <w:b/>
                <w:sz w:val="24"/>
              </w:rPr>
            </w:pPr>
            <w:r>
              <w:rPr>
                <w:b/>
                <w:sz w:val="24"/>
              </w:rPr>
              <w:t>Субподрядчик:</w:t>
            </w:r>
          </w:p>
        </w:tc>
      </w:tr>
      <w:tr>
        <w:trPr/>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_______________ / _______________</w:t>
            </w:r>
          </w:p>
          <w:p>
            <w:pPr>
              <w:pStyle w:val="Normal"/>
              <w:widowControl w:val="false"/>
              <w:spacing w:lineRule="auto" w:line="240"/>
              <w:ind w:hanging="0"/>
              <w:rPr>
                <w:sz w:val="22"/>
                <w:szCs w:val="22"/>
              </w:rPr>
            </w:pPr>
            <w:r>
              <w:rPr>
                <w:sz w:val="22"/>
                <w:szCs w:val="22"/>
              </w:rPr>
            </w:r>
          </w:p>
        </w:tc>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_______________ / _______________</w:t>
            </w:r>
          </w:p>
          <w:p>
            <w:pPr>
              <w:pStyle w:val="Normal"/>
              <w:widowControl w:val="false"/>
              <w:spacing w:lineRule="auto" w:line="240"/>
              <w:ind w:hanging="0"/>
              <w:rPr>
                <w:sz w:val="22"/>
                <w:szCs w:val="22"/>
              </w:rPr>
            </w:pPr>
            <w:r>
              <w:rPr>
                <w:sz w:val="22"/>
                <w:szCs w:val="22"/>
              </w:rPr>
            </w:r>
          </w:p>
        </w:tc>
      </w:tr>
    </w:tbl>
    <w:p>
      <w:pPr>
        <w:pStyle w:val="Normal"/>
        <w:spacing w:lineRule="auto" w:line="240"/>
        <w:ind w:left="5103" w:hanging="0"/>
        <w:rPr>
          <w:sz w:val="22"/>
          <w:szCs w:val="22"/>
        </w:rPr>
      </w:pPr>
      <w:r>
        <w:rPr>
          <w:sz w:val="22"/>
          <w:szCs w:val="22"/>
        </w:rPr>
      </w:r>
      <w:r>
        <w:br w:type="page"/>
      </w:r>
    </w:p>
    <w:p>
      <w:pPr>
        <w:pStyle w:val="Normal"/>
        <w:spacing w:lineRule="auto" w:line="240"/>
        <w:ind w:left="5103" w:hanging="0"/>
        <w:rPr>
          <w:sz w:val="22"/>
          <w:szCs w:val="22"/>
        </w:rPr>
      </w:pPr>
      <w:r>
        <w:rPr>
          <w:sz w:val="22"/>
          <w:szCs w:val="22"/>
        </w:rPr>
        <w:t xml:space="preserve"> </w:t>
      </w:r>
      <w:r>
        <w:rPr>
          <w:sz w:val="22"/>
          <w:szCs w:val="22"/>
        </w:rPr>
        <w:t>Приложение № 5</w:t>
      </w:r>
    </w:p>
    <w:p>
      <w:pPr>
        <w:pStyle w:val="Normal"/>
        <w:spacing w:lineRule="auto" w:line="240"/>
        <w:ind w:left="5103" w:hanging="0"/>
        <w:rPr>
          <w:sz w:val="22"/>
          <w:szCs w:val="22"/>
        </w:rPr>
      </w:pPr>
      <w:r>
        <w:rPr>
          <w:sz w:val="22"/>
          <w:szCs w:val="22"/>
        </w:rPr>
        <w:t>к Договору подряда</w:t>
      </w:r>
    </w:p>
    <w:p>
      <w:pPr>
        <w:pStyle w:val="Normal"/>
        <w:spacing w:lineRule="auto" w:line="240"/>
        <w:ind w:left="5103" w:hanging="0"/>
        <w:rPr>
          <w:sz w:val="22"/>
          <w:szCs w:val="22"/>
        </w:rPr>
      </w:pPr>
      <w:r>
        <w:rPr>
          <w:sz w:val="22"/>
          <w:szCs w:val="22"/>
        </w:rPr>
        <w:t>от «____» __________ 20</w:t>
      </w:r>
      <w:r>
        <w:rPr>
          <w:sz w:val="22"/>
          <w:szCs w:val="22"/>
        </w:rPr>
        <w:t>26</w:t>
      </w:r>
      <w:r>
        <w:rPr>
          <w:sz w:val="22"/>
          <w:szCs w:val="22"/>
        </w:rPr>
        <w:t>г. № ____</w:t>
      </w:r>
    </w:p>
    <w:p>
      <w:pPr>
        <w:pStyle w:val="Normal"/>
        <w:spacing w:lineRule="auto" w:line="240"/>
        <w:ind w:hanging="0"/>
        <w:rPr>
          <w:b/>
          <w:b/>
          <w:bCs/>
          <w:sz w:val="24"/>
          <w:szCs w:val="24"/>
        </w:rPr>
      </w:pPr>
      <w:r>
        <w:rPr>
          <w:b/>
          <w:bCs/>
          <w:sz w:val="24"/>
          <w:szCs w:val="24"/>
        </w:rPr>
      </w:r>
    </w:p>
    <w:p>
      <w:pPr>
        <w:pStyle w:val="Normal"/>
        <w:spacing w:lineRule="auto" w:line="240"/>
        <w:jc w:val="center"/>
        <w:rPr>
          <w:b/>
          <w:b/>
          <w:bCs/>
        </w:rPr>
      </w:pPr>
      <w:r>
        <w:rPr>
          <w:b/>
          <w:bCs/>
        </w:rPr>
      </w:r>
    </w:p>
    <w:p>
      <w:pPr>
        <w:pStyle w:val="Normal"/>
        <w:spacing w:lineRule="auto" w:line="240"/>
        <w:jc w:val="center"/>
        <w:rPr>
          <w:b/>
          <w:b/>
          <w:sz w:val="24"/>
        </w:rPr>
      </w:pPr>
      <w:r>
        <w:rPr>
          <w:b/>
          <w:sz w:val="24"/>
        </w:rPr>
        <w:t>Перечень допусков, разрешений и лицензий Субподрядчика</w:t>
      </w:r>
    </w:p>
    <w:p>
      <w:pPr>
        <w:pStyle w:val="Normal"/>
        <w:spacing w:lineRule="auto" w:line="240"/>
        <w:jc w:val="center"/>
        <w:rPr>
          <w:b/>
          <w:b/>
          <w:bCs/>
        </w:rPr>
      </w:pPr>
      <w:r>
        <w:rPr>
          <w:b/>
          <w:bCs/>
        </w:rPr>
      </w:r>
    </w:p>
    <w:tbl>
      <w:tblPr>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679"/>
        <w:gridCol w:w="2159"/>
        <w:gridCol w:w="1230"/>
        <w:gridCol w:w="1090"/>
        <w:gridCol w:w="939"/>
        <w:gridCol w:w="1280"/>
        <w:gridCol w:w="2259"/>
      </w:tblGrid>
      <w:tr>
        <w:trPr>
          <w:trHeight w:val="2142" w:hRule="atLeast"/>
        </w:trPr>
        <w:tc>
          <w:tcPr>
            <w:tcW w:w="6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 xml:space="preserve">№ </w:t>
            </w:r>
            <w:r>
              <w:rPr>
                <w:bCs/>
                <w:sz w:val="22"/>
                <w:szCs w:val="22"/>
              </w:rPr>
              <w:t>п/п</w:t>
            </w:r>
          </w:p>
        </w:tc>
        <w:tc>
          <w:tcPr>
            <w:tcW w:w="21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Разрешительный документ</w:t>
            </w:r>
          </w:p>
        </w:tc>
        <w:tc>
          <w:tcPr>
            <w:tcW w:w="12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Номер, дата выдачи,</w:t>
            </w:r>
          </w:p>
          <w:p>
            <w:pPr>
              <w:pStyle w:val="Normal"/>
              <w:widowControl w:val="false"/>
              <w:spacing w:lineRule="auto" w:line="240"/>
              <w:ind w:hanging="0"/>
              <w:jc w:val="center"/>
              <w:rPr>
                <w:bCs/>
                <w:sz w:val="22"/>
                <w:szCs w:val="22"/>
              </w:rPr>
            </w:pPr>
            <w:r>
              <w:rPr>
                <w:bCs/>
                <w:sz w:val="22"/>
                <w:szCs w:val="22"/>
              </w:rPr>
              <w:t>кем выдан</w:t>
            </w:r>
          </w:p>
        </w:tc>
        <w:tc>
          <w:tcPr>
            <w:tcW w:w="10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Разрешаемая деятельность (виды деятельности)</w:t>
            </w:r>
          </w:p>
        </w:tc>
        <w:tc>
          <w:tcPr>
            <w:tcW w:w="9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Начало действия разрешительного документа</w:t>
            </w:r>
          </w:p>
        </w:tc>
        <w:tc>
          <w:tcPr>
            <w:tcW w:w="12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Окончание действия разрешительного документа</w:t>
            </w:r>
          </w:p>
        </w:tc>
        <w:tc>
          <w:tcPr>
            <w:tcW w:w="22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Ограничения (условия) использования разрешительного документа (осуществления разрешаемой деятельности)</w:t>
            </w:r>
          </w:p>
        </w:tc>
      </w:tr>
      <w:tr>
        <w:trPr>
          <w:trHeight w:val="557" w:hRule="atLeast"/>
        </w:trPr>
        <w:tc>
          <w:tcPr>
            <w:tcW w:w="6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21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2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0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9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2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22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r>
      <w:tr>
        <w:trPr>
          <w:trHeight w:val="532" w:hRule="atLeast"/>
        </w:trPr>
        <w:tc>
          <w:tcPr>
            <w:tcW w:w="6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21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2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0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9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2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22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r>
      <w:tr>
        <w:trPr>
          <w:trHeight w:val="505" w:hRule="atLeast"/>
        </w:trPr>
        <w:tc>
          <w:tcPr>
            <w:tcW w:w="6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21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2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0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9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2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22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r>
    </w:tbl>
    <w:p>
      <w:pPr>
        <w:pStyle w:val="Normal"/>
        <w:spacing w:lineRule="auto" w:line="240"/>
        <w:jc w:val="center"/>
        <w:rPr>
          <w:b/>
          <w:b/>
          <w:bCs/>
        </w:rPr>
      </w:pPr>
      <w:r>
        <w:rPr>
          <w:b/>
          <w:bCs/>
        </w:rPr>
      </w:r>
    </w:p>
    <w:p>
      <w:pPr>
        <w:pStyle w:val="Normal"/>
        <w:spacing w:lineRule="auto" w:line="240"/>
        <w:jc w:val="center"/>
        <w:rPr>
          <w:b/>
          <w:b/>
          <w:sz w:val="24"/>
          <w:szCs w:val="24"/>
        </w:rPr>
      </w:pPr>
      <w:r>
        <w:rPr>
          <w:b/>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rPr>
      </w:pPr>
      <w:r>
        <w:rPr>
          <w:sz w:val="24"/>
        </w:rPr>
      </w:r>
    </w:p>
    <w:p>
      <w:pPr>
        <w:pStyle w:val="Normal"/>
        <w:spacing w:lineRule="auto" w:line="240"/>
        <w:ind w:hanging="0"/>
        <w:rPr>
          <w:sz w:val="24"/>
        </w:rPr>
      </w:pPr>
      <w:r>
        <w:rPr>
          <w:sz w:val="24"/>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spacing w:lineRule="auto" w:line="240"/>
              <w:ind w:hanging="0"/>
              <w:rPr>
                <w:b/>
                <w:b/>
                <w:sz w:val="24"/>
              </w:rPr>
            </w:pPr>
            <w:r>
              <w:rPr>
                <w:b/>
                <w:sz w:val="24"/>
              </w:rPr>
              <w:t>Генподрядчик:</w:t>
            </w:r>
          </w:p>
        </w:tc>
        <w:tc>
          <w:tcPr>
            <w:tcW w:w="4785" w:type="dxa"/>
            <w:tcBorders/>
          </w:tcPr>
          <w:p>
            <w:pPr>
              <w:pStyle w:val="Normal"/>
              <w:widowControl w:val="false"/>
              <w:spacing w:lineRule="auto" w:line="240"/>
              <w:ind w:hanging="0"/>
              <w:rPr>
                <w:b/>
                <w:b/>
                <w:sz w:val="24"/>
              </w:rPr>
            </w:pPr>
            <w:r>
              <w:rPr>
                <w:b/>
                <w:sz w:val="24"/>
              </w:rPr>
              <w:t>Субподрядчик:</w:t>
            </w:r>
          </w:p>
        </w:tc>
      </w:tr>
      <w:tr>
        <w:trPr/>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_______________ / _______________</w:t>
            </w:r>
          </w:p>
          <w:p>
            <w:pPr>
              <w:pStyle w:val="Normal"/>
              <w:widowControl w:val="false"/>
              <w:spacing w:lineRule="auto" w:line="240"/>
              <w:ind w:hanging="0"/>
              <w:rPr>
                <w:sz w:val="22"/>
                <w:szCs w:val="22"/>
              </w:rPr>
            </w:pPr>
            <w:r>
              <w:rPr>
                <w:sz w:val="22"/>
                <w:szCs w:val="22"/>
              </w:rPr>
            </w:r>
          </w:p>
        </w:tc>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_______________ / _______________</w:t>
            </w:r>
          </w:p>
          <w:p>
            <w:pPr>
              <w:pStyle w:val="Normal"/>
              <w:widowControl w:val="false"/>
              <w:spacing w:lineRule="auto" w:line="240"/>
              <w:ind w:hanging="0"/>
              <w:rPr>
                <w:sz w:val="22"/>
                <w:szCs w:val="22"/>
              </w:rPr>
            </w:pPr>
            <w:r>
              <w:rPr>
                <w:sz w:val="22"/>
                <w:szCs w:val="22"/>
              </w:rPr>
            </w:r>
          </w:p>
        </w:tc>
      </w:tr>
    </w:tbl>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r>
        <w:br w:type="page"/>
      </w:r>
    </w:p>
    <w:p>
      <w:pPr>
        <w:pStyle w:val="Normal"/>
        <w:spacing w:lineRule="auto" w:line="240"/>
        <w:ind w:left="5103" w:hanging="0"/>
        <w:rPr>
          <w:sz w:val="22"/>
          <w:szCs w:val="22"/>
        </w:rPr>
      </w:pPr>
      <w:r>
        <w:rPr>
          <w:sz w:val="22"/>
          <w:szCs w:val="22"/>
        </w:rPr>
        <w:t>Приложение № 6</w:t>
      </w:r>
    </w:p>
    <w:p>
      <w:pPr>
        <w:pStyle w:val="Normal"/>
        <w:spacing w:lineRule="auto" w:line="240"/>
        <w:ind w:left="5103" w:hanging="0"/>
        <w:rPr>
          <w:sz w:val="22"/>
          <w:szCs w:val="22"/>
        </w:rPr>
      </w:pPr>
      <w:r>
        <w:rPr>
          <w:sz w:val="22"/>
          <w:szCs w:val="22"/>
        </w:rPr>
        <w:t>к Договору подряда</w:t>
      </w:r>
    </w:p>
    <w:p>
      <w:pPr>
        <w:pStyle w:val="Normal"/>
        <w:spacing w:lineRule="auto" w:line="240"/>
        <w:ind w:left="5103" w:hanging="0"/>
        <w:rPr>
          <w:sz w:val="22"/>
          <w:szCs w:val="22"/>
        </w:rPr>
      </w:pPr>
      <w:r>
        <w:rPr>
          <w:sz w:val="22"/>
          <w:szCs w:val="22"/>
        </w:rPr>
        <w:t>от «____» __________ 20</w:t>
      </w:r>
      <w:r>
        <w:rPr>
          <w:sz w:val="22"/>
          <w:szCs w:val="22"/>
        </w:rPr>
        <w:t>26</w:t>
      </w:r>
      <w:r>
        <w:rPr>
          <w:sz w:val="22"/>
          <w:szCs w:val="22"/>
        </w:rPr>
        <w:t xml:space="preserve">г. № ____ </w:t>
      </w:r>
    </w:p>
    <w:p>
      <w:pPr>
        <w:pStyle w:val="Normal"/>
        <w:spacing w:lineRule="auto" w:line="240"/>
        <w:rPr>
          <w:sz w:val="22"/>
          <w:szCs w:val="22"/>
        </w:rPr>
      </w:pPr>
      <w:r>
        <w:rPr>
          <w:sz w:val="22"/>
          <w:szCs w:val="22"/>
        </w:rPr>
      </w:r>
    </w:p>
    <w:p>
      <w:pPr>
        <w:pStyle w:val="Normal"/>
        <w:spacing w:lineRule="auto" w:line="240"/>
        <w:ind w:hanging="0"/>
        <w:rPr>
          <w:b/>
          <w:b/>
          <w:sz w:val="24"/>
        </w:rPr>
      </w:pPr>
      <w:r>
        <w:rPr>
          <w:b/>
          <w:sz w:val="24"/>
        </w:rPr>
      </w:r>
    </w:p>
    <w:p>
      <w:pPr>
        <w:pStyle w:val="Normal"/>
        <w:spacing w:lineRule="auto" w:line="240"/>
        <w:ind w:hanging="0"/>
        <w:jc w:val="center"/>
        <w:rPr>
          <w:b/>
          <w:b/>
          <w:bCs/>
          <w:sz w:val="24"/>
          <w:szCs w:val="24"/>
        </w:rPr>
      </w:pPr>
      <w:r>
        <w:rPr>
          <w:b/>
          <w:bCs/>
          <w:sz w:val="24"/>
          <w:szCs w:val="24"/>
        </w:rPr>
        <w:t>Размер ответственности Субподрядчика за нарушения</w:t>
      </w:r>
    </w:p>
    <w:p>
      <w:pPr>
        <w:pStyle w:val="Normal"/>
        <w:spacing w:lineRule="auto" w:line="240"/>
        <w:ind w:hanging="0"/>
        <w:jc w:val="center"/>
        <w:rPr>
          <w:b/>
          <w:b/>
          <w:bCs/>
          <w:sz w:val="24"/>
          <w:szCs w:val="24"/>
        </w:rPr>
      </w:pPr>
      <w:r>
        <w:rPr>
          <w:b/>
          <w:bCs/>
          <w:sz w:val="24"/>
          <w:szCs w:val="24"/>
        </w:rPr>
        <w:t>пропускного и внутриобъектового режима, требований охраны труда,</w:t>
      </w:r>
    </w:p>
    <w:p>
      <w:pPr>
        <w:pStyle w:val="Normal"/>
        <w:spacing w:lineRule="auto" w:line="240"/>
        <w:ind w:hanging="0"/>
        <w:jc w:val="center"/>
        <w:rPr>
          <w:b/>
          <w:b/>
          <w:color w:val="000000"/>
          <w:sz w:val="24"/>
          <w:szCs w:val="24"/>
        </w:rPr>
      </w:pPr>
      <w:r>
        <w:rPr>
          <w:b/>
          <w:bCs/>
          <w:sz w:val="24"/>
          <w:szCs w:val="24"/>
        </w:rPr>
        <w:t>пожарной и промышленной безопасности</w:t>
      </w:r>
    </w:p>
    <w:p>
      <w:pPr>
        <w:pStyle w:val="Normal"/>
        <w:spacing w:lineRule="auto" w:line="240"/>
        <w:rPr>
          <w:b/>
          <w:b/>
          <w:sz w:val="24"/>
          <w:szCs w:val="24"/>
        </w:rPr>
      </w:pPr>
      <w:r>
        <w:rPr>
          <w:b/>
          <w:sz w:val="24"/>
          <w:szCs w:val="24"/>
        </w:rPr>
      </w:r>
    </w:p>
    <w:tbl>
      <w:tblPr>
        <w:tblW w:w="485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3623"/>
        <w:gridCol w:w="5723"/>
      </w:tblGrid>
      <w:tr>
        <w:trPr/>
        <w:tc>
          <w:tcPr>
            <w:tcW w:w="362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b/>
                <w:b/>
                <w:sz w:val="24"/>
                <w:szCs w:val="24"/>
              </w:rPr>
            </w:pPr>
            <w:r>
              <w:rPr>
                <w:b/>
                <w:sz w:val="24"/>
                <w:szCs w:val="24"/>
              </w:rPr>
              <w:t>Виды нарушений</w:t>
            </w:r>
          </w:p>
        </w:tc>
        <w:tc>
          <w:tcPr>
            <w:tcW w:w="572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b/>
                <w:b/>
                <w:sz w:val="24"/>
                <w:szCs w:val="24"/>
              </w:rPr>
            </w:pPr>
            <w:r>
              <w:rPr>
                <w:b/>
                <w:sz w:val="24"/>
                <w:szCs w:val="24"/>
              </w:rPr>
              <w:t>Штрафные санкции</w:t>
            </w:r>
          </w:p>
        </w:tc>
      </w:tr>
      <w:tr>
        <w:trPr/>
        <w:tc>
          <w:tcPr>
            <w:tcW w:w="362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rPr>
              <w:t>1. Нарушение правил пожарной безопасности (ППБ):</w:t>
            </w:r>
          </w:p>
        </w:tc>
        <w:tc>
          <w:tcPr>
            <w:tcW w:w="572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r>
          </w:p>
        </w:tc>
      </w:tr>
      <w:tr>
        <w:trPr/>
        <w:tc>
          <w:tcPr>
            <w:tcW w:w="362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t>1.1. Нарушение ППБ без возникновения пожара</w:t>
            </w:r>
          </w:p>
          <w:p>
            <w:pPr>
              <w:pStyle w:val="Normal"/>
              <w:widowControl w:val="false"/>
              <w:spacing w:lineRule="auto" w:line="240"/>
              <w:ind w:hanging="0"/>
              <w:rPr>
                <w:b/>
                <w:b/>
                <w:sz w:val="24"/>
                <w:szCs w:val="24"/>
              </w:rPr>
            </w:pPr>
            <w:r>
              <w:rPr>
                <w:b/>
                <w:sz w:val="24"/>
                <w:szCs w:val="24"/>
              </w:rPr>
            </w:r>
          </w:p>
        </w:tc>
        <w:tc>
          <w:tcPr>
            <w:tcW w:w="572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t>25 000 (двадцать пять тысяч) рублей за каждый случай нарушения.</w:t>
            </w:r>
          </w:p>
          <w:p>
            <w:pPr>
              <w:pStyle w:val="Normal"/>
              <w:widowControl w:val="false"/>
              <w:spacing w:lineRule="auto" w:line="240"/>
              <w:ind w:hanging="0"/>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62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t>1.2. Нарушение ППБ, ставшее причиной возникновения пожара, не причинившего ущерб имуществу Генподрядчика</w:t>
            </w:r>
          </w:p>
        </w:tc>
        <w:tc>
          <w:tcPr>
            <w:tcW w:w="572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t>50 000 (пятьдесят тысяч) рублей за каждый случай нарушения.</w:t>
            </w:r>
          </w:p>
          <w:p>
            <w:pPr>
              <w:pStyle w:val="Normal"/>
              <w:widowControl w:val="false"/>
              <w:spacing w:lineRule="auto" w:line="240"/>
              <w:ind w:hanging="0"/>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62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t>1.3. Нарушение ППБ, ставшее причиной возникновения пожара, причинившего ущерб имуществу Генподрядчика.</w:t>
            </w:r>
          </w:p>
        </w:tc>
        <w:tc>
          <w:tcPr>
            <w:tcW w:w="572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t xml:space="preserve"> </w:t>
            </w:r>
            <w:r>
              <w:rPr>
                <w:sz w:val="24"/>
                <w:szCs w:val="24"/>
              </w:rPr>
              <w:t>250 000 (двести пятьдесят тысяч) рублей за каждый случай нарушения.</w:t>
            </w:r>
          </w:p>
        </w:tc>
      </w:tr>
      <w:tr>
        <w:trPr/>
        <w:tc>
          <w:tcPr>
            <w:tcW w:w="362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rPr>
              <w:t>2.</w:t>
            </w:r>
            <w:r>
              <w:rPr>
                <w:b/>
                <w:sz w:val="24"/>
                <w:szCs w:val="24"/>
              </w:rPr>
              <w:t xml:space="preserve"> </w:t>
            </w:r>
            <w:r>
              <w:rPr>
                <w:sz w:val="24"/>
              </w:rPr>
              <w:t xml:space="preserve">Нарушение пропускного и внутриобъектового режима, </w:t>
            </w:r>
            <w:r>
              <w:rPr>
                <w:color w:val="000000"/>
                <w:sz w:val="24"/>
              </w:rPr>
              <w:t>требований охраны труда, промышленной безопасности, охраны окружающей среды, санитарно-эпидемиологических правил и норм.</w:t>
            </w:r>
          </w:p>
        </w:tc>
        <w:tc>
          <w:tcPr>
            <w:tcW w:w="572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t>- 50 000 (пятьдесят тысяч) рублей за каждый случай нарушения;</w:t>
            </w:r>
          </w:p>
          <w:p>
            <w:pPr>
              <w:pStyle w:val="Normal"/>
              <w:widowControl w:val="false"/>
              <w:spacing w:lineRule="auto" w:line="240"/>
              <w:ind w:hanging="0"/>
              <w:rPr>
                <w:sz w:val="24"/>
                <w:szCs w:val="24"/>
              </w:rPr>
            </w:pPr>
            <w:r>
              <w:rPr>
                <w:sz w:val="24"/>
                <w:szCs w:val="24"/>
              </w:rPr>
              <w:t>- 500 (пятьсот) рублей в случае утраты или приведения в негодность электронного пропуска, выданного Генподрядчиком.</w:t>
            </w:r>
          </w:p>
          <w:p>
            <w:pPr>
              <w:pStyle w:val="Normal"/>
              <w:widowControl w:val="false"/>
              <w:spacing w:lineRule="auto" w:line="240"/>
              <w:ind w:hanging="0"/>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rPr>
          <w:sz w:val="24"/>
        </w:rPr>
      </w:pPr>
      <w:r>
        <w:rPr>
          <w:sz w:val="24"/>
        </w:rPr>
      </w:r>
    </w:p>
    <w:p>
      <w:pPr>
        <w:pStyle w:val="Normal"/>
        <w:spacing w:lineRule="auto" w:line="240"/>
        <w:ind w:hanging="0"/>
        <w:rPr>
          <w:sz w:val="24"/>
        </w:rPr>
      </w:pPr>
      <w:r>
        <w:rPr>
          <w:sz w:val="24"/>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spacing w:lineRule="auto" w:line="240"/>
              <w:ind w:hanging="0"/>
              <w:rPr>
                <w:b/>
                <w:b/>
                <w:sz w:val="24"/>
              </w:rPr>
            </w:pPr>
            <w:r>
              <w:rPr>
                <w:b/>
                <w:sz w:val="24"/>
              </w:rPr>
              <w:t>Генподрядчик:</w:t>
            </w:r>
          </w:p>
        </w:tc>
        <w:tc>
          <w:tcPr>
            <w:tcW w:w="4785" w:type="dxa"/>
            <w:tcBorders/>
          </w:tcPr>
          <w:p>
            <w:pPr>
              <w:pStyle w:val="Normal"/>
              <w:widowControl w:val="false"/>
              <w:spacing w:lineRule="auto" w:line="240"/>
              <w:ind w:hanging="0"/>
              <w:rPr>
                <w:b/>
                <w:b/>
                <w:sz w:val="24"/>
              </w:rPr>
            </w:pPr>
            <w:r>
              <w:rPr>
                <w:b/>
                <w:sz w:val="24"/>
              </w:rPr>
              <w:t>Субподрядчик:</w:t>
            </w:r>
          </w:p>
        </w:tc>
      </w:tr>
      <w:tr>
        <w:trPr/>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_______________ / _______________</w:t>
            </w:r>
          </w:p>
          <w:p>
            <w:pPr>
              <w:pStyle w:val="Normal"/>
              <w:widowControl w:val="false"/>
              <w:spacing w:lineRule="auto" w:line="240"/>
              <w:ind w:hanging="0"/>
              <w:rPr>
                <w:sz w:val="22"/>
                <w:szCs w:val="22"/>
              </w:rPr>
            </w:pPr>
            <w:r>
              <w:rPr>
                <w:sz w:val="22"/>
                <w:szCs w:val="22"/>
              </w:rPr>
            </w:r>
          </w:p>
        </w:tc>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_______________ / _______________</w:t>
            </w:r>
          </w:p>
          <w:p>
            <w:pPr>
              <w:pStyle w:val="Normal"/>
              <w:widowControl w:val="false"/>
              <w:spacing w:lineRule="auto" w:line="240"/>
              <w:ind w:hanging="0"/>
              <w:rPr>
                <w:sz w:val="22"/>
                <w:szCs w:val="22"/>
              </w:rPr>
            </w:pPr>
            <w:r>
              <w:rPr>
                <w:sz w:val="22"/>
                <w:szCs w:val="22"/>
              </w:rPr>
            </w:r>
          </w:p>
        </w:tc>
      </w:tr>
    </w:tbl>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hd w:val="clear" w:color="auto" w:fill="FFFFFF"/>
        <w:spacing w:lineRule="auto" w:line="240"/>
        <w:ind w:left="3119" w:firstLine="1984"/>
        <w:rPr>
          <w:sz w:val="24"/>
          <w:szCs w:val="24"/>
        </w:rPr>
      </w:pPr>
      <w:r>
        <w:rPr/>
      </w:r>
    </w:p>
    <w:sectPr>
      <w:headerReference w:type="default" r:id="rId11"/>
      <w:footerReference w:type="default" r:id="rId12"/>
      <w:footnotePr>
        <w:numFmt w:val="decimal"/>
      </w:footnotePr>
      <w:type w:val="nextPage"/>
      <w:pgSz w:w="11906" w:h="16838"/>
      <w:pgMar w:left="1418" w:right="851" w:header="567" w:top="1134" w:footer="284"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mbria">
    <w:charset w:val="01"/>
    <w:family w:val="roman"/>
    <w:pitch w:val="variable"/>
  </w:font>
  <w:font w:name="Arial">
    <w:charset w:val="01"/>
    <w:family w:val="roman"/>
    <w:pitch w:val="variable"/>
  </w:font>
  <w:font w:name="Tahoma">
    <w:charset w:val="01"/>
    <w:family w:val="roman"/>
    <w:pitch w:val="variable"/>
  </w:font>
  <w:font w:name="Liberation Sans">
    <w:altName w:val="Arial"/>
    <w:charset w:val="01"/>
    <w:family w:val="roman"/>
    <w:pitch w:val="variable"/>
  </w:font>
  <w:font w:name="Verdana">
    <w:charset w:val="01"/>
    <w:family w:val="roman"/>
    <w:pitch w:val="variable"/>
  </w:font>
  <w:font w:name="Symbol">
    <w:charset w:val="02"/>
    <w:family w:val="auto"/>
    <w:pitch w:val="default"/>
  </w:font>
  <w:font w:name="Courier New">
    <w:charset w:val="01"/>
    <w:family w:val="auto"/>
    <w:pitch w:val="default"/>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8"/>
      <w:jc w:val="right"/>
      <w:rPr>
        <w:sz w:val="20"/>
        <w:szCs w:val="20"/>
      </w:rPr>
    </w:pPr>
    <w:r>
      <w:rPr>
        <w:sz w:val="20"/>
        <w:szCs w:val="20"/>
      </w:rPr>
      <w:fldChar w:fldCharType="begin"/>
    </w:r>
    <w:r>
      <w:rPr>
        <w:sz w:val="20"/>
        <w:szCs w:val="20"/>
      </w:rPr>
      <w:instrText> PAGE </w:instrText>
    </w:r>
    <w:r>
      <w:rPr>
        <w:sz w:val="20"/>
        <w:szCs w:val="20"/>
      </w:rPr>
      <w:fldChar w:fldCharType="separate"/>
    </w:r>
    <w:r>
      <w:rPr>
        <w:sz w:val="20"/>
        <w:szCs w:val="20"/>
      </w:rPr>
      <w:t>19</w:t>
    </w:r>
    <w:r>
      <w:rPr>
        <w:sz w:val="20"/>
        <w:szCs w:val="20"/>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8"/>
      <w:jc w:val="right"/>
      <w:rPr/>
    </w:pPr>
    <w:r>
      <w:rPr>
        <w:sz w:val="24"/>
      </w:rPr>
      <w:fldChar w:fldCharType="begin"/>
    </w:r>
    <w:r>
      <w:rPr>
        <w:sz w:val="24"/>
      </w:rPr>
      <w:instrText> PAGE </w:instrText>
    </w:r>
    <w:r>
      <w:rPr>
        <w:sz w:val="24"/>
      </w:rPr>
      <w:fldChar w:fldCharType="separate"/>
    </w:r>
    <w:r>
      <w:rPr>
        <w:sz w:val="24"/>
      </w:rPr>
      <w:t>21</w:t>
    </w:r>
    <w:r>
      <w:rPr>
        <w:sz w:val="24"/>
      </w:rPr>
      <w:fldChar w:fldCharType="end"/>
    </w:r>
  </w:p>
  <w:p>
    <w:pPr>
      <w:pStyle w:val="Style38"/>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8"/>
      <w:jc w:val="right"/>
      <w:rPr/>
    </w:pPr>
    <w:r>
      <w:rPr>
        <w:sz w:val="24"/>
      </w:rPr>
      <w:fldChar w:fldCharType="begin"/>
    </w:r>
    <w:r>
      <w:rPr>
        <w:sz w:val="24"/>
      </w:rPr>
      <w:instrText> PAGE </w:instrText>
    </w:r>
    <w:r>
      <w:rPr>
        <w:sz w:val="24"/>
      </w:rPr>
      <w:fldChar w:fldCharType="separate"/>
    </w:r>
    <w:r>
      <w:rPr>
        <w:sz w:val="24"/>
      </w:rPr>
      <w:t>22</w:t>
    </w:r>
    <w:r>
      <w:rPr>
        <w:sz w:val="24"/>
      </w:rPr>
      <w:fldChar w:fldCharType="end"/>
    </w:r>
  </w:p>
  <w:p>
    <w:pPr>
      <w:pStyle w:val="Style38"/>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8"/>
      <w:jc w:val="right"/>
      <w:rPr/>
    </w:pPr>
    <w:r>
      <w:rPr>
        <w:sz w:val="24"/>
        <w:szCs w:val="24"/>
      </w:rPr>
      <w:fldChar w:fldCharType="begin"/>
    </w:r>
    <w:r>
      <w:rPr>
        <w:sz w:val="24"/>
        <w:szCs w:val="24"/>
      </w:rPr>
      <w:instrText> PAGE </w:instrText>
    </w:r>
    <w:r>
      <w:rPr>
        <w:sz w:val="24"/>
        <w:szCs w:val="24"/>
      </w:rPr>
      <w:fldChar w:fldCharType="separate"/>
    </w:r>
    <w:r>
      <w:rPr>
        <w:sz w:val="24"/>
        <w:szCs w:val="24"/>
      </w:rPr>
      <w:t>26</w:t>
    </w:r>
    <w:r>
      <w:rPr>
        <w:sz w:val="24"/>
        <w:szCs w:val="24"/>
      </w:rPr>
      <w:fldChar w:fldCharType="end"/>
    </w:r>
  </w:p>
  <w:p>
    <w:pPr>
      <w:pStyle w:val="Style38"/>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Style33"/>
        <w:rPr/>
      </w:pPr>
      <w:r>
        <w:rPr>
          <w:rStyle w:val="Style5"/>
        </w:rPr>
        <w:footnoteRef/>
      </w:r>
      <w:r>
        <w:rPr/>
        <w:t>Для электронной формы документа</w:t>
      </w:r>
    </w:p>
  </w:footnote>
  <w:footnote w:id="3">
    <w:p>
      <w:pPr>
        <w:pStyle w:val="Normal"/>
        <w:widowControl w:val="false"/>
        <w:numPr>
          <w:ilvl w:val="0"/>
          <w:numId w:val="0"/>
        </w:numPr>
        <w:spacing w:before="0" w:after="0"/>
        <w:ind w:left="360" w:hanging="0"/>
        <w:jc w:val="both"/>
        <w:rPr/>
      </w:pPr>
      <w:r>
        <w:rPr>
          <w:rStyle w:val="Style5"/>
        </w:rPr>
        <w:footnoteRef/>
      </w:r>
      <w:r>
        <w:rPr>
          <w:sz w:val="20"/>
          <w:szCs w:val="20"/>
        </w:rPr>
        <w:t>Формулировка в отношении пунктов 2.1  Договора</w:t>
      </w:r>
    </w:p>
    <w:p>
      <w:pPr>
        <w:pStyle w:val="Style24"/>
        <w:spacing w:lineRule="auto" w:line="240" w:before="0" w:after="0"/>
        <w:rPr>
          <w:sz w:val="20"/>
          <w:szCs w:val="20"/>
        </w:rPr>
      </w:pPr>
      <w:r>
        <w:rPr>
          <w:sz w:val="20"/>
          <w:szCs w:val="20"/>
        </w:rPr>
        <w:t xml:space="preserve">Если </w:t>
      </w:r>
      <w:r>
        <w:rPr>
          <w:color w:val="222222"/>
          <w:sz w:val="20"/>
          <w:szCs w:val="20"/>
        </w:rPr>
        <w:t>Поставщик</w:t>
      </w:r>
      <w:r>
        <w:rPr>
          <w:sz w:val="20"/>
          <w:szCs w:val="20"/>
        </w:rPr>
        <w:t xml:space="preserve">  МСП не платит НДС –  п.1 статьи 145 НК РФ.</w:t>
      </w:r>
    </w:p>
    <w:p>
      <w:pPr>
        <w:pStyle w:val="Style24"/>
        <w:spacing w:lineRule="auto" w:line="240" w:before="0" w:after="0"/>
        <w:rPr>
          <w:sz w:val="20"/>
          <w:szCs w:val="20"/>
        </w:rPr>
      </w:pPr>
      <w:r>
        <w:rPr>
          <w:sz w:val="20"/>
          <w:szCs w:val="20"/>
        </w:rPr>
        <w:t xml:space="preserve">Если </w:t>
      </w:r>
      <w:r>
        <w:rPr>
          <w:color w:val="222222"/>
          <w:sz w:val="20"/>
          <w:szCs w:val="20"/>
        </w:rPr>
        <w:t xml:space="preserve">Поставщик МСП </w:t>
      </w:r>
      <w:r>
        <w:rPr>
          <w:sz w:val="20"/>
          <w:szCs w:val="20"/>
        </w:rPr>
        <w:t xml:space="preserve"> платит НДС 5% - </w:t>
      </w:r>
      <w:r>
        <w:rPr>
          <w:color w:val="222222"/>
          <w:sz w:val="20"/>
          <w:szCs w:val="20"/>
        </w:rPr>
        <w:t> пп 1 п.8 ст. 164 НК РФ`</w:t>
      </w:r>
    </w:p>
    <w:p>
      <w:pPr>
        <w:pStyle w:val="Style24"/>
        <w:spacing w:lineRule="auto" w:line="240" w:before="0" w:after="0"/>
        <w:rPr>
          <w:sz w:val="20"/>
          <w:szCs w:val="20"/>
        </w:rPr>
      </w:pPr>
      <w:r>
        <w:rPr>
          <w:color w:val="222222"/>
          <w:sz w:val="20"/>
          <w:szCs w:val="20"/>
        </w:rPr>
        <w:t>Если Поставщик  МСП платит НДС 7% - пп 2 п.8 статьи 164 НК РФ</w:t>
      </w:r>
    </w:p>
    <w:p>
      <w:pPr>
        <w:pStyle w:val="Style33"/>
        <w:rPr>
          <w:color w:val="222222"/>
        </w:rPr>
      </w:pPr>
      <w:r>
        <w:rPr>
          <w:color w:val="222222"/>
        </w:rPr>
        <w:t>Если Поставщик платит НДС 22% - общая формулировка, статья 164 НК РФ.</w:t>
      </w:r>
    </w:p>
  </w:footnote>
  <w:footnote w:id="4">
    <w:p>
      <w:pPr>
        <w:pStyle w:val="Style33"/>
        <w:rPr/>
      </w:pPr>
      <w:r>
        <w:rPr>
          <w:rStyle w:val="Style5"/>
        </w:rPr>
        <w:footnoteRef/>
      </w:r>
      <w:r>
        <w:rPr/>
        <w:t xml:space="preserve"> </w:t>
      </w:r>
      <w:r>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5">
    <w:p>
      <w:pPr>
        <w:pStyle w:val="Style33"/>
        <w:rPr>
          <w:sz w:val="16"/>
          <w:szCs w:val="16"/>
        </w:rPr>
      </w:pPr>
      <w:r>
        <w:rPr>
          <w:rStyle w:val="Style5"/>
        </w:rPr>
        <w:footnoteRef/>
      </w:r>
      <w:r>
        <w:rPr>
          <w:rStyle w:val="Style5"/>
          <w:sz w:val="16"/>
          <w:szCs w:val="16"/>
        </w:rPr>
        <w:tab/>
      </w:r>
      <w:r>
        <w:rPr>
          <w:sz w:val="16"/>
          <w:szCs w:val="16"/>
        </w:rPr>
        <w:t xml:space="preserve"> Применяется в случае подписания собственноручно без использования усиленных квалифицированных электронных подписей (УКЭП).</w:t>
      </w:r>
    </w:p>
  </w:footnote>
  <w:footnote w:id="6">
    <w:p>
      <w:pPr>
        <w:pStyle w:val="Style33"/>
        <w:rPr>
          <w:shd w:fill="auto" w:val="clear"/>
        </w:rPr>
      </w:pPr>
      <w:r>
        <w:rPr>
          <w:rStyle w:val="Style5"/>
        </w:rPr>
        <w:footnoteRef/>
      </w:r>
      <w:r>
        <w:rPr>
          <w:shd w:fill="auto" w:val="clear"/>
        </w:rPr>
        <w:t xml:space="preserve"> </w:t>
      </w:r>
      <w:r>
        <w:rPr>
          <w:shd w:fill="auto" w:val="clear"/>
        </w:rPr>
        <w:t>Применяется, если не используется УПД.</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1"/>
      <w:rPr/>
    </w:pPr>
    <w:r>
      <w:rPr/>
      <w:t xml:space="preserve"> </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1"/>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1"/>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1"/>
      <w:ind w:hanging="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Статья %1."/>
      <w:lvlJc w:val="left"/>
      <w:pPr>
        <w:tabs>
          <w:tab w:val="num" w:pos="720"/>
        </w:tabs>
        <w:ind w:left="720" w:hanging="360"/>
      </w:p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lvl>
    <w:lvl w:ilvl="4">
      <w:start w:val="1"/>
      <w:numFmt w:val="decimal"/>
      <w:lvlText w:val="%1.%2.%3.%4.%5."/>
      <w:lvlJc w:val="left"/>
      <w:pPr>
        <w:tabs>
          <w:tab w:val="num" w:pos="2985"/>
        </w:tabs>
        <w:ind w:left="2985" w:hanging="1185"/>
      </w:pPr>
    </w:lvl>
    <w:lvl w:ilvl="5">
      <w:start w:val="1"/>
      <w:numFmt w:val="decimal"/>
      <w:lvlText w:val="%1.%2.%3.%4.%5.%6."/>
      <w:lvlJc w:val="left"/>
      <w:pPr>
        <w:tabs>
          <w:tab w:val="num" w:pos="3345"/>
        </w:tabs>
        <w:ind w:left="3345" w:hanging="1185"/>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2">
    <w:lvl w:ilvl="0">
      <w:start w:val="1"/>
      <w:numFmt w:val="bullet"/>
      <w:lvlText w:val=""/>
      <w:lvlJc w:val="left"/>
      <w:pPr>
        <w:tabs>
          <w:tab w:val="num" w:pos="360"/>
        </w:tabs>
        <w:ind w:left="360" w:hanging="360"/>
      </w:pPr>
      <w:rPr>
        <w:rFonts w:ascii="Symbol" w:hAnsi="Symbol" w:cs="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574" w:hanging="432"/>
      </w:pPr>
      <w:rPr>
        <w:u w:val="none"/>
        <w:b w:val="false"/>
      </w:rPr>
    </w:lvl>
    <w:lvl w:ilvl="2">
      <w:start w:val="1"/>
      <w:numFmt w:val="decimal"/>
      <w:lvlText w:val="%1.%2.%3."/>
      <w:lvlJc w:val="left"/>
      <w:pPr>
        <w:tabs>
          <w:tab w:val="num" w:pos="0"/>
        </w:tabs>
        <w:ind w:left="1214" w:hanging="504"/>
      </w:pPr>
      <w:rPr>
        <w:sz w:val="24"/>
        <w:b w:val="false"/>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lvl w:ilvl="0">
      <w:start w:val="1"/>
      <w:numFmt w:val="decimal"/>
      <w:lvlText w:val="%1."/>
      <w:lvlJc w:val="left"/>
      <w:pPr>
        <w:tabs>
          <w:tab w:val="num" w:pos="3240"/>
        </w:tabs>
        <w:ind w:left="3240" w:hanging="0"/>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lowerLetter"/>
      <w:lvlText w:val="%4)"/>
      <w:lvlJc w:val="left"/>
      <w:pPr>
        <w:tabs>
          <w:tab w:val="num" w:pos="1418"/>
        </w:tabs>
        <w:ind w:left="1418" w:hanging="567"/>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lvl w:ilvl="0">
      <w:start w:val="1"/>
      <w:numFmt w:val="bullet"/>
      <w:lvlText w:val=""/>
      <w:lvlJc w:val="left"/>
      <w:pPr>
        <w:tabs>
          <w:tab w:val="num" w:pos="0"/>
        </w:tabs>
        <w:ind w:left="163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5">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w:zoom w:percent="80"/>
  <w:defaultTabStop w:val="709"/>
  <w:autoHyphenation w:val="true"/>
  <w:footnotePr>
    <w:numFmt w:val="decimal"/>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oto Serif CJK SC" w:cs="Lohit Devanagari"/>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360" w:before="0" w:after="0"/>
      <w:ind w:firstLine="567"/>
      <w:jc w:val="both"/>
    </w:pPr>
    <w:rPr>
      <w:rFonts w:ascii="Times New Roman" w:hAnsi="Times New Roman" w:eastAsia="Noto Serif CJK SC" w:cs="Lohit Devanagari"/>
      <w:color w:val="auto"/>
      <w:kern w:val="0"/>
      <w:sz w:val="28"/>
      <w:szCs w:val="28"/>
      <w:lang w:val="ru-RU" w:eastAsia="ru-RU" w:bidi="ar-SA"/>
    </w:rPr>
  </w:style>
  <w:style w:type="paragraph" w:styleId="1">
    <w:name w:val="Heading 1"/>
    <w:basedOn w:val="Normal"/>
    <w:qFormat/>
    <w:pPr>
      <w:keepNext w:val="true"/>
      <w:spacing w:before="240" w:after="60"/>
      <w:outlineLvl w:val="0"/>
    </w:pPr>
    <w:rPr>
      <w:rFonts w:ascii="Cambria" w:hAnsi="Cambria"/>
      <w:b/>
      <w:bCs/>
      <w:sz w:val="32"/>
      <w:szCs w:val="32"/>
    </w:rPr>
  </w:style>
  <w:style w:type="paragraph" w:styleId="2">
    <w:name w:val="Heading 2"/>
    <w:basedOn w:val="Normal"/>
    <w:qFormat/>
    <w:pPr>
      <w:keepNext w:val="true"/>
      <w:spacing w:before="240" w:after="60"/>
      <w:outlineLvl w:val="1"/>
    </w:pPr>
    <w:rPr>
      <w:rFonts w:ascii="Cambria" w:hAnsi="Cambria"/>
      <w:b/>
      <w:bCs/>
      <w:i/>
      <w:iCs/>
    </w:rPr>
  </w:style>
  <w:style w:type="paragraph" w:styleId="3">
    <w:name w:val="Heading 3"/>
    <w:basedOn w:val="Normal"/>
    <w:uiPriority w:val="9"/>
    <w:qFormat/>
    <w:pPr>
      <w:keepNext w:val="true"/>
      <w:spacing w:lineRule="auto" w:line="240" w:before="120" w:after="120"/>
      <w:ind w:hanging="0"/>
      <w:jc w:val="left"/>
      <w:outlineLvl w:val="2"/>
    </w:pPr>
    <w:rPr>
      <w:b/>
      <w:szCs w:val="20"/>
    </w:rPr>
  </w:style>
  <w:style w:type="paragraph" w:styleId="4">
    <w:name w:val="Heading 4"/>
    <w:basedOn w:val="Normal"/>
    <w:unhideWhenUsed/>
    <w:qFormat/>
    <w:pPr>
      <w:keepNext w:val="true"/>
      <w:keepLines/>
      <w:spacing w:lineRule="auto" w:line="276" w:before="200" w:after="0"/>
      <w:ind w:hanging="0"/>
      <w:jc w:val="left"/>
      <w:outlineLvl w:val="3"/>
    </w:pPr>
    <w:rPr>
      <w:rFonts w:ascii="Cambria" w:hAnsi="Cambria" w:eastAsia="Arial" w:cs="Arial" w:asciiTheme="majorHAnsi" w:cstheme="majorBidi" w:eastAsiaTheme="majorEastAsia" w:hAnsiTheme="majorHAnsi"/>
      <w:b/>
      <w:bCs/>
      <w:i/>
      <w:iCs/>
      <w:color w:val="4F81BD" w:themeColor="accent1"/>
      <w:sz w:val="22"/>
      <w:szCs w:val="22"/>
      <w:lang w:eastAsia="en-US"/>
    </w:rPr>
  </w:style>
  <w:style w:type="paragraph" w:styleId="5">
    <w:name w:val="Heading 5"/>
    <w:basedOn w:val="Normal"/>
    <w:uiPriority w:val="9"/>
    <w:unhideWhenUsed/>
    <w:qFormat/>
    <w:pPr>
      <w:keepNext w:val="true"/>
      <w:keepLines/>
      <w:spacing w:before="320" w:after="200"/>
      <w:outlineLvl w:val="4"/>
    </w:pPr>
    <w:rPr>
      <w:rFonts w:ascii="Arial" w:hAnsi="Arial" w:eastAsia="Arial" w:cs="Arial"/>
      <w:b/>
      <w:bCs/>
      <w:sz w:val="24"/>
      <w:szCs w:val="24"/>
    </w:rPr>
  </w:style>
  <w:style w:type="paragraph" w:styleId="6">
    <w:name w:val="Heading 6"/>
    <w:basedOn w:val="Normal"/>
    <w:uiPriority w:val="9"/>
    <w:unhideWhenUsed/>
    <w:qFormat/>
    <w:pPr>
      <w:keepNext w:val="true"/>
      <w:keepLines/>
      <w:spacing w:before="320" w:after="200"/>
      <w:outlineLvl w:val="5"/>
    </w:pPr>
    <w:rPr>
      <w:rFonts w:ascii="Arial" w:hAnsi="Arial" w:eastAsia="Arial" w:cs="Arial"/>
      <w:b/>
      <w:bCs/>
      <w:sz w:val="22"/>
      <w:szCs w:val="22"/>
    </w:rPr>
  </w:style>
  <w:style w:type="paragraph" w:styleId="7">
    <w:name w:val="Heading 7"/>
    <w:basedOn w:val="Normal"/>
    <w:uiPriority w:val="9"/>
    <w:unhideWhenUsed/>
    <w:qFormat/>
    <w:pPr>
      <w:keepNext w:val="true"/>
      <w:keepLines/>
      <w:spacing w:before="320" w:after="200"/>
      <w:outlineLvl w:val="6"/>
    </w:pPr>
    <w:rPr>
      <w:rFonts w:ascii="Arial" w:hAnsi="Arial" w:eastAsia="Arial" w:cs="Arial"/>
      <w:b/>
      <w:bCs/>
      <w:i/>
      <w:iCs/>
      <w:sz w:val="22"/>
      <w:szCs w:val="22"/>
    </w:rPr>
  </w:style>
  <w:style w:type="paragraph" w:styleId="8">
    <w:name w:val="Heading 8"/>
    <w:basedOn w:val="Normal"/>
    <w:uiPriority w:val="9"/>
    <w:unhideWhenUsed/>
    <w:qFormat/>
    <w:pPr>
      <w:keepNext w:val="true"/>
      <w:keepLines/>
      <w:spacing w:before="320" w:after="200"/>
      <w:outlineLvl w:val="7"/>
    </w:pPr>
    <w:rPr>
      <w:rFonts w:ascii="Arial" w:hAnsi="Arial" w:eastAsia="Arial" w:cs="Arial"/>
      <w:i/>
      <w:iCs/>
      <w:sz w:val="22"/>
      <w:szCs w:val="22"/>
    </w:rPr>
  </w:style>
  <w:style w:type="paragraph" w:styleId="9">
    <w:name w:val="Heading 9"/>
    <w:basedOn w:val="Normal"/>
    <w:uiPriority w:val="9"/>
    <w:unhideWhenUsed/>
    <w:qFormat/>
    <w:pPr>
      <w:keepNext w:val="true"/>
      <w:keepLines/>
      <w:spacing w:before="320" w:after="200"/>
      <w:outlineLvl w:val="8"/>
    </w:pPr>
    <w:rPr>
      <w:rFonts w:ascii="Arial" w:hAnsi="Arial" w:eastAsia="Arial" w:cs="Arial"/>
      <w:i/>
      <w:iCs/>
      <w:sz w:val="21"/>
      <w:szCs w:val="21"/>
    </w:rPr>
  </w:style>
  <w:style w:type="character" w:styleId="Heading1Char">
    <w:name w:val="Heading 1 Char"/>
    <w:basedOn w:val="DefaultParagraphFont"/>
    <w:uiPriority w:val="9"/>
    <w:qFormat/>
    <w:rPr>
      <w:rFonts w:ascii="Arial" w:hAnsi="Arial" w:eastAsia="Arial" w:cs="Arial"/>
      <w:sz w:val="40"/>
      <w:szCs w:val="40"/>
    </w:rPr>
  </w:style>
  <w:style w:type="character" w:styleId="Heading2Char">
    <w:name w:val="Heading 2 Char"/>
    <w:basedOn w:val="DefaultParagraphFont"/>
    <w:uiPriority w:val="9"/>
    <w:qFormat/>
    <w:rPr>
      <w:rFonts w:ascii="Arial" w:hAnsi="Arial" w:eastAsia="Arial" w:cs="Arial"/>
      <w:sz w:val="34"/>
    </w:rPr>
  </w:style>
  <w:style w:type="character" w:styleId="Heading3Char">
    <w:name w:val="Heading 3 Char"/>
    <w:basedOn w:val="DefaultParagraphFont"/>
    <w:uiPriority w:val="9"/>
    <w:qFormat/>
    <w:rPr>
      <w:rFonts w:ascii="Arial" w:hAnsi="Arial" w:eastAsia="Arial" w:cs="Arial"/>
      <w:sz w:val="30"/>
      <w:szCs w:val="30"/>
    </w:rPr>
  </w:style>
  <w:style w:type="character" w:styleId="Heading4Char">
    <w:name w:val="Heading 4 Char"/>
    <w:basedOn w:val="DefaultParagraphFont"/>
    <w:uiPriority w:val="9"/>
    <w:qFormat/>
    <w:rPr>
      <w:rFonts w:ascii="Arial" w:hAnsi="Arial" w:eastAsia="Arial" w:cs="Arial"/>
      <w:b/>
      <w:bCs/>
      <w:sz w:val="26"/>
      <w:szCs w:val="26"/>
    </w:rPr>
  </w:style>
  <w:style w:type="character" w:styleId="Heading5Char">
    <w:name w:val="Heading 5 Char"/>
    <w:basedOn w:val="DefaultParagraphFont"/>
    <w:uiPriority w:val="9"/>
    <w:qFormat/>
    <w:rPr>
      <w:rFonts w:ascii="Arial" w:hAnsi="Arial" w:eastAsia="Arial" w:cs="Arial"/>
      <w:b/>
      <w:bCs/>
      <w:sz w:val="24"/>
      <w:szCs w:val="24"/>
    </w:rPr>
  </w:style>
  <w:style w:type="character" w:styleId="Heading6Char">
    <w:name w:val="Heading 6 Char"/>
    <w:basedOn w:val="DefaultParagraphFont"/>
    <w:uiPriority w:val="9"/>
    <w:qFormat/>
    <w:rPr>
      <w:rFonts w:ascii="Arial" w:hAnsi="Arial" w:eastAsia="Arial" w:cs="Arial"/>
      <w:b/>
      <w:bCs/>
      <w:sz w:val="22"/>
      <w:szCs w:val="22"/>
    </w:rPr>
  </w:style>
  <w:style w:type="character" w:styleId="Heading7Char">
    <w:name w:val="Heading 7 Char"/>
    <w:basedOn w:val="DefaultParagraphFont"/>
    <w:uiPriority w:val="9"/>
    <w:qFormat/>
    <w:rPr>
      <w:rFonts w:ascii="Arial" w:hAnsi="Arial" w:eastAsia="Arial" w:cs="Arial"/>
      <w:b/>
      <w:bCs/>
      <w:i/>
      <w:iCs/>
      <w:sz w:val="22"/>
      <w:szCs w:val="22"/>
    </w:rPr>
  </w:style>
  <w:style w:type="character" w:styleId="Heading8Char">
    <w:name w:val="Heading 8 Char"/>
    <w:basedOn w:val="DefaultParagraphFont"/>
    <w:uiPriority w:val="9"/>
    <w:qFormat/>
    <w:rPr>
      <w:rFonts w:ascii="Arial" w:hAnsi="Arial" w:eastAsia="Arial" w:cs="Arial"/>
      <w:i/>
      <w:iCs/>
      <w:sz w:val="22"/>
      <w:szCs w:val="22"/>
    </w:rPr>
  </w:style>
  <w:style w:type="character" w:styleId="Heading9Char">
    <w:name w:val="Heading 9 Char"/>
    <w:basedOn w:val="DefaultParagraphFont"/>
    <w:uiPriority w:val="9"/>
    <w:qFormat/>
    <w:rPr>
      <w:rFonts w:ascii="Arial" w:hAnsi="Arial" w:eastAsia="Arial" w:cs="Arial"/>
      <w:i/>
      <w:iCs/>
      <w:sz w:val="21"/>
      <w:szCs w:val="21"/>
    </w:rPr>
  </w:style>
  <w:style w:type="character" w:styleId="TitleChar">
    <w:name w:val="Title Char"/>
    <w:basedOn w:val="DefaultParagraphFont"/>
    <w:uiPriority w:val="10"/>
    <w:qFormat/>
    <w:rPr>
      <w:sz w:val="48"/>
      <w:szCs w:val="48"/>
    </w:rPr>
  </w:style>
  <w:style w:type="character" w:styleId="SubtitleChar">
    <w:name w:val="Subtitle Char"/>
    <w:basedOn w:val="DefaultParagraphFont"/>
    <w:uiPriority w:val="11"/>
    <w:qFormat/>
    <w:rPr>
      <w:sz w:val="24"/>
      <w:szCs w:val="24"/>
    </w:rPr>
  </w:style>
  <w:style w:type="character" w:styleId="QuoteChar">
    <w:name w:val="Quote Char"/>
    <w:uiPriority w:val="29"/>
    <w:qFormat/>
    <w:rPr>
      <w:i/>
    </w:rPr>
  </w:style>
  <w:style w:type="character" w:styleId="IntenseQuoteChar">
    <w:name w:val="Intense Quote Char"/>
    <w:uiPriority w:val="30"/>
    <w:qFormat/>
    <w:rPr>
      <w:i/>
    </w:rPr>
  </w:style>
  <w:style w:type="character" w:styleId="HeaderChar">
    <w:name w:val="Header Char"/>
    <w:basedOn w:val="DefaultParagraphFont"/>
    <w:uiPriority w:val="99"/>
    <w:qFormat/>
    <w:rPr/>
  </w:style>
  <w:style w:type="character" w:styleId="FooterChar">
    <w:name w:val="Footer Char"/>
    <w:basedOn w:val="DefaultParagraphFont"/>
    <w:uiPriority w:val="99"/>
    <w:qFormat/>
    <w:rPr/>
  </w:style>
  <w:style w:type="character" w:styleId="CaptionChar">
    <w:name w:val="Caption Char"/>
    <w:uiPriority w:val="99"/>
    <w:qFormat/>
    <w:rPr/>
  </w:style>
  <w:style w:type="character" w:styleId="FootnoteTextChar">
    <w:name w:val="Footnote Text Char"/>
    <w:uiPriority w:val="99"/>
    <w:qFormat/>
    <w:rPr>
      <w:sz w:val="18"/>
    </w:rPr>
  </w:style>
  <w:style w:type="character" w:styleId="EndnoteTextChar">
    <w:name w:val="Endnote Text Char"/>
    <w:uiPriority w:val="99"/>
    <w:qFormat/>
    <w:rPr>
      <w:sz w:val="20"/>
    </w:rPr>
  </w:style>
  <w:style w:type="character" w:styleId="DefaultParagraphFont" w:default="1">
    <w:name w:val="Default Paragraph Font"/>
    <w:uiPriority w:val="1"/>
    <w:semiHidden/>
    <w:unhideWhenUsed/>
    <w:qFormat/>
    <w:rPr/>
  </w:style>
  <w:style w:type="character" w:styleId="Style5">
    <w:name w:val="Символ сноски"/>
    <w:qFormat/>
    <w:rPr>
      <w:vertAlign w:val="superscript"/>
    </w:rPr>
  </w:style>
  <w:style w:type="character" w:styleId="Style6">
    <w:name w:val="Привязка сноски"/>
    <w:rPr>
      <w:vertAlign w:val="superscript"/>
    </w:rPr>
  </w:style>
  <w:style w:type="character" w:styleId="FootnoteCharacters">
    <w:name w:val="Footnote Characters"/>
    <w:qFormat/>
    <w:rPr>
      <w:vertAlign w:val="superscript"/>
    </w:rPr>
  </w:style>
  <w:style w:type="character" w:styleId="31" w:customStyle="1">
    <w:name w:val="Заголовок 3 Знак"/>
    <w:qFormat/>
    <w:rPr>
      <w:b/>
      <w:sz w:val="28"/>
    </w:rPr>
  </w:style>
  <w:style w:type="character" w:styleId="32" w:customStyle="1">
    <w:name w:val="3. Подпункт Знак"/>
    <w:qFormat/>
    <w:rPr>
      <w:b/>
      <w:bCs/>
      <w:sz w:val="24"/>
      <w:szCs w:val="24"/>
    </w:rPr>
  </w:style>
  <w:style w:type="character" w:styleId="Style7" w:customStyle="1">
    <w:name w:val="Текст выноски Знак"/>
    <w:qFormat/>
    <w:rPr>
      <w:rFonts w:ascii="Tahoma" w:hAnsi="Tahoma" w:cs="Tahoma"/>
      <w:sz w:val="16"/>
      <w:szCs w:val="16"/>
    </w:rPr>
  </w:style>
  <w:style w:type="character" w:styleId="11" w:customStyle="1">
    <w:name w:val="1. Статья Знак"/>
    <w:qFormat/>
    <w:rPr>
      <w:sz w:val="24"/>
      <w:szCs w:val="24"/>
    </w:rPr>
  </w:style>
  <w:style w:type="character" w:styleId="41" w:customStyle="1">
    <w:name w:val="4. Отчерк Знак"/>
    <w:qFormat/>
    <w:rPr>
      <w:sz w:val="24"/>
      <w:szCs w:val="24"/>
    </w:rPr>
  </w:style>
  <w:style w:type="character" w:styleId="Annotationreference">
    <w:name w:val="annotation reference"/>
    <w:qFormat/>
    <w:rPr>
      <w:sz w:val="16"/>
      <w:szCs w:val="16"/>
    </w:rPr>
  </w:style>
  <w:style w:type="character" w:styleId="Style8" w:customStyle="1">
    <w:name w:val="Текст примечания Знак"/>
    <w:qFormat/>
    <w:rPr/>
  </w:style>
  <w:style w:type="character" w:styleId="Style9" w:customStyle="1">
    <w:name w:val="Тема примечания Знак"/>
    <w:qFormat/>
    <w:rPr>
      <w:b/>
      <w:bCs/>
    </w:rPr>
  </w:style>
  <w:style w:type="character" w:styleId="Style10" w:customStyle="1">
    <w:name w:val="Нижний колонтитул Знак"/>
    <w:uiPriority w:val="99"/>
    <w:qFormat/>
    <w:rPr>
      <w:sz w:val="28"/>
      <w:szCs w:val="28"/>
    </w:rPr>
  </w:style>
  <w:style w:type="character" w:styleId="33" w:customStyle="1">
    <w:name w:val="Основной текст 3 Знак"/>
    <w:qFormat/>
    <w:rPr>
      <w:color w:val="0000FF"/>
      <w:sz w:val="24"/>
      <w:szCs w:val="24"/>
      <w:lang w:eastAsia="en-US"/>
    </w:rPr>
  </w:style>
  <w:style w:type="character" w:styleId="Style11" w:customStyle="1">
    <w:name w:val="Название Знак"/>
    <w:qFormat/>
    <w:rPr>
      <w:b/>
      <w:sz w:val="22"/>
      <w:szCs w:val="22"/>
      <w:shd w:fill="FFFFFF" w:val="clear"/>
    </w:rPr>
  </w:style>
  <w:style w:type="character" w:styleId="12" w:customStyle="1">
    <w:name w:val="Заголовок 1 Знак"/>
    <w:qFormat/>
    <w:rPr>
      <w:rFonts w:ascii="Cambria" w:hAnsi="Cambria" w:eastAsia="Times New Roman" w:cs="Times New Roman"/>
      <w:b/>
      <w:bCs/>
      <w:sz w:val="32"/>
      <w:szCs w:val="32"/>
    </w:rPr>
  </w:style>
  <w:style w:type="character" w:styleId="21" w:customStyle="1">
    <w:name w:val="Заголовок 2 Знак"/>
    <w:semiHidden/>
    <w:qFormat/>
    <w:rPr>
      <w:rFonts w:ascii="Cambria" w:hAnsi="Cambria" w:eastAsia="Times New Roman" w:cs="Times New Roman"/>
      <w:b/>
      <w:bCs/>
      <w:i/>
      <w:iCs/>
      <w:sz w:val="28"/>
      <w:szCs w:val="28"/>
    </w:rPr>
  </w:style>
  <w:style w:type="character" w:styleId="Style12" w:customStyle="1">
    <w:name w:val="Основной текст с отступом Знак"/>
    <w:qFormat/>
    <w:rPr>
      <w:sz w:val="28"/>
      <w:szCs w:val="28"/>
    </w:rPr>
  </w:style>
  <w:style w:type="character" w:styleId="FontStyle16" w:customStyle="1">
    <w:name w:val="Font Style16"/>
    <w:qFormat/>
    <w:rPr>
      <w:rFonts w:ascii="Times New Roman" w:hAnsi="Times New Roman" w:cs="Times New Roman"/>
      <w:sz w:val="24"/>
      <w:szCs w:val="24"/>
    </w:rPr>
  </w:style>
  <w:style w:type="character" w:styleId="Style13" w:customStyle="1">
    <w:name w:val="Текст сноски Знак"/>
    <w:uiPriority w:val="99"/>
    <w:qFormat/>
    <w:rPr/>
  </w:style>
  <w:style w:type="character" w:styleId="Style14">
    <w:name w:val="Интернет-ссылка"/>
    <w:unhideWhenUsed/>
    <w:rPr>
      <w:color w:val="0000FF"/>
      <w:u w:val="single"/>
    </w:rPr>
  </w:style>
  <w:style w:type="character" w:styleId="Style15" w:customStyle="1">
    <w:name w:val="Текст концевой сноски Знак"/>
    <w:uiPriority w:val="99"/>
    <w:semiHidden/>
    <w:qFormat/>
    <w:rPr/>
  </w:style>
  <w:style w:type="character" w:styleId="Style16">
    <w:name w:val="Символ концевой сноски"/>
    <w:uiPriority w:val="99"/>
    <w:semiHidden/>
    <w:unhideWhenUsed/>
    <w:qFormat/>
    <w:rPr>
      <w:vertAlign w:val="superscript"/>
    </w:rPr>
  </w:style>
  <w:style w:type="character" w:styleId="Style17">
    <w:name w:val="Привязка концевой сноски"/>
    <w:rPr>
      <w:vertAlign w:val="superscript"/>
    </w:rPr>
  </w:style>
  <w:style w:type="character" w:styleId="EndnoteCharacters">
    <w:name w:val="Endnote Characters"/>
    <w:qFormat/>
    <w:rPr>
      <w:vertAlign w:val="superscript"/>
    </w:rPr>
  </w:style>
  <w:style w:type="character" w:styleId="Style18" w:customStyle="1">
    <w:name w:val="Абзац списка Знак"/>
    <w:uiPriority w:val="34"/>
    <w:qFormat/>
    <w:rPr>
      <w:sz w:val="24"/>
      <w:szCs w:val="24"/>
    </w:rPr>
  </w:style>
  <w:style w:type="character" w:styleId="42" w:customStyle="1">
    <w:name w:val="Заголовок 4 Знак"/>
    <w:basedOn w:val="DefaultParagraphFont"/>
    <w:qFormat/>
    <w:rPr>
      <w:rFonts w:ascii="Cambria" w:hAnsi="Cambria" w:eastAsia="Arial" w:cs="Arial" w:asciiTheme="majorHAnsi" w:cstheme="majorBidi" w:eastAsiaTheme="majorEastAsia" w:hAnsiTheme="majorHAnsi"/>
      <w:b/>
      <w:bCs/>
      <w:i/>
      <w:iCs/>
      <w:color w:val="4F81BD" w:themeColor="accent1"/>
      <w:sz w:val="22"/>
      <w:szCs w:val="22"/>
      <w:lang w:eastAsia="en-US"/>
    </w:rPr>
  </w:style>
  <w:style w:type="character" w:styleId="Style19" w:customStyle="1">
    <w:name w:val="Верхний колонтитул Знак"/>
    <w:basedOn w:val="DefaultParagraphFont"/>
    <w:uiPriority w:val="99"/>
    <w:qFormat/>
    <w:rPr>
      <w:sz w:val="28"/>
      <w:szCs w:val="28"/>
    </w:rPr>
  </w:style>
  <w:style w:type="character" w:styleId="Pagenumber">
    <w:name w:val="page number"/>
    <w:basedOn w:val="DefaultParagraphFont"/>
    <w:qFormat/>
    <w:rPr/>
  </w:style>
  <w:style w:type="character" w:styleId="Style20" w:customStyle="1">
    <w:name w:val="комментарий"/>
    <w:qFormat/>
    <w:rPr>
      <w:b/>
      <w:i/>
      <w:shd w:fill="FFFF99" w:val="clear"/>
    </w:rPr>
  </w:style>
  <w:style w:type="character" w:styleId="Style21">
    <w:name w:val="Символ нумерации"/>
    <w:qFormat/>
    <w:rPr/>
  </w:style>
  <w:style w:type="character" w:styleId="Style22">
    <w:name w:val="Нумерация строк"/>
    <w:rPr/>
  </w:style>
  <w:style w:type="paragraph" w:styleId="Style23">
    <w:name w:val="Заголовок"/>
    <w:basedOn w:val="Normal"/>
    <w:next w:val="Style24"/>
    <w:qFormat/>
    <w:pPr>
      <w:keepNext w:val="true"/>
      <w:spacing w:before="240" w:after="120"/>
    </w:pPr>
    <w:rPr>
      <w:rFonts w:ascii="Liberation Sans" w:hAnsi="Liberation Sans" w:eastAsia="Noto Sans CJK SC" w:cs="Lohit Devanagari"/>
      <w:sz w:val="28"/>
      <w:szCs w:val="28"/>
    </w:rPr>
  </w:style>
  <w:style w:type="paragraph" w:styleId="Style24">
    <w:name w:val="Body Text"/>
    <w:basedOn w:val="Normal"/>
    <w:pPr>
      <w:spacing w:before="0" w:after="120"/>
    </w:pPr>
    <w:rPr/>
  </w:style>
  <w:style w:type="paragraph" w:styleId="Style25">
    <w:name w:val="List"/>
    <w:basedOn w:val="Style24"/>
    <w:pPr/>
    <w:rPr>
      <w:rFonts w:cs="Lohit Devanagari"/>
    </w:rPr>
  </w:style>
  <w:style w:type="paragraph" w:styleId="Style26">
    <w:name w:val="Caption"/>
    <w:basedOn w:val="Normal"/>
    <w:qFormat/>
    <w:pPr>
      <w:widowControl w:val="false"/>
      <w:spacing w:lineRule="auto" w:line="240" w:before="120" w:after="120"/>
      <w:ind w:hanging="0"/>
    </w:pPr>
    <w:rPr>
      <w:b/>
      <w:bCs/>
      <w:sz w:val="24"/>
      <w:szCs w:val="24"/>
    </w:rPr>
  </w:style>
  <w:style w:type="paragraph" w:styleId="Style27">
    <w:name w:val="Указатель"/>
    <w:basedOn w:val="Normal"/>
    <w:qFormat/>
    <w:pPr>
      <w:suppressLineNumbers/>
    </w:pPr>
    <w:rPr>
      <w:rFonts w:cs="Lohit Devanagari"/>
    </w:rPr>
  </w:style>
  <w:style w:type="paragraph" w:styleId="NoSpacing">
    <w:name w:val="No Spacing"/>
    <w:uiPriority w:val="1"/>
    <w:qFormat/>
    <w:pPr>
      <w:widowControl/>
      <w:suppressAutoHyphens w:val="true"/>
      <w:bidi w:val="0"/>
      <w:spacing w:lineRule="auto" w:line="240" w:before="0" w:after="0"/>
      <w:jc w:val="left"/>
    </w:pPr>
    <w:rPr>
      <w:rFonts w:ascii="Times New Roman" w:hAnsi="Times New Roman" w:eastAsia="Noto Serif CJK SC" w:cs="Lohit Devanagari"/>
      <w:color w:val="auto"/>
      <w:kern w:val="0"/>
      <w:sz w:val="20"/>
      <w:szCs w:val="20"/>
      <w:lang w:val="ru-RU" w:eastAsia="ru-RU" w:bidi="ar-SA"/>
    </w:rPr>
  </w:style>
  <w:style w:type="paragraph" w:styleId="Style28">
    <w:name w:val="Subtitle"/>
    <w:basedOn w:val="Normal"/>
    <w:uiPriority w:val="11"/>
    <w:qFormat/>
    <w:pPr>
      <w:spacing w:before="200" w:after="200"/>
    </w:pPr>
    <w:rPr>
      <w:sz w:val="24"/>
      <w:szCs w:val="24"/>
    </w:rPr>
  </w:style>
  <w:style w:type="paragraph" w:styleId="Quote">
    <w:name w:val="Quote"/>
    <w:basedOn w:val="Normal"/>
    <w:uiPriority w:val="29"/>
    <w:qFormat/>
    <w:pPr>
      <w:ind w:left="720" w:right="720" w:hanging="0"/>
    </w:pPr>
    <w:rPr>
      <w:i/>
    </w:rPr>
  </w:style>
  <w:style w:type="paragraph" w:styleId="IntenseQuote">
    <w:name w:val="Intense Quote"/>
    <w:basedOn w:val="Normal"/>
    <w:uiPriority w:val="30"/>
    <w:qFormat/>
    <w:pPr>
      <w:pBdr>
        <w:top w:val="single" w:sz="4" w:space="5" w:color="FFFFFF"/>
        <w:left w:val="single" w:sz="4" w:space="10" w:color="FFFFFF"/>
        <w:bottom w:val="single" w:sz="4" w:space="5" w:color="FFFFFF"/>
        <w:right w:val="single" w:sz="4" w:space="10" w:color="FFFFFF"/>
      </w:pBdr>
      <w:shd w:val="clear" w:color="auto" w:fill="F2F2F2"/>
      <w:spacing w:before="0" w:after="0"/>
      <w:ind w:left="720" w:right="720" w:hanging="0"/>
    </w:pPr>
    <w:rPr>
      <w:i/>
    </w:rPr>
  </w:style>
  <w:style w:type="paragraph" w:styleId="13">
    <w:name w:val="TOC 1"/>
    <w:basedOn w:val="Normal"/>
    <w:uiPriority w:val="39"/>
    <w:unhideWhenUsed/>
    <w:pPr>
      <w:spacing w:before="0" w:after="57"/>
      <w:ind w:left="0" w:right="0" w:hanging="0"/>
    </w:pPr>
    <w:rPr/>
  </w:style>
  <w:style w:type="paragraph" w:styleId="22">
    <w:name w:val="TOC 2"/>
    <w:basedOn w:val="Normal"/>
    <w:uiPriority w:val="39"/>
    <w:unhideWhenUsed/>
    <w:pPr>
      <w:spacing w:before="0" w:after="57"/>
      <w:ind w:left="283" w:right="0" w:hanging="0"/>
    </w:pPr>
    <w:rPr/>
  </w:style>
  <w:style w:type="paragraph" w:styleId="34">
    <w:name w:val="TOC 3"/>
    <w:basedOn w:val="Normal"/>
    <w:uiPriority w:val="39"/>
    <w:unhideWhenUsed/>
    <w:pPr>
      <w:spacing w:before="0" w:after="57"/>
      <w:ind w:left="567" w:right="0" w:hanging="0"/>
    </w:pPr>
    <w:rPr/>
  </w:style>
  <w:style w:type="paragraph" w:styleId="43">
    <w:name w:val="TOC 4"/>
    <w:basedOn w:val="Normal"/>
    <w:uiPriority w:val="39"/>
    <w:unhideWhenUsed/>
    <w:pPr>
      <w:spacing w:before="0" w:after="57"/>
      <w:ind w:left="850" w:right="0" w:hanging="0"/>
    </w:pPr>
    <w:rPr/>
  </w:style>
  <w:style w:type="paragraph" w:styleId="51">
    <w:name w:val="TOC 5"/>
    <w:basedOn w:val="Normal"/>
    <w:uiPriority w:val="39"/>
    <w:unhideWhenUsed/>
    <w:pPr>
      <w:spacing w:before="0" w:after="57"/>
      <w:ind w:left="1134" w:right="0" w:hanging="0"/>
    </w:pPr>
    <w:rPr/>
  </w:style>
  <w:style w:type="paragraph" w:styleId="61">
    <w:name w:val="TOC 6"/>
    <w:basedOn w:val="Normal"/>
    <w:uiPriority w:val="39"/>
    <w:unhideWhenUsed/>
    <w:pPr>
      <w:spacing w:before="0" w:after="57"/>
      <w:ind w:left="1417" w:right="0" w:hanging="0"/>
    </w:pPr>
    <w:rPr/>
  </w:style>
  <w:style w:type="paragraph" w:styleId="71">
    <w:name w:val="TOC 7"/>
    <w:basedOn w:val="Normal"/>
    <w:uiPriority w:val="39"/>
    <w:unhideWhenUsed/>
    <w:pPr>
      <w:spacing w:before="0" w:after="57"/>
      <w:ind w:left="1701" w:right="0" w:hanging="0"/>
    </w:pPr>
    <w:rPr/>
  </w:style>
  <w:style w:type="paragraph" w:styleId="81">
    <w:name w:val="TOC 8"/>
    <w:basedOn w:val="Normal"/>
    <w:uiPriority w:val="39"/>
    <w:unhideWhenUsed/>
    <w:pPr>
      <w:spacing w:before="0" w:after="57"/>
      <w:ind w:left="1984" w:right="0" w:hanging="0"/>
    </w:pPr>
    <w:rPr/>
  </w:style>
  <w:style w:type="paragraph" w:styleId="91">
    <w:name w:val="TOC 9"/>
    <w:basedOn w:val="Normal"/>
    <w:uiPriority w:val="39"/>
    <w:unhideWhenUsed/>
    <w:pPr>
      <w:spacing w:before="0" w:after="57"/>
      <w:ind w:left="2268" w:right="0" w:hanging="0"/>
    </w:pPr>
    <w:rPr/>
  </w:style>
  <w:style w:type="paragraph" w:styleId="Style29">
    <w:name w:val="Index Heading"/>
    <w:basedOn w:val="Style23"/>
    <w:pPr/>
    <w:rPr/>
  </w:style>
  <w:style w:type="paragraph" w:styleId="TOCHeading">
    <w:name w:val="TOC Heading"/>
    <w:uiPriority w:val="39"/>
    <w:unhideWhenUsed/>
    <w:qFormat/>
    <w:pPr>
      <w:widowControl/>
      <w:suppressAutoHyphens w:val="true"/>
      <w:bidi w:val="0"/>
      <w:spacing w:before="0" w:after="0"/>
      <w:jc w:val="left"/>
    </w:pPr>
    <w:rPr>
      <w:rFonts w:ascii="Times New Roman" w:hAnsi="Times New Roman" w:eastAsia="Noto Serif CJK SC" w:cs="Lohit Devanagari"/>
      <w:color w:val="auto"/>
      <w:kern w:val="0"/>
      <w:sz w:val="20"/>
      <w:szCs w:val="20"/>
      <w:lang w:val="ru-RU" w:eastAsia="ru-RU" w:bidi="ar-SA"/>
    </w:rPr>
  </w:style>
  <w:style w:type="paragraph" w:styleId="Tableoffigures">
    <w:name w:val="table of figures"/>
    <w:basedOn w:val="Normal"/>
    <w:uiPriority w:val="99"/>
    <w:unhideWhenUsed/>
    <w:qFormat/>
    <w:pPr>
      <w:spacing w:before="0" w:afterAutospacing="0" w:after="0"/>
    </w:pPr>
    <w:rPr/>
  </w:style>
  <w:style w:type="paragraph" w:styleId="BodyText3">
    <w:name w:val="Body Text 3"/>
    <w:basedOn w:val="Normal"/>
    <w:qFormat/>
    <w:pPr>
      <w:spacing w:lineRule="auto" w:line="240"/>
      <w:ind w:hanging="0"/>
    </w:pPr>
    <w:rPr>
      <w:color w:val="0000FF"/>
      <w:sz w:val="24"/>
      <w:szCs w:val="24"/>
      <w:lang w:eastAsia="en-US"/>
    </w:rPr>
  </w:style>
  <w:style w:type="paragraph" w:styleId="Style30">
    <w:name w:val="Колонтитул"/>
    <w:basedOn w:val="Normal"/>
    <w:qFormat/>
    <w:pPr/>
    <w:rPr/>
  </w:style>
  <w:style w:type="paragraph" w:styleId="Style31">
    <w:name w:val="Header"/>
    <w:basedOn w:val="Normal"/>
    <w:uiPriority w:val="99"/>
    <w:pPr>
      <w:tabs>
        <w:tab w:val="clear" w:pos="709"/>
        <w:tab w:val="center" w:pos="4677" w:leader="none"/>
        <w:tab w:val="right" w:pos="9355" w:leader="none"/>
      </w:tabs>
    </w:pPr>
    <w:rPr/>
  </w:style>
  <w:style w:type="paragraph" w:styleId="Style110" w:customStyle="1">
    <w:name w:val="Style1"/>
    <w:basedOn w:val="Normal"/>
    <w:qFormat/>
    <w:pPr>
      <w:spacing w:lineRule="auto" w:line="240" w:before="240" w:after="0"/>
      <w:ind w:hanging="0"/>
      <w:jc w:val="left"/>
    </w:pPr>
    <w:rPr>
      <w:b/>
      <w:sz w:val="22"/>
      <w:szCs w:val="20"/>
    </w:rPr>
  </w:style>
  <w:style w:type="paragraph" w:styleId="BodyText2">
    <w:name w:val="Body Text 2"/>
    <w:basedOn w:val="Normal"/>
    <w:qFormat/>
    <w:pPr>
      <w:widowControl w:val="false"/>
      <w:spacing w:lineRule="auto" w:line="480" w:before="0" w:after="120"/>
      <w:ind w:hanging="0"/>
      <w:jc w:val="left"/>
    </w:pPr>
    <w:rPr>
      <w:sz w:val="20"/>
      <w:szCs w:val="20"/>
    </w:rPr>
  </w:style>
  <w:style w:type="paragraph" w:styleId="Style32" w:customStyle="1">
    <w:name w:val="Знак"/>
    <w:basedOn w:val="Normal"/>
    <w:qFormat/>
    <w:pPr>
      <w:spacing w:lineRule="exact" w:line="240" w:before="0" w:after="160"/>
      <w:ind w:hanging="0"/>
      <w:jc w:val="left"/>
    </w:pPr>
    <w:rPr>
      <w:rFonts w:ascii="Verdana" w:hAnsi="Verdana" w:cs="Verdana"/>
      <w:sz w:val="20"/>
      <w:szCs w:val="20"/>
      <w:lang w:val="en-US" w:eastAsia="en-US"/>
    </w:rPr>
  </w:style>
  <w:style w:type="paragraph" w:styleId="Style33">
    <w:name w:val="Footnote Text"/>
    <w:basedOn w:val="Normal"/>
    <w:uiPriority w:val="99"/>
    <w:pPr>
      <w:spacing w:lineRule="auto" w:line="240"/>
      <w:ind w:hanging="0"/>
      <w:jc w:val="left"/>
    </w:pPr>
    <w:rPr>
      <w:sz w:val="20"/>
      <w:szCs w:val="20"/>
    </w:rPr>
  </w:style>
  <w:style w:type="paragraph" w:styleId="Style34" w:customStyle="1">
    <w:name w:val="Знак Знак Знак Знак Знак Знак Знак"/>
    <w:basedOn w:val="Normal"/>
    <w:qFormat/>
    <w:pPr>
      <w:spacing w:lineRule="exact" w:line="240" w:before="0" w:after="160"/>
      <w:ind w:hanging="0"/>
      <w:jc w:val="left"/>
    </w:pPr>
    <w:rPr>
      <w:rFonts w:ascii="Verdana" w:hAnsi="Verdana" w:cs="Verdana"/>
      <w:sz w:val="20"/>
      <w:szCs w:val="20"/>
      <w:lang w:val="en-US" w:eastAsia="en-US"/>
    </w:rPr>
  </w:style>
  <w:style w:type="paragraph" w:styleId="23" w:customStyle="1">
    <w:name w:val="Знак2"/>
    <w:basedOn w:val="Normal"/>
    <w:qFormat/>
    <w:pPr>
      <w:spacing w:lineRule="exact" w:line="240" w:before="0" w:after="160"/>
      <w:ind w:hanging="0"/>
      <w:jc w:val="left"/>
    </w:pPr>
    <w:rPr>
      <w:rFonts w:ascii="Verdana" w:hAnsi="Verdana" w:cs="Verdana"/>
      <w:sz w:val="20"/>
      <w:szCs w:val="20"/>
      <w:lang w:val="en-US" w:eastAsia="en-US"/>
    </w:rPr>
  </w:style>
  <w:style w:type="paragraph" w:styleId="Style35" w:customStyle="1">
    <w:name w:val="Знак Знак Знак Знак Знак Знак Знак Знак Знак"/>
    <w:basedOn w:val="Normal"/>
    <w:qFormat/>
    <w:pPr>
      <w:spacing w:lineRule="exact" w:line="240" w:before="0" w:after="160"/>
      <w:ind w:hanging="0"/>
    </w:pPr>
    <w:rPr>
      <w:rFonts w:ascii="Verdana" w:hAnsi="Verdana"/>
      <w:sz w:val="22"/>
      <w:szCs w:val="20"/>
      <w:lang w:val="en-US" w:eastAsia="en-US"/>
    </w:rPr>
  </w:style>
  <w:style w:type="paragraph" w:styleId="Style36" w:customStyle="1">
    <w:name w:val="Пункт договора"/>
    <w:basedOn w:val="Normal"/>
    <w:qFormat/>
    <w:pPr>
      <w:widowControl w:val="false"/>
      <w:spacing w:lineRule="auto" w:line="240"/>
      <w:ind w:hanging="0"/>
    </w:pPr>
    <w:rPr>
      <w:rFonts w:ascii="Arial" w:hAnsi="Arial"/>
      <w:sz w:val="20"/>
      <w:szCs w:val="20"/>
    </w:rPr>
  </w:style>
  <w:style w:type="paragraph" w:styleId="Style37" w:customStyle="1">
    <w:name w:val="Подпункт договора"/>
    <w:basedOn w:val="Normal"/>
    <w:qFormat/>
    <w:pPr>
      <w:tabs>
        <w:tab w:val="clear" w:pos="709"/>
        <w:tab w:val="left" w:pos="360" w:leader="none"/>
      </w:tabs>
      <w:spacing w:lineRule="auto" w:line="240"/>
      <w:ind w:hanging="0"/>
    </w:pPr>
    <w:rPr>
      <w:rFonts w:ascii="Arial" w:hAnsi="Arial"/>
      <w:sz w:val="20"/>
      <w:szCs w:val="20"/>
    </w:rPr>
  </w:style>
  <w:style w:type="paragraph" w:styleId="BodyTextIndent3">
    <w:name w:val="Body Text Indent 3"/>
    <w:basedOn w:val="Normal"/>
    <w:qFormat/>
    <w:pPr>
      <w:spacing w:before="0" w:after="120"/>
      <w:ind w:left="283" w:firstLine="567"/>
    </w:pPr>
    <w:rPr>
      <w:sz w:val="16"/>
      <w:szCs w:val="16"/>
    </w:rPr>
  </w:style>
  <w:style w:type="paragraph" w:styleId="ListParagraph">
    <w:name w:val="List Paragraph"/>
    <w:basedOn w:val="Normal"/>
    <w:uiPriority w:val="34"/>
    <w:qFormat/>
    <w:pPr>
      <w:spacing w:lineRule="auto" w:line="240" w:before="0" w:after="0"/>
      <w:ind w:left="720" w:hanging="0"/>
      <w:contextualSpacing/>
      <w:jc w:val="left"/>
    </w:pPr>
    <w:rPr>
      <w:sz w:val="24"/>
      <w:szCs w:val="24"/>
    </w:rPr>
  </w:style>
  <w:style w:type="paragraph" w:styleId="14" w:customStyle="1">
    <w:name w:val="1. Статья"/>
    <w:basedOn w:val="3"/>
    <w:qFormat/>
    <w:pPr>
      <w:keepNext w:val="false"/>
      <w:widowControl w:val="false"/>
      <w:numPr>
        <w:ilvl w:val="0"/>
        <w:numId w:val="1"/>
      </w:numPr>
      <w:tabs>
        <w:tab w:val="clear" w:pos="709"/>
        <w:tab w:val="left" w:pos="2340" w:leader="none"/>
      </w:tabs>
      <w:spacing w:before="0" w:after="0"/>
      <w:ind w:right="1462" w:hanging="0"/>
      <w:jc w:val="center"/>
    </w:pPr>
    <w:rPr>
      <w:b w:val="false"/>
      <w:sz w:val="24"/>
      <w:szCs w:val="24"/>
    </w:rPr>
  </w:style>
  <w:style w:type="paragraph" w:styleId="24" w:customStyle="1">
    <w:name w:val="2. Пункт"/>
    <w:basedOn w:val="3"/>
    <w:qFormat/>
    <w:pPr>
      <w:keepNext w:val="false"/>
      <w:widowControl w:val="false"/>
      <w:numPr>
        <w:ilvl w:val="0"/>
        <w:numId w:val="1"/>
      </w:numPr>
      <w:spacing w:before="0" w:after="0"/>
      <w:jc w:val="both"/>
    </w:pPr>
    <w:rPr>
      <w:b w:val="false"/>
      <w:sz w:val="24"/>
      <w:szCs w:val="24"/>
    </w:rPr>
  </w:style>
  <w:style w:type="paragraph" w:styleId="35" w:customStyle="1">
    <w:name w:val="3. Подпункт"/>
    <w:basedOn w:val="3"/>
    <w:qFormat/>
    <w:pPr>
      <w:keepNext w:val="false"/>
      <w:widowControl w:val="false"/>
      <w:numPr>
        <w:ilvl w:val="0"/>
        <w:numId w:val="1"/>
      </w:numPr>
      <w:tabs>
        <w:tab w:val="clear" w:pos="709"/>
        <w:tab w:val="left" w:pos="1620" w:leader="none"/>
      </w:tabs>
      <w:spacing w:before="0" w:after="0"/>
      <w:jc w:val="both"/>
    </w:pPr>
    <w:rPr>
      <w:bCs/>
      <w:sz w:val="24"/>
      <w:szCs w:val="24"/>
    </w:rPr>
  </w:style>
  <w:style w:type="paragraph" w:styleId="ConsNormal" w:customStyle="1">
    <w:name w:val="ConsNormal"/>
    <w:qFormat/>
    <w:pPr>
      <w:widowControl/>
      <w:suppressAutoHyphens w:val="true"/>
      <w:bidi w:val="0"/>
      <w:spacing w:before="0" w:after="0"/>
      <w:ind w:right="19772" w:firstLine="720"/>
      <w:jc w:val="left"/>
    </w:pPr>
    <w:rPr>
      <w:rFonts w:ascii="Arial" w:hAnsi="Arial" w:eastAsia="Noto Serif CJK SC" w:cs="Lohit Devanagari"/>
      <w:color w:val="auto"/>
      <w:kern w:val="0"/>
      <w:sz w:val="32"/>
      <w:szCs w:val="20"/>
      <w:lang w:val="ru-RU" w:eastAsia="en-US" w:bidi="ar-SA"/>
    </w:rPr>
  </w:style>
  <w:style w:type="paragraph" w:styleId="BalloonText">
    <w:name w:val="Balloon Text"/>
    <w:basedOn w:val="Normal"/>
    <w:qFormat/>
    <w:pPr>
      <w:spacing w:lineRule="auto" w:line="240"/>
    </w:pPr>
    <w:rPr>
      <w:rFonts w:ascii="Tahoma" w:hAnsi="Tahoma"/>
      <w:sz w:val="16"/>
      <w:szCs w:val="16"/>
    </w:rPr>
  </w:style>
  <w:style w:type="paragraph" w:styleId="44" w:customStyle="1">
    <w:name w:val="4. Отчерк"/>
    <w:basedOn w:val="Normal"/>
    <w:qFormat/>
    <w:pPr>
      <w:widowControl w:val="false"/>
      <w:numPr>
        <w:ilvl w:val="0"/>
        <w:numId w:val="2"/>
      </w:numPr>
      <w:spacing w:lineRule="auto" w:line="240"/>
    </w:pPr>
    <w:rPr>
      <w:sz w:val="24"/>
      <w:szCs w:val="24"/>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qFormat/>
    <w:pPr/>
    <w:rPr>
      <w:b/>
      <w:bCs/>
    </w:rPr>
  </w:style>
  <w:style w:type="paragraph" w:styleId="Style38">
    <w:name w:val="Footer"/>
    <w:basedOn w:val="Normal"/>
    <w:uiPriority w:val="99"/>
    <w:pPr>
      <w:tabs>
        <w:tab w:val="clear" w:pos="709"/>
        <w:tab w:val="center" w:pos="4677" w:leader="none"/>
        <w:tab w:val="right" w:pos="9355" w:leader="none"/>
      </w:tabs>
      <w:spacing w:lineRule="auto" w:line="240"/>
    </w:pPr>
    <w:rPr/>
  </w:style>
  <w:style w:type="paragraph" w:styleId="Revision">
    <w:name w:val="Revision"/>
    <w:uiPriority w:val="99"/>
    <w:semiHidden/>
    <w:qFormat/>
    <w:pPr>
      <w:widowControl/>
      <w:suppressAutoHyphens w:val="true"/>
      <w:bidi w:val="0"/>
      <w:spacing w:before="0" w:after="0"/>
      <w:jc w:val="left"/>
    </w:pPr>
    <w:rPr>
      <w:rFonts w:ascii="Times New Roman" w:hAnsi="Times New Roman" w:eastAsia="Noto Serif CJK SC" w:cs="Lohit Devanagari"/>
      <w:color w:val="auto"/>
      <w:kern w:val="0"/>
      <w:sz w:val="28"/>
      <w:szCs w:val="28"/>
      <w:lang w:val="ru-RU" w:eastAsia="ru-RU" w:bidi="ar-SA"/>
    </w:rPr>
  </w:style>
  <w:style w:type="paragraph" w:styleId="Style39" w:customStyle="1">
    <w:name w:val="Title"/>
    <w:basedOn w:val="Normal"/>
    <w:qFormat/>
    <w:pPr>
      <w:widowControl w:val="false"/>
      <w:spacing w:lineRule="auto" w:line="240" w:before="0" w:after="120"/>
      <w:ind w:hanging="0"/>
      <w:jc w:val="center"/>
    </w:pPr>
    <w:rPr>
      <w:b/>
      <w:bCs/>
      <w:sz w:val="32"/>
      <w:szCs w:val="20"/>
    </w:rPr>
  </w:style>
  <w:style w:type="paragraph" w:styleId="Style40">
    <w:name w:val="Body Text Indent"/>
    <w:basedOn w:val="Normal"/>
    <w:pPr>
      <w:spacing w:before="0" w:after="120"/>
      <w:ind w:left="283" w:firstLine="567"/>
    </w:pPr>
    <w:rPr/>
  </w:style>
  <w:style w:type="paragraph" w:styleId="333" w:customStyle="1">
    <w:name w:val="Пункт 3.3.3"/>
    <w:basedOn w:val="Normal"/>
    <w:qFormat/>
    <w:pPr>
      <w:keepNext w:val="true"/>
      <w:keepLines/>
      <w:widowControl w:val="false"/>
      <w:tabs>
        <w:tab w:val="clear" w:pos="709"/>
        <w:tab w:val="left" w:pos="920" w:leader="none"/>
      </w:tabs>
      <w:spacing w:lineRule="auto" w:line="240" w:before="240" w:after="240"/>
      <w:ind w:left="704" w:hanging="504"/>
      <w:jc w:val="left"/>
      <w:outlineLvl w:val="1"/>
    </w:pPr>
    <w:rPr>
      <w:sz w:val="24"/>
      <w:szCs w:val="20"/>
    </w:rPr>
  </w:style>
  <w:style w:type="paragraph" w:styleId="15" w:customStyle="1">
    <w:name w:val="Знак1"/>
    <w:basedOn w:val="Normal"/>
    <w:qFormat/>
    <w:pPr>
      <w:spacing w:lineRule="exact" w:line="240" w:before="0" w:after="160"/>
      <w:ind w:hanging="0"/>
      <w:jc w:val="left"/>
    </w:pPr>
    <w:rPr>
      <w:rFonts w:ascii="Verdana" w:hAnsi="Verdana" w:cs="Verdana"/>
      <w:sz w:val="20"/>
      <w:szCs w:val="20"/>
      <w:lang w:val="en-US" w:eastAsia="en-US"/>
    </w:rPr>
  </w:style>
  <w:style w:type="paragraph" w:styleId="Style41" w:customStyle="1">
    <w:name w:val="Контракт-раздел"/>
    <w:basedOn w:val="Normal"/>
    <w:qFormat/>
    <w:pPr>
      <w:keepNext w:val="true"/>
      <w:keepLines/>
      <w:tabs>
        <w:tab w:val="clear" w:pos="709"/>
        <w:tab w:val="left" w:pos="0" w:leader="none"/>
        <w:tab w:val="left" w:pos="567" w:leader="none"/>
      </w:tabs>
      <w:spacing w:lineRule="auto" w:line="240" w:before="360" w:after="120"/>
      <w:jc w:val="center"/>
      <w:outlineLvl w:val="1"/>
    </w:pPr>
    <w:rPr>
      <w:b/>
      <w:bCs/>
      <w:caps/>
    </w:rPr>
  </w:style>
  <w:style w:type="paragraph" w:styleId="Style42" w:customStyle="1">
    <w:name w:val="Контракт-пункт"/>
    <w:basedOn w:val="Normal"/>
    <w:qFormat/>
    <w:pPr>
      <w:numPr>
        <w:ilvl w:val="0"/>
        <w:numId w:val="4"/>
      </w:numPr>
    </w:pPr>
    <w:rPr/>
  </w:style>
  <w:style w:type="paragraph" w:styleId="Style43" w:customStyle="1">
    <w:name w:val="Контракт-подпункт"/>
    <w:basedOn w:val="Normal"/>
    <w:qFormat/>
    <w:pPr>
      <w:numPr>
        <w:ilvl w:val="0"/>
        <w:numId w:val="4"/>
      </w:numPr>
    </w:pPr>
    <w:rPr/>
  </w:style>
  <w:style w:type="paragraph" w:styleId="Style44" w:customStyle="1">
    <w:name w:val="Контракт-подподпункт"/>
    <w:basedOn w:val="Normal"/>
    <w:qFormat/>
    <w:pPr>
      <w:numPr>
        <w:ilvl w:val="0"/>
        <w:numId w:val="4"/>
      </w:numPr>
    </w:pPr>
    <w:rPr/>
  </w:style>
  <w:style w:type="paragraph" w:styleId="Style45">
    <w:name w:val="Endnote Text"/>
    <w:basedOn w:val="Normal"/>
    <w:uiPriority w:val="99"/>
    <w:semiHidden/>
    <w:unhideWhenUsed/>
    <w:pPr/>
    <w:rPr>
      <w:sz w:val="20"/>
      <w:szCs w:val="20"/>
    </w:rPr>
  </w:style>
  <w:style w:type="paragraph" w:styleId="Style46" w:customStyle="1">
    <w:name w:val="Таблица"/>
    <w:basedOn w:val="Normal"/>
    <w:qFormat/>
    <w:pPr>
      <w:keepNext w:val="true"/>
      <w:spacing w:lineRule="auto" w:line="240" w:before="60" w:after="60"/>
      <w:ind w:hanging="0"/>
      <w:jc w:val="center"/>
    </w:pPr>
    <w:rPr>
      <w:rFonts w:eastAsia="Calibri"/>
      <w:b/>
      <w:sz w:val="24"/>
      <w:szCs w:val="24"/>
    </w:rPr>
  </w:style>
  <w:style w:type="paragraph" w:styleId="Style47" w:customStyle="1">
    <w:name w:val="Таблица шапка"/>
    <w:basedOn w:val="Normal"/>
    <w:qFormat/>
    <w:pPr>
      <w:keepNext w:val="true"/>
      <w:spacing w:lineRule="auto" w:line="240" w:before="40" w:after="40"/>
      <w:ind w:left="57" w:right="57" w:hanging="0"/>
      <w:jc w:val="left"/>
    </w:pPr>
    <w:rPr>
      <w:sz w:val="22"/>
      <w:szCs w:val="26"/>
    </w:rPr>
  </w:style>
  <w:style w:type="numbering" w:styleId="NoList" w:default="1">
    <w:name w:val="No List"/>
    <w:uiPriority w:val="99"/>
    <w:semiHidden/>
    <w:unhideWhenUsed/>
    <w:qFormat/>
  </w:style>
  <w:style w:type="numbering" w:styleId="123">
    <w:name w:val="Нумерованный 12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eader" Target="header2.xml"/><Relationship Id="rId8" Type="http://schemas.openxmlformats.org/officeDocument/2006/relationships/footer" Target="footer2.xml"/><Relationship Id="rId9" Type="http://schemas.openxmlformats.org/officeDocument/2006/relationships/header" Target="header3.xml"/><Relationship Id="rId10" Type="http://schemas.openxmlformats.org/officeDocument/2006/relationships/footer" Target="footer3.xml"/><Relationship Id="rId11" Type="http://schemas.openxmlformats.org/officeDocument/2006/relationships/header" Target="header4.xml"/><Relationship Id="rId12" Type="http://schemas.openxmlformats.org/officeDocument/2006/relationships/footer" Target="footer4.xml"/><Relationship Id="rId13" Type="http://schemas.openxmlformats.org/officeDocument/2006/relationships/footnotes" Target="footnotes.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1904</TotalTime>
  <Application>LibreOffice/7.1.8.1$Linux_X86_64 LibreOffice_project/10$Build-1</Application>
  <AppVersion>15.0000</AppVersion>
  <Pages>26</Pages>
  <Words>9137</Words>
  <Characters>67168</Characters>
  <CharactersWithSpaces>76140</CharactersWithSpaces>
  <Paragraphs>463</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2024-04-22T11:02:00Z</dcterms:created>
  <dc:creator>UK VoHEC</dc:creator>
  <dc:description/>
  <dc:language>ru-RU</dc:language>
  <cp:lastModifiedBy/>
  <cp:lastPrinted>2026-07-21T11:51:10Z</cp:lastPrinted>
  <dcterms:modified xsi:type="dcterms:W3CDTF">2026-09-03T11:15:39Z</dcterms:modified>
  <cp:revision>71</cp:revision>
  <dc:subject/>
  <dc:title>ДОГОВОР № ____</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