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№1 к ДоЗ</w:t>
      </w:r>
    </w:p>
    <w:p>
      <w:pPr>
        <w:pStyle w:val="Normal"/>
        <w:keepNext w:val="true"/>
        <w:keepLines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Технические требования на оказание услуг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ОКПД 2: 80.10.12 Услуги по охране территории Транспортных участков: Коммунальная энергетика и Елизовский Камчатского филиала АО «ТК РусГидро»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Лот №: 2023-ЭКСП БЕЗ-2027-ТК-КФ</w:t>
      </w:r>
    </w:p>
    <w:p>
      <w:pPr>
        <w:pStyle w:val="Normal"/>
        <w:keepNext w:val="true"/>
        <w:keepLines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Heading1"/>
        <w:ind w:hanging="0" w:left="0"/>
        <w:rPr>
          <w:caps/>
          <w:sz w:val="24"/>
          <w:szCs w:val="24"/>
        </w:rPr>
      </w:pPr>
      <w:bookmarkStart w:id="0" w:name="_Toc54643694"/>
      <w:r>
        <w:rPr>
          <w:sz w:val="24"/>
          <w:szCs w:val="24"/>
        </w:rPr>
        <w:t>Общие сведения</w:t>
      </w:r>
      <w:bookmarkEnd w:id="0"/>
    </w:p>
    <w:p>
      <w:pPr>
        <w:pStyle w:val="Normal"/>
        <w:keepNext w:val="true"/>
        <w:numPr>
          <w:ilvl w:val="1"/>
          <w:numId w:val="1"/>
        </w:numPr>
        <w:spacing w:lineRule="auto" w:line="240" w:before="120" w:after="6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" w:name="_Toc54643695"/>
      <w:bookmarkStart w:id="2" w:name="_Toc4674350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Обозначения и сокращения</w:t>
      </w:r>
      <w:bookmarkEnd w:id="1"/>
      <w:bookmarkEnd w:id="2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shd w:fill="FFFF99" w:val="clear"/>
          <w:lang w:eastAsia="ru-RU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61"/>
        <w:gridCol w:w="7521"/>
      </w:tblGrid>
      <w:tr>
        <w:trPr>
          <w:cantSplit w:val="true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АО «ТК РусГидро»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</w:tbl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Cs/>
          <w:i/>
          <w:i/>
          <w:sz w:val="24"/>
          <w:szCs w:val="24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Наименование закупаемой продукции</w:t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Cs/>
          <w:i/>
          <w:i/>
          <w:sz w:val="24"/>
          <w:szCs w:val="24"/>
          <w:shd w:fill="FFFF99" w:val="clear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ОКПД 2: 80.10.12 Услуги по охране территории транспортных участков: Коммунальная энергетика и Елизовский Камчатского филиала АО «ТК РусГидро».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bookmarkStart w:id="3" w:name="_Toc46743507"/>
    </w:p>
    <w:p>
      <w:pPr>
        <w:pStyle w:val="Heading4"/>
        <w:numPr>
          <w:ilvl w:val="1"/>
          <w:numId w:val="1"/>
        </w:numPr>
        <w:jc w:val="both"/>
        <w:rPr>
          <w:b w:val="false"/>
        </w:rPr>
      </w:pPr>
      <w:bookmarkStart w:id="4" w:name="_Toc54643697"/>
      <w:r>
        <w:rPr/>
        <w:t xml:space="preserve">Цель </w:t>
      </w:r>
      <w:bookmarkEnd w:id="3"/>
      <w:r>
        <w:rPr>
          <w:lang w:eastAsia="x-none"/>
        </w:rPr>
        <w:t>оказания услуг</w:t>
      </w:r>
      <w:bookmarkEnd w:id="4"/>
    </w:p>
    <w:p>
      <w:pPr>
        <w:pStyle w:val="Heading4"/>
        <w:numPr>
          <w:ilvl w:val="0"/>
        </w:numPr>
        <w:tabs>
          <w:tab w:val="clear" w:pos="0"/>
        </w:tabs>
        <w:ind w:hanging="0" w:left="0"/>
        <w:jc w:val="both"/>
        <w:rPr>
          <w:b w:val="false"/>
        </w:rPr>
      </w:pPr>
      <w:r>
        <w:rPr>
          <w:b w:val="false"/>
        </w:rPr>
        <w:t>Обеспечение сохранности имущества, товарно-материальных ценностей, пропускного и внутри объектового режимов, защиты объектов от противоправных посягательств.</w:t>
      </w:r>
      <w:r>
        <w:rPr/>
        <w:t xml:space="preserve">                                                                                                             </w:t>
      </w:r>
    </w:p>
    <w:p>
      <w:pPr>
        <w:pStyle w:val="Heading4"/>
        <w:numPr>
          <w:ilvl w:val="1"/>
          <w:numId w:val="1"/>
        </w:numPr>
        <w:jc w:val="both"/>
        <w:rPr/>
      </w:pPr>
      <w:bookmarkStart w:id="5" w:name="_Toc46743508"/>
      <w:bookmarkStart w:id="6" w:name="_Toc54643698"/>
      <w:r>
        <w:rPr/>
        <w:t>Существующее положение</w:t>
      </w:r>
      <w:bookmarkStart w:id="7" w:name="_Toc54643699"/>
      <w:bookmarkEnd w:id="5"/>
      <w:bookmarkEnd w:id="6"/>
    </w:p>
    <w:p>
      <w:pPr>
        <w:pStyle w:val="ListParagraph"/>
        <w:ind w:left="0"/>
        <w:jc w:val="both"/>
        <w:rPr>
          <w:b/>
          <w:bCs/>
        </w:rPr>
      </w:pPr>
      <w:r>
        <w:rPr/>
        <w:t>Необходимость предоставления услуг обусловлена отсутствием в штате филиала штатных должностей охранников.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Таблица 1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объектов заказчика</w:t>
      </w:r>
      <w:bookmarkEnd w:id="7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8"/>
        <w:gridCol w:w="3147"/>
        <w:gridCol w:w="3969"/>
        <w:gridCol w:w="1841"/>
      </w:tblGrid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Расположение объекта </w:t>
              <w:br/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(место оказания услуг)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Транспортный участок «Коммунальная энергетика» Камчатского филиала АО «ТК РусГидро»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Камчатский край, г. Петропавловск-Камчатский, ул. Северо-Восточное шоссе 42;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</w:r>
          </w:p>
        </w:tc>
      </w:tr>
      <w:tr>
        <w:trPr>
          <w:trHeight w:val="881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Транспортный участок «Елизовский» Камчатского филиала АО «ТК РусГидро»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hd w:val="clear" w:color="auto" w:fill="FFFFFF"/>
              <w:ind w:left="0"/>
              <w:jc w:val="center"/>
              <w:rPr/>
            </w:pPr>
            <w:r>
              <w:rPr/>
              <w:t>Камчатский край, г. Елизово, ул. Мурманская 19.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1"/>
        </w:numPr>
        <w:spacing w:lineRule="auto" w:line="240" w:before="120" w:after="60"/>
        <w:ind w:hanging="357" w:left="357"/>
        <w:outlineLvl w:val="0"/>
        <w:rPr>
          <w:rFonts w:ascii="Times New Roman" w:hAnsi="Times New Roman" w:eastAsia="Times New Roman" w:cs="Times New Roman"/>
          <w:b/>
          <w:iCs/>
          <w:caps/>
          <w:sz w:val="24"/>
          <w:szCs w:val="24"/>
          <w:lang w:eastAsia="x-none"/>
        </w:rPr>
      </w:pPr>
      <w:bookmarkStart w:id="8" w:name="_Toc51339693"/>
      <w:bookmarkStart w:id="9" w:name="_Toc54643702"/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x-none"/>
        </w:rPr>
        <w:t>Требования</w:t>
      </w: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ru-RU"/>
        </w:rPr>
        <w:t xml:space="preserve"> к продукции</w:t>
      </w:r>
      <w:bookmarkEnd w:id="8"/>
      <w:bookmarkEnd w:id="9"/>
    </w:p>
    <w:p>
      <w:pPr>
        <w:pStyle w:val="Normal"/>
        <w:keepNext w:val="true"/>
        <w:numPr>
          <w:ilvl w:val="1"/>
          <w:numId w:val="1"/>
        </w:numPr>
        <w:spacing w:lineRule="auto" w:line="240" w:before="120" w:after="6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0" w:name="_Toc54643703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Требования к объемам и срокам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оказания услуг</w:t>
      </w:r>
      <w:bookmarkEnd w:id="10"/>
    </w:p>
    <w:p>
      <w:pPr>
        <w:pStyle w:val="Normal"/>
        <w:keepNext w:val="true"/>
        <w:numPr>
          <w:ilvl w:val="2"/>
          <w:numId w:val="1"/>
        </w:numPr>
        <w:spacing w:lineRule="auto" w:line="240" w:before="120" w:after="60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11" w:name="_Toc54643704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Требования к перечню и объему услуг</w:t>
      </w:r>
      <w:bookmarkEnd w:id="11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bookmarkStart w:id="12" w:name="_Toc54643705"/>
      <w:bookmarkStart w:id="13" w:name="_Toc51339695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2.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3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и объем оказываемых услуг</w:t>
      </w:r>
      <w:bookmarkEnd w:id="12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4"/>
        <w:gridCol w:w="6238"/>
        <w:gridCol w:w="1701"/>
        <w:gridCol w:w="1416"/>
      </w:tblGrid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 / этапа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80.10.12 Услуги по охране территории транспортных участков: Коммунальная энергетика и Елизовский Камчатского филиала АО «ТК РусГидро»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13 074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tLeast" w:line="240" w:before="0" w:after="0"/>
        <w:ind w:left="1224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1"/>
        </w:numPr>
        <w:spacing w:lineRule="atLeast" w:line="240" w:before="0" w:after="0"/>
        <w:outlineLvl w:val="2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Требования к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lineRule="atLeast" w:line="240" w:before="0" w:after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bookmarkStart w:id="14" w:name="_Toc54643707"/>
      <w:bookmarkStart w:id="15" w:name="_Toc50125127"/>
      <w:bookmarkStart w:id="16" w:name="_Toc51339697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3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</w:t>
      </w:r>
      <w:bookmarkStart w:id="17" w:name="_Hlk5046528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Требования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к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срокам </w:t>
      </w:r>
      <w:bookmarkEnd w:id="15"/>
      <w:bookmarkEnd w:id="16"/>
      <w:bookmarkEnd w:id="17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оказания услуг</w:t>
      </w:r>
      <w:bookmarkEnd w:id="1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"/>
        <w:gridCol w:w="5527"/>
        <w:gridCol w:w="1845"/>
        <w:gridCol w:w="1982"/>
      </w:tblGrid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услуг/ этапа услуг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оказания услуг/ этапа услуг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80.10.12.200 Услуги по охране территории ТУ: Коммунальная энергетика и Елизовский Камчатского филиала АО «ТК РусГидро».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01.01.2027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985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keepNext w:val="true"/>
        <w:numPr>
          <w:ilvl w:val="1"/>
          <w:numId w:val="1"/>
        </w:numPr>
        <w:spacing w:lineRule="auto" w:line="240" w:before="120" w:after="6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8" w:name="_Toc54643709"/>
      <w:bookmarkStart w:id="19" w:name="_Toc51339698"/>
      <w:bookmarkStart w:id="20" w:name="_Toc54643708"/>
      <w:bookmarkStart w:id="21" w:name="_Toc4674351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bookmarkEnd w:id="2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x-none"/>
        </w:rPr>
        <w:t>качеству услуг</w:t>
      </w:r>
      <w:bookmarkEnd w:id="20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 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4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Требования к </w:t>
      </w:r>
      <w:bookmarkEnd w:id="19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качеству услуг</w:t>
      </w:r>
      <w:bookmarkEnd w:id="18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Наименование услуг/этапа услуг: </w:t>
      </w:r>
      <w:r>
        <w:rPr>
          <w:rFonts w:cs="Times New Roman" w:ascii="Times New Roman" w:hAnsi="Times New Roman"/>
          <w:sz w:val="24"/>
          <w:szCs w:val="24"/>
        </w:rPr>
        <w:t>ОКПД 2: 80.10.12 Услуги по охране территории транспортных участков: Коммунальная энергетика и Елизовский Камчатского филиала АО «ТК РусГидро».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shd w:fill="FFFF99" w:val="clear"/>
          <w:lang w:eastAsia="ru-RU"/>
        </w:rPr>
        <w:t xml:space="preserve"> </w:t>
      </w:r>
    </w:p>
    <w:tbl>
      <w:tblPr>
        <w:tblStyle w:val="af8"/>
        <w:tblW w:w="1049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6"/>
        <w:gridCol w:w="1111"/>
        <w:gridCol w:w="4846"/>
        <w:gridCol w:w="1942"/>
        <w:gridCol w:w="1470"/>
        <w:gridCol w:w="287"/>
      </w:tblGrid>
      <w:tr>
        <w:trPr/>
        <w:tc>
          <w:tcPr>
            <w:tcW w:w="83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11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846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41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eastAsia="Calibri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2"/>
          </w:p>
        </w:tc>
        <w:tc>
          <w:tcPr>
            <w:tcW w:w="11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84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942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942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Осуществлять взаимодействие с правоохранительными органами в целях обеспечения законности и правопорядка на объекте охраны.</w:t>
            </w:r>
          </w:p>
        </w:tc>
        <w:tc>
          <w:tcPr>
            <w:tcW w:w="19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закупке».</w:t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Применять физическую силу, специальные средства, которые установлены законодательством Российской Федерации.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Контролировать ситуацию с пожарной безопасностью охраняемого объекта и в случае возникновения пожара и других чрезвычайных ситуаций своевременно информировать соответствующие службы и Заказчика.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случае обнаружения неисправностей инженерных сетей и оборудования на объекте охраны незамедлительно сообщать о данных неисправностях Заказчику.</w:t>
            </w:r>
          </w:p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Вести документацию, связанную с охраной объекта, с соблюдением пропускного и внутриобъектового режимов (журнал приема и сдачи дежурства, журнал выдачи ключей и сдачи помещений под охрану, движения имущества и т.д.).</w:t>
            </w:r>
          </w:p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ListParagraph"/>
              <w:widowControl/>
              <w:shd w:val="clear" w:color="auto" w:fill="FFFFFF"/>
              <w:tabs>
                <w:tab w:val="clear" w:pos="708"/>
                <w:tab w:val="left" w:pos="284" w:leader="none"/>
              </w:tabs>
              <w:suppressAutoHyphens w:val="true"/>
              <w:spacing w:before="5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случаях, не терпящих отлагательства, вызывать полицию, аварийные службы, пожарную команду, проводить эвакуацию людей с объекта охраны.</w:t>
            </w:r>
          </w:p>
          <w:p>
            <w:pPr>
              <w:pStyle w:val="ListParagraph"/>
              <w:widowControl/>
              <w:tabs>
                <w:tab w:val="clear" w:pos="708"/>
                <w:tab w:val="left" w:pos="284" w:leader="none"/>
              </w:tabs>
              <w:suppressAutoHyphens w:val="true"/>
              <w:spacing w:before="0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Лицензии</w:t>
            </w:r>
          </w:p>
        </w:tc>
        <w:tc>
          <w:tcPr>
            <w:tcW w:w="4846" w:type="dxa"/>
            <w:tcBorders/>
          </w:tcPr>
          <w:p>
            <w:pPr>
              <w:pStyle w:val="ListParagraph"/>
              <w:widowControl/>
              <w:shd w:val="clear" w:color="auto" w:fill="FFFFFF"/>
              <w:tabs>
                <w:tab w:val="clear" w:pos="708"/>
                <w:tab w:val="left" w:pos="284" w:leader="none"/>
              </w:tabs>
              <w:suppressAutoHyphens w:val="true"/>
              <w:spacing w:before="5" w:after="0"/>
              <w:ind w:left="-1"/>
              <w:contextualSpacing/>
              <w:jc w:val="both"/>
              <w:textAlignment w:val="baseline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 xml:space="preserve">Охранная организация должна иметь действующую лицензию на осуществление охранной деятельности в соответствии с </w:t>
            </w:r>
            <w:r>
              <w:rPr>
                <w:bCs/>
                <w:kern w:val="0"/>
                <w:lang w:val="ru-RU" w:bidi="ar-SA"/>
              </w:rPr>
              <w:t>Федеральным законом РФ от 11.03.1992 № 2487-1 «О частной детективной и охранной деятельности в Российской Федерации».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 Заверенная копия действующей лицензии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484" w:hRule="atLeast"/>
        </w:trPr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Способы оказания услуг</w:t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Работники охранной организации при исполнении служебных обязанностей должны быть в форменном обмундировании со знаками отличия, определяющими принадлежность к охранной организации, иметь специальные средства (резиновые палки), средства связи.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638" w:hRule="atLeast"/>
        </w:trPr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процедуры оказания услуг</w:t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Охрана объектов осуществляются в режиме: 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suppressAutoHyphens w:val="true"/>
              <w:spacing w:before="0" w:after="0"/>
              <w:ind w:firstLine="326" w:left="34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Рабочие дни (в соответствие с производственным календарём) - с 17:00 до 08:00;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suppressAutoHyphens w:val="true"/>
              <w:spacing w:before="0" w:after="0"/>
              <w:ind w:firstLine="326" w:left="34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Выходные и праздничные дни (в соответствие с производственным календарём) - круглосуточный режим работы с 00:00 до 24:00.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60"/>
              <w:jc w:val="center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Персонал исполнителя, при оказании услуг, обязан иметь: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свидетельство частного охранника;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lang w:val="ru-RU" w:bidi="ar-SA"/>
              </w:rPr>
              <w:t>личная карточка охранника.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60"/>
              <w:jc w:val="center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706" w:hRule="atLeast"/>
        </w:trPr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Гарантировать качество и безопасность, оказанных услуг в соответствии с требованиями, установленными действующим законодательством Российской Федерации.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60"/>
              <w:jc w:val="center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firstLine="142" w:left="-117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603" w:hRule="atLeast"/>
        </w:trPr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По факту оказания услуги предоставить Заказчику Акт сдачи-приемки оказанных услуг в двух экземплярах с приложением табеля учета выхода на работу сотрудников.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60"/>
              <w:jc w:val="center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426" w:hRule="atLeast"/>
        </w:trPr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В случае нарушения исполнителем обязательств по оказанию услуг на срок свыше 60 (шестидесяти) календарных дней, Заказчик имеет право расторгнуть Договор в одностороннем внесудебном порядке, а также потребовать возмещения убытков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60"/>
              <w:jc w:val="center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036" w:hRule="atLeast"/>
        </w:trPr>
        <w:tc>
          <w:tcPr>
            <w:tcW w:w="836" w:type="dxa"/>
            <w:tcBorders/>
            <w:vAlign w:val="center"/>
          </w:tcPr>
          <w:p>
            <w:pPr>
              <w:pStyle w:val="Normal"/>
              <w:widowControl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hanging="1199" w:left="1214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случае отсутствия сотрудника охраны на посту охраны, либо в случае, если сотрудником охраны, осуществляющим охрану, допускаются грубые нарушения правил охраны объекта, Исполнитель обязан заменить сотрудника охраны по требованию Заказчика. При этом время замены сотрудника не может превышать 1 (одного) часа с момента получения данного требования.</w:t>
            </w:r>
          </w:p>
        </w:tc>
        <w:tc>
          <w:tcPr>
            <w:tcW w:w="19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7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60"/>
              <w:jc w:val="center"/>
              <w:outlineLvl w:val="2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---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ListParagraph"/>
        <w:ind w:left="360"/>
        <w:rPr>
          <w:b/>
        </w:rPr>
      </w:pPr>
      <w:r>
        <w:rPr>
          <w:b/>
        </w:rPr>
      </w:r>
      <w:bookmarkStart w:id="23" w:name="_Toc51339699"/>
      <w:bookmarkStart w:id="24" w:name="_Toc46743519"/>
      <w:bookmarkStart w:id="25" w:name="_Toc51339699"/>
      <w:bookmarkStart w:id="26" w:name="_Toc46743519"/>
      <w:bookmarkEnd w:id="25"/>
      <w:bookmarkEnd w:id="26"/>
      <w:r>
        <w:br w:type="page"/>
      </w:r>
    </w:p>
    <w:p>
      <w:pPr>
        <w:pStyle w:val="Heading1"/>
        <w:numPr>
          <w:ilvl w:val="0"/>
          <w:numId w:val="6"/>
        </w:numPr>
        <w:rPr/>
      </w:pPr>
      <w:r>
        <w:rPr/>
        <w:t>Требования к документации по ценообразованию на этапе закупки</w:t>
      </w:r>
    </w:p>
    <w:p>
      <w:pPr>
        <w:pStyle w:val="ListParagraph"/>
        <w:numPr>
          <w:ilvl w:val="1"/>
          <w:numId w:val="8"/>
        </w:numPr>
        <w:spacing w:before="60" w:after="0"/>
        <w:contextualSpacing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 xml:space="preserve"> </w:t>
      </w:r>
      <w:r>
        <w:rPr>
          <w:bCs/>
          <w:iCs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7" w:name="_Hlk88325985"/>
      <w:r>
        <w:rPr>
          <w:bCs/>
          <w:iCs/>
          <w:lang w:eastAsia="x-none"/>
        </w:rPr>
        <w:t>(с учетом прилагаемой к ней инструкции по заполнению)</w:t>
      </w:r>
      <w:bookmarkEnd w:id="27"/>
      <w:r>
        <w:rPr>
          <w:bCs/>
          <w:iCs/>
          <w:lang w:eastAsia="x-none"/>
        </w:rPr>
        <w:t xml:space="preserve">, приведенной в Документации о закупке. </w:t>
      </w:r>
    </w:p>
    <w:p>
      <w:pPr>
        <w:pStyle w:val="ListParagraph"/>
        <w:numPr>
          <w:ilvl w:val="1"/>
          <w:numId w:val="8"/>
        </w:numPr>
        <w:spacing w:before="60" w:after="0"/>
        <w:contextualSpacing/>
        <w:jc w:val="both"/>
        <w:rPr>
          <w:iCs/>
          <w:lang w:eastAsia="x-none"/>
        </w:rPr>
      </w:pPr>
      <w:r>
        <w:rPr>
          <w:bCs/>
          <w:iCs/>
          <w:lang w:eastAsia="x-none"/>
        </w:rPr>
        <w:t xml:space="preserve"> </w:t>
      </w:r>
      <w:r>
        <w:rPr>
          <w:bCs/>
          <w:iCs/>
          <w:lang w:eastAsia="x-none"/>
        </w:rPr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ind w:left="360"/>
        <w:rPr>
          <w:iCs/>
          <w:caps/>
          <w:sz w:val="28"/>
          <w:szCs w:val="28"/>
        </w:rPr>
      </w:pPr>
      <w:r>
        <w:rPr>
          <w:iCs/>
          <w:caps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iCs/>
          <w:caps/>
        </w:rPr>
      </w:pPr>
      <w:r>
        <w:rPr>
          <w:rFonts w:cs="Times New Roman" w:ascii="Times New Roman" w:hAnsi="Times New Roman"/>
          <w:iCs/>
          <w:caps/>
        </w:rPr>
      </w:r>
    </w:p>
    <w:p>
      <w:pPr>
        <w:pStyle w:val="Normal"/>
        <w:tabs>
          <w:tab w:val="clear" w:pos="708"/>
          <w:tab w:val="left" w:pos="3152" w:leader="none"/>
        </w:tabs>
        <w:spacing w:before="0" w:after="160"/>
        <w:rPr/>
      </w:pPr>
      <w:r>
        <w:rPr/>
      </w:r>
      <w:bookmarkStart w:id="28" w:name="_GoBack"/>
      <w:bookmarkStart w:id="29" w:name="_GoBack"/>
      <w:bookmarkEnd w:id="29"/>
    </w:p>
    <w:sectPr>
      <w:headerReference w:type="default" r:id="rId5"/>
      <w:headerReference w:type="first" r:id="rId6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PT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D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  <w:rFonts w:cs="Times New Roman"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4f670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4f670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f6707"/>
    <w:pPr>
      <w:keepNext w:val="true"/>
      <w:numPr>
        <w:ilvl w:val="2"/>
        <w:numId w:val="1"/>
      </w:numPr>
      <w:spacing w:lineRule="auto" w:line="240" w:before="120" w:after="60"/>
      <w:outlineLvl w:val="2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4"/>
    <w:qFormat/>
    <w:rsid w:val="004f6707"/>
    <w:pPr>
      <w:numPr>
        <w:ilvl w:val="0"/>
        <w:numId w:val="0"/>
      </w:numPr>
      <w:tabs>
        <w:tab w:val="clear" w:pos="708"/>
        <w:tab w:val="left" w:pos="0" w:leader="none"/>
      </w:tabs>
      <w:ind w:hanging="432" w:left="432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5" w:customStyle="1">
    <w:name w:val="Текст сноски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 w:customStyle="1">
    <w:name w:val="Символ сноски"/>
    <w:uiPriority w:val="99"/>
    <w:qFormat/>
    <w:rsid w:val="004f67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4f6707"/>
    <w:rPr>
      <w:rFonts w:cs="Times New Roman"/>
    </w:rPr>
  </w:style>
  <w:style w:type="character" w:styleId="Hyperlink">
    <w:name w:val="Hyperlink"/>
    <w:basedOn w:val="DefaultParagraphFont"/>
    <w:uiPriority w:val="99"/>
    <w:rsid w:val="004f670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4f6707"/>
    <w:rPr>
      <w:b/>
      <w:i/>
      <w:shd w:fill="FFFF99" w:val="clear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cf14f8"/>
    <w:rPr>
      <w:rFonts w:ascii="Segoe UI" w:hAnsi="Segoe UI" w:cs="Segoe UI"/>
      <w:sz w:val="18"/>
      <w:szCs w:val="1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Style5"/>
    <w:uiPriority w:val="99"/>
    <w:rsid w:val="004f670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4f670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rsid w:val="004f6707"/>
    <w:pPr>
      <w:spacing w:lineRule="auto" w:line="240" w:before="120" w:after="0"/>
    </w:pPr>
    <w:rPr>
      <w:rFonts w:ascii="Times New Roman" w:hAnsi="Times New Roman" w:eastAsia="Times New Roman" w:cs="Calibri Light (?????????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4f6707"/>
    <w:pPr>
      <w:spacing w:lineRule="auto" w:line="240" w:before="0" w:after="0"/>
      <w:ind w:left="28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4f6707"/>
    <w:pPr>
      <w:tabs>
        <w:tab w:val="clear" w:pos="708"/>
        <w:tab w:val="left" w:pos="1120" w:leader="none"/>
        <w:tab w:val="right" w:pos="9911" w:leader="none"/>
      </w:tabs>
      <w:spacing w:lineRule="auto" w:line="240" w:before="0" w:after="0"/>
      <w:ind w:left="56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ListParagraph">
    <w:name w:val="List Paragraph"/>
    <w:basedOn w:val="Normal"/>
    <w:link w:val="Style8"/>
    <w:uiPriority w:val="34"/>
    <w:qFormat/>
    <w:rsid w:val="004f6707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 w:customStyle="1">
    <w:name w:val="Таблица"/>
    <w:basedOn w:val="Normal"/>
    <w:qFormat/>
    <w:rsid w:val="004f6707"/>
    <w:pPr>
      <w:keepNext w:val="true"/>
      <w:spacing w:lineRule="auto" w:line="240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16" w:customStyle="1">
    <w:name w:val="Таблица шапка"/>
    <w:basedOn w:val="Normal"/>
    <w:qFormat/>
    <w:rsid w:val="004f6707"/>
    <w:pPr>
      <w:keepNext w:val="true"/>
      <w:spacing w:lineRule="auto" w:line="240" w:before="40" w:after="40"/>
      <w:ind w:left="57" w:right="57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Style17" w:customStyle="1">
    <w:name w:val="Àáçàö"/>
    <w:basedOn w:val="Normal"/>
    <w:qFormat/>
    <w:rsid w:val="00e37920"/>
    <w:pPr>
      <w:spacing w:lineRule="auto" w:line="240" w:before="0" w:after="0"/>
      <w:ind w:firstLine="567"/>
      <w:jc w:val="both"/>
    </w:pPr>
    <w:rPr>
      <w:rFonts w:ascii="TimesDL" w:hAnsi="TimesDL" w:eastAsia="Times New Roman" w:cs="Times New Roman"/>
      <w:sz w:val="24"/>
      <w:szCs w:val="20"/>
      <w:lang w:val="en-GB" w:eastAsia="ru-RU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Annotationtext">
    <w:name w:val="annotation text"/>
    <w:basedOn w:val="Normal"/>
    <w:link w:val="Style10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cf14f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4f6707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7615C-495A-4A56-A3BE-E7A9082E2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AlterOffice/2026.2.0.0$Linux_X86_64 LibreOffice_project/bc4ef1adf80b36c7a6365f8ed6cbf29021361edd</Application>
  <AppVersion>15.0000</AppVersion>
  <Pages>4</Pages>
  <Words>855</Words>
  <Characters>5793</Characters>
  <CharactersWithSpaces>9463</CharactersWithSpaces>
  <Paragraphs>160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2025-11-10T03:37:00Z</dcterms:created>
  <dc:creator>Подшивалова Олеся Динаровна</dc:creator>
  <dc:description/>
  <dc:language>ru-RU</dc:language>
  <cp:lastModifiedBy>Савченко Евгений Викторович</cp:lastModifiedBy>
  <cp:lastPrinted>2025-11-07T05:41:00Z</cp:lastPrinted>
  <dcterms:modified xsi:type="dcterms:W3CDTF">2026-09-14T05:32:00Z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