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customXml/itemProps7.xml" ContentType="application/vnd.openxmlformats-officedocument.customXmlProperties+xml"/>
  <Override PartName="/word/footer3.xml" ContentType="application/vnd.openxmlformats-officedocument.wordprocessingml.footer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0"/>
        <w:pBdr/>
        <w:spacing/>
        <w:ind/>
        <w:rPr>
          <w:lang w:val="ru-RU" w:eastAsia="en-US"/>
        </w:rPr>
      </w:pPr>
      <w:r>
        <w:rPr>
          <w:lang w:val="ru-RU" w:eastAsia="en-US"/>
        </w:rPr>
      </w:r>
      <w:r>
        <w:rPr>
          <w:lang w:val="ru-RU" w:eastAsia="en-US"/>
        </w:rPr>
      </w:r>
    </w:p>
    <w:p>
      <w:pPr>
        <w:pStyle w:val="832"/>
        <w:pBdr/>
        <w:shd w:val="clear" w:color="auto" w:fill="ffffff"/>
        <w:tabs>
          <w:tab w:val="clear" w:leader="none" w:pos="709"/>
          <w:tab w:val="left" w:leader="none" w:pos="1134"/>
          <w:tab w:val="left" w:leader="none" w:pos="2835"/>
        </w:tabs>
        <w:spacing/>
        <w:ind w:firstLine="709" w:left="0"/>
        <w:jc w:val="both"/>
        <w:rPr/>
      </w:pPr>
      <w:r/>
      <w:r/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jc w:val="center"/>
        <w:rPr>
          <w:lang w:val="ru-RU"/>
        </w:rPr>
      </w:pPr>
      <w:r>
        <w:rPr>
          <w:b/>
          <w:lang w:val="ru-RU"/>
        </w:rPr>
        <w:t xml:space="preserve">Техническое требование на оказание услуг</w:t>
      </w:r>
      <w:r>
        <w:rPr>
          <w:lang w:val="ru-RU"/>
        </w:rPr>
      </w:r>
    </w:p>
    <w:p>
      <w:pPr>
        <w:pStyle w:val="740"/>
        <w:keepNext w:val="true"/>
        <w:keepLines w:val="true"/>
        <w:pBdr/>
        <w:spacing/>
        <w:ind/>
        <w:jc w:val="center"/>
        <w:rPr>
          <w:rFonts w:ascii="Times New Roman" w:hAnsi="Times New Roman" w:eastAsia="Calibri" w:cs="Times New Roman"/>
          <w:b/>
          <w:color w:val="auto"/>
          <w:sz w:val="24"/>
          <w:szCs w:val="24"/>
          <w:lang w:val="ru-RU" w:eastAsia="ru-RU" w:bidi="ar-SA"/>
        </w:rPr>
      </w:pPr>
      <w:r>
        <w:rPr>
          <w:rFonts w:eastAsia="Calibri" w:cs="Times New Roman"/>
          <w:b/>
          <w:color w:val="auto"/>
          <w:sz w:val="24"/>
          <w:szCs w:val="24"/>
          <w:lang w:eastAsia="ru-RU" w:bidi="ar-SA"/>
        </w:rPr>
        <w:t xml:space="preserve">“</w:t>
      </w:r>
      <w:r>
        <w:rPr>
          <w:rFonts w:eastAsia="Calibri" w:cs="Times New Roman"/>
          <w:b/>
          <w:color w:val="auto"/>
          <w:sz w:val="24"/>
          <w:szCs w:val="24"/>
          <w:lang w:eastAsia="ru-RU" w:bidi="ar-SA"/>
        </w:rPr>
        <w:t xml:space="preserve">Техническое освидетельствование (диагностирование) складов горюче-смазочных материалов АО “Сахаэнерго” </w:t>
      </w:r>
      <w:r>
        <w:rPr>
          <w:rFonts w:ascii="Times New Roman" w:hAnsi="Times New Roman" w:eastAsia="Calibri" w:cs="Times New Roman"/>
          <w:b/>
          <w:color w:val="auto"/>
          <w:sz w:val="24"/>
          <w:szCs w:val="24"/>
          <w:lang w:val="ru-RU" w:eastAsia="ru-RU" w:bidi="ar-SA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br w:type="page" w:clear="all"/>
      </w:r>
      <w:r>
        <w:rPr>
          <w:lang w:val="ru-RU"/>
        </w:rPr>
      </w:r>
    </w:p>
    <w:p>
      <w:pPr>
        <w:pStyle w:val="740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СОДЕРЖАНИЕ</w:t>
      </w:r>
      <w:r>
        <w:rPr>
          <w:b/>
          <w:sz w:val="24"/>
          <w:szCs w:val="24"/>
        </w:rPr>
      </w:r>
    </w:p>
    <w:p>
      <w:pPr>
        <w:pStyle w:val="850"/>
        <w:pBdr/>
        <w:tabs>
          <w:tab w:val="left" w:leader="none" w:pos="560"/>
          <w:tab w:val="clear" w:leader="none" w:pos="709"/>
          <w:tab w:val="right" w:leader="dot" w:pos="9911"/>
        </w:tabs>
        <w:spacing/>
        <w:ind/>
        <w:rPr>
          <w:rFonts w:ascii="Calibri" w:hAnsi="Calibri" w:eastAsia="Arial" w:cs="Arial" w:asciiTheme="minorHAnsi" w:hAnsiTheme="minorHAnsi" w:eastAsiaTheme="minorEastAsia" w:cstheme="minorBidi"/>
          <w:b w:val="0"/>
          <w:bCs w:val="0"/>
        </w:rPr>
      </w:pPr>
      <w:r>
        <w:rPr>
          <w:rFonts w:ascii="Calibri" w:hAnsi="Calibri" w:eastAsia="Arial" w:cs="Arial" w:eastAsiaTheme="minorEastAsia" w:cstheme="minorBidi"/>
          <w:b w:val="0"/>
          <w:bCs w:val="0"/>
        </w:rPr>
      </w:r>
      <w:r>
        <w:rPr>
          <w:rFonts w:ascii="Calibri" w:hAnsi="Calibri" w:eastAsia="Arial" w:cs="Arial" w:asciiTheme="minorHAnsi" w:hAnsiTheme="minorHAnsi" w:eastAsiaTheme="minorEastAsia" w:cstheme="minorBidi"/>
          <w:b w:val="0"/>
          <w:bCs w:val="0"/>
        </w:rPr>
      </w:r>
    </w:p>
    <w:p>
      <w:pPr>
        <w:pStyle w:val="850"/>
        <w:pBdr/>
        <w:tabs>
          <w:tab w:val="left" w:leader="none" w:pos="560"/>
          <w:tab w:val="clear" w:leader="none" w:pos="709"/>
          <w:tab w:val="right" w:leader="dot" w:pos="9911"/>
        </w:tabs>
        <w:spacing/>
        <w:ind/>
        <w:rPr>
          <w:rFonts w:ascii="Calibri" w:hAnsi="Calibri" w:eastAsia="Arial" w:cs="Arial" w:asciiTheme="minorHAnsi" w:hAnsiTheme="minorHAnsi" w:eastAsiaTheme="minorEastAsia" w:cstheme="minorBidi"/>
          <w:b w:val="0"/>
          <w:bCs w:val="0"/>
          <w:sz w:val="22"/>
          <w:szCs w:val="22"/>
        </w:rPr>
      </w:pPr>
      <w:r>
        <w:rPr>
          <w:color w:val="000000"/>
        </w:rPr>
        <w:t xml:space="preserve">1.</w:t>
      </w:r>
      <w:r>
        <w:rPr>
          <w:rFonts w:ascii="Calibri" w:hAnsi="Calibri" w:eastAsia="Arial" w:cs="Arial" w:asciiTheme="minorHAnsi" w:hAnsiTheme="minorHAnsi" w:eastAsiaTheme="minorEastAsia" w:cstheme="minorBidi"/>
          <w:b w:val="0"/>
          <w:bCs w:val="0"/>
          <w:sz w:val="22"/>
          <w:szCs w:val="22"/>
        </w:rPr>
        <w:tab/>
      </w:r>
      <w:r>
        <w:t xml:space="preserve">Общие сведения</w:t>
        <w:tab/>
      </w:r>
      <w:r>
        <w:fldChar w:fldCharType="begin"/>
      </w:r>
      <w:r>
        <w:instrText xml:space="preserve"> PAGEREF _Toc142564678 \h </w:instrText>
      </w:r>
      <w:r>
        <w:fldChar w:fldCharType="separate"/>
      </w:r>
      <w:r>
        <w:t xml:space="preserve">3</w:t>
      </w:r>
      <w:r>
        <w:fldChar w:fldCharType="end"/>
      </w:r>
      <w:r>
        <w:rPr>
          <w:rFonts w:ascii="Calibri" w:hAnsi="Calibri" w:eastAsia="Arial" w:cs="Arial" w:asciiTheme="minorHAnsi" w:hAnsiTheme="minorHAnsi" w:eastAsiaTheme="minorEastAsia" w:cstheme="minorBidi"/>
          <w:b w:val="0"/>
          <w:bCs w:val="0"/>
          <w:sz w:val="22"/>
          <w:szCs w:val="22"/>
        </w:rPr>
      </w:r>
    </w:p>
    <w:p>
      <w:pPr>
        <w:pStyle w:val="851"/>
        <w:pBdr/>
        <w:spacing/>
        <w:ind/>
        <w:jc w:val="center"/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pPr>
      <w:r>
        <w:rPr>
          <w:iCs/>
        </w:rPr>
        <w:t xml:space="preserve">1.1.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  <w:tab/>
      </w:r>
      <w:r>
        <w:t xml:space="preserve">Обозначения и сокращения</w:t>
        <w:tab/>
        <w:t xml:space="preserve">3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r>
    </w:p>
    <w:p>
      <w:pPr>
        <w:pStyle w:val="851"/>
        <w:pBdr/>
        <w:spacing/>
        <w:ind/>
        <w:jc w:val="center"/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pPr>
      <w:r>
        <w:rPr>
          <w:iCs/>
        </w:rPr>
        <w:t xml:space="preserve">1.2.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  <w:tab/>
      </w:r>
      <w:r>
        <w:t xml:space="preserve">Наименование закупаемой продукции</w:t>
        <w:tab/>
        <w:t xml:space="preserve">4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r>
    </w:p>
    <w:p>
      <w:pPr>
        <w:pStyle w:val="851"/>
        <w:pBdr/>
        <w:spacing/>
        <w:ind/>
        <w:jc w:val="center"/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pPr>
      <w:r>
        <w:rPr>
          <w:iCs/>
        </w:rPr>
        <w:t xml:space="preserve">1.3.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  <w:tab/>
      </w:r>
      <w:r>
        <w:t xml:space="preserve">Цель оказания услуг</w:t>
        <w:tab/>
        <w:t xml:space="preserve">4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r>
    </w:p>
    <w:p>
      <w:pPr>
        <w:pStyle w:val="850"/>
        <w:pBdr/>
        <w:tabs>
          <w:tab w:val="clear" w:leader="none" w:pos="709"/>
          <w:tab w:val="right" w:leader="dot" w:pos="9911"/>
        </w:tabs>
        <w:spacing/>
        <w:ind/>
        <w:jc w:val="center"/>
        <w:rPr>
          <w:rFonts w:ascii="Calibri" w:hAnsi="Calibri" w:eastAsia="Arial" w:cs="Arial" w:asciiTheme="minorHAnsi" w:hAnsiTheme="minorHAnsi" w:eastAsiaTheme="minorEastAsia" w:cstheme="minorBidi"/>
          <w:b w:val="0"/>
          <w:bCs w:val="0"/>
          <w:sz w:val="22"/>
          <w:szCs w:val="22"/>
        </w:rPr>
      </w:pPr>
      <w:r>
        <w:t xml:space="preserve">Таблица 1. Перечень объектов заказчика</w:t>
        <w:tab/>
      </w:r>
      <w:r>
        <w:fldChar w:fldCharType="begin"/>
      </w:r>
      <w:r>
        <w:instrText xml:space="preserve"> PAGEREF _Toc142564682 \h </w:instrText>
      </w:r>
      <w:r>
        <w:fldChar w:fldCharType="separate"/>
      </w:r>
      <w:r>
        <w:t xml:space="preserve">4</w:t>
      </w:r>
      <w:r>
        <w:fldChar w:fldCharType="end"/>
      </w:r>
      <w:r>
        <w:rPr>
          <w:rFonts w:ascii="Calibri" w:hAnsi="Calibri" w:eastAsia="Arial" w:cs="Arial" w:asciiTheme="minorHAnsi" w:hAnsiTheme="minorHAnsi" w:eastAsiaTheme="minorEastAsia" w:cstheme="minorBidi"/>
          <w:b w:val="0"/>
          <w:bCs w:val="0"/>
          <w:sz w:val="22"/>
          <w:szCs w:val="22"/>
        </w:rPr>
      </w:r>
    </w:p>
    <w:p>
      <w:pPr>
        <w:pStyle w:val="851"/>
        <w:pBdr/>
        <w:spacing/>
        <w:ind/>
        <w:jc w:val="center"/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pPr>
      <w:r>
        <w:rPr>
          <w:iCs/>
        </w:rPr>
        <w:t xml:space="preserve">1.4.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  <w:tab/>
      </w:r>
      <w:r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договора):</w:t>
        <w:tab/>
        <w:t xml:space="preserve">5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r>
    </w:p>
    <w:p>
      <w:pPr>
        <w:pStyle w:val="850"/>
        <w:pBdr/>
        <w:tabs>
          <w:tab w:val="left" w:leader="none" w:pos="560"/>
          <w:tab w:val="clear" w:leader="none" w:pos="709"/>
          <w:tab w:val="right" w:leader="dot" w:pos="9911"/>
        </w:tabs>
        <w:spacing/>
        <w:ind/>
        <w:jc w:val="center"/>
        <w:rPr>
          <w:rFonts w:ascii="Calibri" w:hAnsi="Calibri" w:eastAsia="Arial" w:cs="Arial" w:asciiTheme="minorHAnsi" w:hAnsiTheme="minorHAnsi" w:eastAsiaTheme="minorEastAsia" w:cstheme="minorBidi"/>
          <w:b w:val="0"/>
          <w:bCs w:val="0"/>
          <w:sz w:val="22"/>
          <w:szCs w:val="22"/>
        </w:rPr>
      </w:pPr>
      <w:r>
        <w:rPr>
          <w:color w:val="000000"/>
        </w:rPr>
        <w:t xml:space="preserve">2.</w:t>
      </w:r>
      <w:r>
        <w:rPr>
          <w:rFonts w:ascii="Calibri" w:hAnsi="Calibri" w:eastAsia="Arial" w:cs="Arial" w:asciiTheme="minorHAnsi" w:hAnsiTheme="minorHAnsi" w:eastAsiaTheme="minorEastAsia" w:cstheme="minorBidi"/>
          <w:b w:val="0"/>
          <w:bCs w:val="0"/>
          <w:sz w:val="22"/>
          <w:szCs w:val="22"/>
        </w:rPr>
        <w:tab/>
      </w:r>
      <w:r>
        <w:rPr>
          <w:iCs/>
        </w:rPr>
        <w:t xml:space="preserve">Требования к продукции</w:t>
      </w:r>
      <w:r>
        <w:tab/>
      </w:r>
      <w:r>
        <w:fldChar w:fldCharType="begin"/>
      </w:r>
      <w:r>
        <w:instrText xml:space="preserve"> PAGEREF _Toc142564684 \h </w:instrText>
      </w:r>
      <w:r>
        <w:fldChar w:fldCharType="separate"/>
      </w:r>
      <w:r>
        <w:t xml:space="preserve">6</w:t>
      </w:r>
      <w:r>
        <w:fldChar w:fldCharType="end"/>
      </w:r>
      <w:r>
        <w:rPr>
          <w:rFonts w:ascii="Calibri" w:hAnsi="Calibri" w:eastAsia="Arial" w:cs="Arial" w:asciiTheme="minorHAnsi" w:hAnsiTheme="minorHAnsi" w:eastAsiaTheme="minorEastAsia" w:cstheme="minorBidi"/>
          <w:b w:val="0"/>
          <w:bCs w:val="0"/>
          <w:sz w:val="22"/>
          <w:szCs w:val="22"/>
        </w:rPr>
      </w:r>
    </w:p>
    <w:p>
      <w:pPr>
        <w:pStyle w:val="851"/>
        <w:pBdr/>
        <w:spacing/>
        <w:ind/>
        <w:jc w:val="center"/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pPr>
      <w:r>
        <w:rPr>
          <w:iCs/>
        </w:rPr>
        <w:t xml:space="preserve">2.1.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  <w:tab/>
      </w:r>
      <w:r>
        <w:t xml:space="preserve">Требования к объемам и срокам оказания услуг</w:t>
        <w:tab/>
      </w:r>
      <w:r>
        <w:fldChar w:fldCharType="begin"/>
      </w:r>
      <w:r>
        <w:instrText xml:space="preserve"> PAGEREF _Toc142564685 \h </w:instrText>
      </w:r>
      <w:r>
        <w:fldChar w:fldCharType="separate"/>
      </w:r>
      <w:r>
        <w:t xml:space="preserve">6</w:t>
      </w:r>
      <w:r>
        <w:fldChar w:fldCharType="end"/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r>
    </w:p>
    <w:p>
      <w:pPr>
        <w:pStyle w:val="852"/>
        <w:pBdr/>
        <w:spacing/>
        <w:ind/>
        <w:jc w:val="center"/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pPr>
      <w:r>
        <w:t xml:space="preserve">2.1.1.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  <w:tab/>
      </w:r>
      <w:r>
        <w:t xml:space="preserve">Требования к перечню и объему услуг</w:t>
        <w:tab/>
        <w:t xml:space="preserve">6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r>
    </w:p>
    <w:p>
      <w:pPr>
        <w:pStyle w:val="850"/>
        <w:pBdr/>
        <w:tabs>
          <w:tab w:val="clear" w:leader="none" w:pos="709"/>
          <w:tab w:val="right" w:leader="dot" w:pos="9911"/>
        </w:tabs>
        <w:spacing/>
        <w:ind/>
        <w:jc w:val="center"/>
        <w:rPr>
          <w:rFonts w:ascii="Calibri" w:hAnsi="Calibri" w:eastAsia="Arial" w:cs="Arial" w:asciiTheme="minorHAnsi" w:hAnsiTheme="minorHAnsi" w:eastAsiaTheme="minorEastAsia" w:cstheme="minorBidi"/>
          <w:b w:val="0"/>
          <w:bCs w:val="0"/>
          <w:sz w:val="22"/>
          <w:szCs w:val="22"/>
        </w:rPr>
      </w:pPr>
      <w:r>
        <w:t xml:space="preserve">Таблица 2. Перечень и объем оказываемых услуг</w:t>
        <w:tab/>
        <w:t xml:space="preserve">6</w:t>
      </w:r>
      <w:r>
        <w:rPr>
          <w:rFonts w:ascii="Calibri" w:hAnsi="Calibri" w:eastAsia="Arial" w:cs="Arial" w:asciiTheme="minorHAnsi" w:hAnsiTheme="minorHAnsi" w:eastAsiaTheme="minorEastAsia" w:cstheme="minorBidi"/>
          <w:b w:val="0"/>
          <w:bCs w:val="0"/>
          <w:sz w:val="22"/>
          <w:szCs w:val="22"/>
        </w:rPr>
      </w:r>
    </w:p>
    <w:p>
      <w:pPr>
        <w:pStyle w:val="852"/>
        <w:pBdr/>
        <w:spacing/>
        <w:ind/>
        <w:jc w:val="center"/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pPr>
      <w:r>
        <w:t xml:space="preserve">2.1.2.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  <w:tab/>
      </w:r>
      <w:r>
        <w:t xml:space="preserve">Требования к срокам оказания услуг</w:t>
        <w:tab/>
        <w:t xml:space="preserve">8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r>
    </w:p>
    <w:p>
      <w:pPr>
        <w:pStyle w:val="850"/>
        <w:pBdr/>
        <w:tabs>
          <w:tab w:val="clear" w:leader="none" w:pos="709"/>
          <w:tab w:val="right" w:leader="dot" w:pos="9911"/>
        </w:tabs>
        <w:spacing/>
        <w:ind/>
        <w:jc w:val="center"/>
        <w:rPr>
          <w:rFonts w:ascii="Calibri" w:hAnsi="Calibri" w:eastAsia="Arial" w:cs="Arial" w:asciiTheme="minorHAnsi" w:hAnsiTheme="minorHAnsi" w:eastAsiaTheme="minorEastAsia" w:cstheme="minorBidi"/>
          <w:b w:val="0"/>
          <w:bCs w:val="0"/>
          <w:sz w:val="22"/>
          <w:szCs w:val="22"/>
        </w:rPr>
      </w:pPr>
      <w:r>
        <w:t xml:space="preserve">Таблица 3. Требования к срокам оказания услуг</w:t>
        <w:tab/>
        <w:t xml:space="preserve">8</w:t>
      </w:r>
      <w:r>
        <w:rPr>
          <w:rFonts w:ascii="Calibri" w:hAnsi="Calibri" w:eastAsia="Arial" w:cs="Arial" w:asciiTheme="minorHAnsi" w:hAnsiTheme="minorHAnsi" w:eastAsiaTheme="minorEastAsia" w:cstheme="minorBidi"/>
          <w:b w:val="0"/>
          <w:bCs w:val="0"/>
          <w:sz w:val="22"/>
          <w:szCs w:val="22"/>
        </w:rPr>
      </w:r>
    </w:p>
    <w:p>
      <w:pPr>
        <w:pStyle w:val="851"/>
        <w:pBdr/>
        <w:spacing/>
        <w:ind/>
        <w:jc w:val="center"/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pPr>
      <w:r>
        <w:rPr>
          <w:iCs/>
        </w:rPr>
        <w:t xml:space="preserve">2.2.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  <w:tab/>
      </w:r>
      <w:r>
        <w:t xml:space="preserve">Требования к качеству услуг</w:t>
        <w:tab/>
        <w:t xml:space="preserve">9</w:t>
      </w:r>
      <w:r>
        <w:rPr>
          <w:rFonts w:ascii="Calibri" w:hAnsi="Calibri" w:eastAsia="Arial" w:cs="Arial" w:asciiTheme="minorHAnsi" w:hAnsiTheme="minorHAnsi" w:eastAsiaTheme="minorEastAsia" w:cstheme="minorBidi"/>
          <w:sz w:val="22"/>
          <w:szCs w:val="22"/>
        </w:rPr>
      </w:r>
    </w:p>
    <w:p>
      <w:pPr>
        <w:pStyle w:val="850"/>
        <w:pBdr/>
        <w:tabs>
          <w:tab w:val="clear" w:leader="none" w:pos="709"/>
          <w:tab w:val="right" w:leader="dot" w:pos="9911"/>
        </w:tabs>
        <w:spacing/>
        <w:ind/>
        <w:jc w:val="center"/>
        <w:rPr/>
      </w:pPr>
      <w:r>
        <w:t xml:space="preserve">Таблица 4. Требования к качеству услуг</w:t>
        <w:tab/>
        <w:t xml:space="preserve">9</w:t>
      </w:r>
      <w:r/>
    </w:p>
    <w:p>
      <w:pPr>
        <w:pStyle w:val="740"/>
        <w:pBdr/>
        <w:spacing/>
        <w:ind/>
        <w:rPr/>
      </w:pPr>
      <w:r/>
      <w:r/>
    </w:p>
    <w:p>
      <w:pPr>
        <w:pStyle w:val="740"/>
        <w:pBdr/>
        <w:spacing/>
        <w:ind/>
        <w:rPr/>
      </w:pPr>
      <w:r/>
      <w:r/>
    </w:p>
    <w:p>
      <w:pPr>
        <w:pStyle w:val="740"/>
        <w:pBdr/>
        <w:spacing/>
        <w:ind/>
        <w:rPr>
          <w:rFonts w:eastAsia="Calibri"/>
          <w:b/>
          <w:caps/>
          <w:sz w:val="24"/>
          <w:szCs w:val="24"/>
        </w:rPr>
      </w:pPr>
      <w:r>
        <w:rPr>
          <w:rFonts w:eastAsia="Calibri"/>
          <w:b/>
          <w:caps/>
          <w:sz w:val="24"/>
          <w:szCs w:val="24"/>
        </w:rPr>
      </w:r>
      <w:r>
        <w:br w:type="page" w:clear="all"/>
      </w:r>
      <w:r>
        <w:rPr>
          <w:rFonts w:eastAsia="Calibri"/>
          <w:b/>
          <w:caps/>
          <w:sz w:val="24"/>
          <w:szCs w:val="24"/>
        </w:rPr>
      </w:r>
    </w:p>
    <w:p>
      <w:pPr>
        <w:pStyle w:val="741"/>
        <w:keepLines w:val="true"/>
        <w:numPr>
          <w:ilvl w:val="0"/>
          <w:numId w:val="0"/>
        </w:numPr>
        <w:pBdr/>
        <w:spacing/>
        <w:ind w:firstLine="0" w:left="357"/>
        <w:jc w:val="center"/>
        <w:rPr>
          <w:cap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 </w:t>
      </w:r>
      <w:bookmarkStart w:id="0" w:name="_Toc142564678"/>
      <w:r/>
      <w:bookmarkStart w:id="1" w:name="_Toc54643694"/>
      <w:r>
        <w:rPr>
          <w:sz w:val="24"/>
          <w:szCs w:val="24"/>
          <w:lang w:val="ru-RU"/>
        </w:rPr>
        <w:t xml:space="preserve">Общие</w:t>
      </w:r>
      <w:r>
        <w:rPr>
          <w:color w:val="auto"/>
          <w:sz w:val="24"/>
          <w:szCs w:val="24"/>
          <w:lang w:val="ru-RU"/>
        </w:rPr>
        <w:t xml:space="preserve"> сведения</w:t>
      </w:r>
      <w:bookmarkEnd w:id="0"/>
      <w:r/>
      <w:bookmarkEnd w:id="1"/>
      <w:r/>
      <w:r>
        <w:rPr>
          <w:caps/>
          <w:sz w:val="24"/>
          <w:szCs w:val="24"/>
          <w:lang w:val="ru-RU"/>
        </w:rPr>
      </w:r>
    </w:p>
    <w:p>
      <w:pPr>
        <w:pStyle w:val="744"/>
        <w:numPr>
          <w:ilvl w:val="0"/>
          <w:numId w:val="0"/>
        </w:numPr>
        <w:pBdr/>
        <w:spacing/>
        <w:ind w:firstLine="0" w:left="1000"/>
        <w:rPr>
          <w:color w:val="auto"/>
        </w:rPr>
      </w:pPr>
      <w:r>
        <w:rPr>
          <w:color w:val="auto"/>
        </w:rPr>
        <w:t xml:space="preserve">1.1. </w:t>
      </w:r>
      <w:bookmarkStart w:id="2" w:name="_Toc142564679"/>
      <w:r/>
      <w:bookmarkStart w:id="3" w:name="_Toc46743505"/>
      <w:r/>
      <w:bookmarkStart w:id="4" w:name="_Toc54643695"/>
      <w:r>
        <w:rPr>
          <w:color w:val="auto"/>
        </w:rPr>
        <w:t xml:space="preserve">Обозначения и сокращения</w:t>
      </w:r>
      <w:bookmarkEnd w:id="2"/>
      <w:r/>
      <w:bookmarkEnd w:id="3"/>
      <w:r/>
      <w:bookmarkEnd w:id="4"/>
      <w:r/>
      <w:r>
        <w:rPr>
          <w:color w:val="auto"/>
        </w:rPr>
      </w:r>
    </w:p>
    <w:p>
      <w:pPr>
        <w:pStyle w:val="740"/>
        <w:pBdr/>
        <w:spacing/>
        <w:ind/>
        <w:rPr>
          <w:b w:val="0"/>
          <w:bCs/>
          <w:iCs/>
          <w:color w:val="auto"/>
          <w:sz w:val="24"/>
          <w:szCs w:val="24"/>
        </w:rPr>
      </w:pPr>
      <w:r>
        <w:rPr>
          <w:b w:val="0"/>
          <w:bCs/>
          <w:iCs/>
          <w:color w:val="auto"/>
          <w:sz w:val="24"/>
          <w:szCs w:val="24"/>
        </w:rPr>
      </w:r>
      <w:r>
        <w:rPr>
          <w:b w:val="0"/>
          <w:bCs/>
          <w:iCs/>
          <w:color w:val="auto"/>
          <w:sz w:val="24"/>
          <w:szCs w:val="24"/>
        </w:rPr>
      </w:r>
    </w:p>
    <w:tbl>
      <w:tblPr>
        <w:tblW w:w="9003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85"/>
        <w:gridCol w:w="7217"/>
      </w:tblGrid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ГСМ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rStyle w:val="798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798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Горюче-смазочные материалы</w:t>
            </w:r>
            <w:r>
              <w:rPr>
                <w:rStyle w:val="798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ДЭС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rStyle w:val="798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rStyle w:val="798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Дизельная электростанция</w:t>
            </w:r>
            <w:r>
              <w:rPr>
                <w:rStyle w:val="798"/>
                <w:b w:val="0"/>
                <w:bCs/>
                <w:i w:val="0"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РВС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rStyle w:val="798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798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Резервуар вертикальный стальной</w:t>
            </w:r>
            <w:r>
              <w:rPr>
                <w:rStyle w:val="798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РГС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rStyle w:val="798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</w:rPr>
              <w:t xml:space="preserve">Резервуар горизонтальный стальной</w:t>
            </w:r>
            <w:r>
              <w:rPr>
                <w:rStyle w:val="798"/>
                <w:bCs/>
                <w:i w:val="0"/>
                <w:iCs/>
                <w:sz w:val="24"/>
                <w:szCs w:val="24"/>
                <w:shd w:val="clear" w:color="auto" w:fill="auto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ТТ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rStyle w:val="798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rStyle w:val="798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Технические требования</w:t>
            </w:r>
            <w:r>
              <w:rPr>
                <w:rStyle w:val="798"/>
                <w:b w:val="0"/>
                <w:bCs/>
                <w:i w:val="0"/>
                <w:i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Государственный стандарт</w:t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РД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Руководящий документ</w:t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условия</w:t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ИСМ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Интегрированная система менеджмента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40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0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0"/>
        <w:keepNext w:val="true"/>
        <w:keepLines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br w:type="page" w:clear="all"/>
      </w:r>
      <w:r>
        <w:rPr>
          <w:lang w:val="ru-RU"/>
        </w:rPr>
      </w:r>
    </w:p>
    <w:p>
      <w:pPr>
        <w:pStyle w:val="744"/>
        <w:keepNext w:val="true"/>
        <w:keepLines w:val="true"/>
        <w:widowControl w:val="true"/>
        <w:numPr>
          <w:ilvl w:val="0"/>
          <w:numId w:val="0"/>
        </w:numPr>
        <w:pBdr/>
        <w:bidi w:val="false"/>
        <w:spacing w:after="0" w:before="200"/>
        <w:ind w:right="0" w:firstLine="0" w:left="0"/>
        <w:jc w:val="left"/>
        <w:rPr>
          <w:color w:val="auto"/>
        </w:rPr>
      </w:pPr>
      <w:r>
        <w:rPr>
          <w:color w:val="auto"/>
        </w:rPr>
        <w:t xml:space="preserve">1.2. </w:t>
      </w:r>
      <w:bookmarkStart w:id="5" w:name="_Toc142564680"/>
      <w:r/>
      <w:bookmarkStart w:id="6" w:name="_Toc46743506"/>
      <w:r/>
      <w:bookmarkStart w:id="7" w:name="_Toc54643696"/>
      <w:r>
        <w:rPr>
          <w:color w:val="auto"/>
        </w:rPr>
        <w:t xml:space="preserve">Наименование закупаемой продукции</w:t>
      </w:r>
      <w:bookmarkEnd w:id="5"/>
      <w:r/>
      <w:bookmarkEnd w:id="6"/>
      <w:r/>
      <w:bookmarkEnd w:id="7"/>
      <w:r/>
      <w:r>
        <w:rPr>
          <w:color w:val="auto"/>
        </w:rPr>
      </w:r>
    </w:p>
    <w:p>
      <w:pPr>
        <w:pStyle w:val="740"/>
        <w:widowControl w:val="false"/>
        <w:pBdr/>
        <w:tabs>
          <w:tab w:val="left" w:leader="none" w:pos="426"/>
          <w:tab w:val="clear" w:leader="none" w:pos="709"/>
        </w:tabs>
        <w:spacing w:after="120" w:before="120"/>
        <w:ind/>
        <w:rPr>
          <w:color w:val="auto"/>
        </w:rPr>
      </w:pPr>
      <w:r>
        <w:rPr>
          <w:rFonts w:eastAsia="Calibri"/>
          <w:color w:val="auto"/>
          <w:sz w:val="24"/>
          <w:szCs w:val="24"/>
        </w:rPr>
        <w:t xml:space="preserve">Техническое освидетельствование (диагностирование) складов горюче-смазочных материалов АО "Сахаэнерго"</w:t>
      </w:r>
      <w:r>
        <w:rPr>
          <w:color w:val="auto"/>
        </w:rPr>
      </w:r>
    </w:p>
    <w:p>
      <w:pPr>
        <w:pStyle w:val="744"/>
        <w:numPr>
          <w:ilvl w:val="0"/>
          <w:numId w:val="0"/>
        </w:numPr>
        <w:pBdr/>
        <w:spacing w:after="60" w:before="240"/>
        <w:ind w:firstLine="0" w:left="0"/>
        <w:rPr>
          <w:color w:val="auto"/>
        </w:rPr>
      </w:pPr>
      <w:r>
        <w:rPr>
          <w:color w:val="auto"/>
        </w:rPr>
        <w:t xml:space="preserve">1.3. </w:t>
      </w:r>
      <w:bookmarkStart w:id="8" w:name="_Toc54643697"/>
      <w:r/>
      <w:bookmarkStart w:id="9" w:name="_Toc142564681"/>
      <w:r/>
      <w:bookmarkStart w:id="10" w:name="_Toc46743507"/>
      <w:r>
        <w:rPr>
          <w:color w:val="auto"/>
        </w:rPr>
        <w:t xml:space="preserve">Цель </w:t>
      </w:r>
      <w:bookmarkEnd w:id="10"/>
      <w:r>
        <w:rPr>
          <w:color w:val="auto"/>
          <w:lang w:val="ru-RU"/>
        </w:rPr>
        <w:t xml:space="preserve">оказания услуг</w:t>
      </w:r>
      <w:bookmarkEnd w:id="9"/>
      <w:r>
        <w:rPr>
          <w:color w:val="auto"/>
        </w:rPr>
        <w:t xml:space="preserve"> </w:t>
      </w:r>
      <w:bookmarkEnd w:id="8"/>
      <w:r/>
      <w:r>
        <w:rPr>
          <w:color w:val="auto"/>
        </w:rPr>
      </w:r>
    </w:p>
    <w:p>
      <w:pPr>
        <w:pStyle w:val="740"/>
        <w:pBdr/>
        <w:tabs>
          <w:tab w:val="left" w:leader="none" w:pos="284"/>
          <w:tab w:val="clear" w:leader="none" w:pos="709"/>
        </w:tabs>
        <w:spacing/>
        <w:ind/>
        <w:jc w:val="both"/>
        <w:rPr>
          <w:sz w:val="24"/>
          <w:szCs w:val="24"/>
          <w:lang w:bidi="ru-RU"/>
        </w:rPr>
      </w:pPr>
      <w:r/>
      <w:bookmarkStart w:id="11" w:name="_Toc46743508"/>
      <w:r/>
      <w:bookmarkStart w:id="12" w:name="_Toc54643698"/>
      <w:r/>
      <w:bookmarkEnd w:id="11"/>
      <w:r/>
      <w:bookmarkEnd w:id="12"/>
      <w:r>
        <w:rPr>
          <w:sz w:val="24"/>
          <w:szCs w:val="24"/>
        </w:rPr>
        <w:t xml:space="preserve">ГОСТ 17032-2022 РЕЗЕРВУАРЫ СТАЛЬНЫЕ ГОРИЗОНТАЛЬНЫЕ ДЛЯ НЕФТЕПРОДУКТОВ</w:t>
      </w:r>
      <w:r>
        <w:rPr>
          <w:sz w:val="24"/>
          <w:szCs w:val="24"/>
          <w:lang w:bidi="ru-RU"/>
        </w:rPr>
        <w:t xml:space="preserve"> </w:t>
      </w:r>
      <w:r>
        <w:rPr>
          <w:sz w:val="24"/>
          <w:szCs w:val="24"/>
          <w:lang w:bidi="ru-RU"/>
        </w:rPr>
      </w:r>
    </w:p>
    <w:p>
      <w:pPr>
        <w:pStyle w:val="740"/>
        <w:pBdr/>
        <w:tabs>
          <w:tab w:val="left" w:leader="none" w:pos="284"/>
          <w:tab w:val="clear" w:leader="none" w:pos="709"/>
        </w:tabs>
        <w:spacing/>
        <w:ind/>
        <w:jc w:val="both"/>
        <w:rPr>
          <w:sz w:val="24"/>
          <w:szCs w:val="24"/>
          <w:lang w:bidi="ru-RU"/>
        </w:rPr>
      </w:pPr>
      <w:r>
        <w:rPr>
          <w:sz w:val="24"/>
          <w:szCs w:val="24"/>
        </w:rPr>
        <w:t xml:space="preserve">ГОСТ 31385-2023 РЕЗЕРВУАРЫ СТАЛЬНЫЕ ВЕРТИКАЛЬНЫЕ ДЛЯ НЕФТЕПРОДУКТОВ</w:t>
      </w:r>
      <w:r>
        <w:rPr>
          <w:sz w:val="24"/>
          <w:szCs w:val="24"/>
          <w:lang w:bidi="ru-RU"/>
        </w:rPr>
      </w:r>
    </w:p>
    <w:p>
      <w:pPr>
        <w:pStyle w:val="740"/>
        <w:pBdr/>
        <w:tabs>
          <w:tab w:val="left" w:leader="none" w:pos="284"/>
          <w:tab w:val="clear" w:leader="none" w:pos="709"/>
        </w:tabs>
        <w:spacing/>
        <w:ind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</w:r>
      <w:r>
        <w:rPr>
          <w:sz w:val="24"/>
          <w:szCs w:val="24"/>
          <w:lang w:bidi="ru-RU"/>
        </w:rPr>
      </w:r>
    </w:p>
    <w:p>
      <w:pPr>
        <w:pStyle w:val="740"/>
        <w:pBdr/>
        <w:tabs>
          <w:tab w:val="left" w:leader="none" w:pos="284"/>
          <w:tab w:val="clear" w:leader="none" w:pos="709"/>
        </w:tabs>
        <w:spacing/>
        <w:ind/>
        <w:jc w:val="both"/>
        <w:rPr>
          <w:b/>
          <w:bCs/>
        </w:rPr>
      </w:pPr>
      <w:r/>
      <w:bookmarkStart w:id="13" w:name="_Toc546436981"/>
      <w:r/>
      <w:bookmarkStart w:id="14" w:name="_Toc54643699"/>
      <w:r/>
      <w:bookmarkStart w:id="15" w:name="_Toc467435081"/>
      <w:r/>
      <w:bookmarkStart w:id="16" w:name="_Toc142564682"/>
      <w:r/>
      <w:bookmarkEnd w:id="13"/>
      <w:r/>
      <w:bookmarkEnd w:id="15"/>
      <w:r>
        <w:rPr>
          <w:b/>
          <w:bCs/>
          <w:sz w:val="24"/>
          <w:szCs w:val="24"/>
        </w:rPr>
        <w:t xml:space="preserve">Таблица 1</w:t>
      </w:r>
      <w:r>
        <w:rPr>
          <w:b/>
          <w:bCs/>
          <w:sz w:val="24"/>
          <w:szCs w:val="24"/>
          <w:lang w:val="ru-RU"/>
        </w:rPr>
        <w:t xml:space="preserve">.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lang w:val="ru-RU"/>
        </w:rPr>
        <w:t xml:space="preserve">Перечень объектов заказчика</w:t>
      </w:r>
      <w:bookmarkEnd w:id="14"/>
      <w:r/>
      <w:bookmarkEnd w:id="16"/>
      <w:r/>
      <w:r>
        <w:rPr>
          <w:b/>
          <w:bCs/>
        </w:rPr>
      </w:r>
    </w:p>
    <w:p>
      <w:pPr>
        <w:pStyle w:val="740"/>
        <w:pBdr/>
        <w:tabs>
          <w:tab w:val="left" w:leader="none" w:pos="284"/>
          <w:tab w:val="clear" w:leader="none" w:pos="709"/>
        </w:tabs>
        <w:spacing/>
        <w:ind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tbl>
      <w:tblPr>
        <w:tblW w:w="10033" w:type="dxa"/>
        <w:tblInd w:w="55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63"/>
        <w:gridCol w:w="2653"/>
        <w:gridCol w:w="2334"/>
        <w:gridCol w:w="1932"/>
        <w:gridCol w:w="1468"/>
        <w:gridCol w:w="1082"/>
      </w:tblGrid>
      <w:tr>
        <w:trPr>
          <w:trHeight w:val="28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clear" w:leader="none" w:pos="709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clear" w:leader="none" w:pos="709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филиала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clear" w:leader="none" w:pos="709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ДЭС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clear" w:leader="none" w:pos="709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и тип резервуара (наземный / подземный, вертикальный / горизонтальный, стальной) со станционным номером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clear" w:leader="none" w:pos="709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Год ввода в эксплуатацию (гггг)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clear" w:leader="none" w:pos="709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Объём V, куб.м.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4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clear" w:leader="none" w:pos="709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clear" w:leader="none" w:pos="709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clear" w:leader="none" w:pos="709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clear" w:leader="none" w:pos="709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clear" w:leader="none" w:pos="709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clear" w:leader="none" w:pos="709"/>
              </w:tabs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Верхоянские 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Борулах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2008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Верхоянские 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Борулах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2008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Жиганский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Бестях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б/н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Жиганский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Бестях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Жиганский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Бестях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Жиганский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Бестях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Момский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Сасыр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2007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Момский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Сасыр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2007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Андрюшкино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241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Андрюшкино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240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Андрюшкино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232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Андрюшкино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239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Андрюшкино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217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Андрюшкино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237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Андрюшкино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238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Андрюшкино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б/н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Андрюшкино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б/н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Андрюшкино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РВС № 404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19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Андрюшкино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РВС № 405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Андрюшкино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РВС № 406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Андрюшкино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РВС № 403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Колымское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Колымское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Колымское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Колымское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Колымское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Колымское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Колымское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Колымское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Колымское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60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Колымское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10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Колымское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11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50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Нижнеколымский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Колымское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РГС № 12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1990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Олекминский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Токко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РВС №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2003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400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Оленекский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Оленек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РВС № 24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1000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9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36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65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Оленекский 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ДЭС с. Оленек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3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РВС № 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2016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700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44"/>
        <w:keepNext w:val="true"/>
        <w:keepLines w:val="true"/>
        <w:widowControl w:val="true"/>
        <w:numPr>
          <w:ilvl w:val="0"/>
          <w:numId w:val="0"/>
        </w:numPr>
        <w:pBdr/>
        <w:bidi w:val="false"/>
        <w:spacing w:after="0" w:before="200"/>
        <w:ind w:right="0" w:firstLine="0" w:left="56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744"/>
        <w:keepNext w:val="true"/>
        <w:keepLines w:val="true"/>
        <w:widowControl w:val="true"/>
        <w:numPr>
          <w:ilvl w:val="0"/>
          <w:numId w:val="0"/>
        </w:numPr>
        <w:pBdr/>
        <w:bidi w:val="false"/>
        <w:spacing w:after="0" w:before="200"/>
        <w:ind w:right="0" w:firstLine="0" w:left="56"/>
        <w:jc w:val="both"/>
        <w:rPr>
          <w:highlight w:val="none"/>
        </w:rPr>
      </w:pPr>
      <w:r>
        <w:rPr>
          <w:color w:val="auto"/>
        </w:rPr>
        <w:t xml:space="preserve">1.4. </w:t>
      </w:r>
      <w:bookmarkStart w:id="17" w:name="_Toc142564683"/>
      <w:r/>
      <w:bookmarkStart w:id="18" w:name="_Hlk49857604"/>
      <w:r/>
      <w:bookmarkStart w:id="19" w:name="_Toc46743509"/>
      <w:r>
        <w:rPr>
          <w:color w:val="auto"/>
        </w:rPr>
        <w:t xml:space="preserve">Информация в отношении исполнения договора, </w:t>
      </w:r>
      <w:bookmarkStart w:id="20" w:name="_Hlk46492347"/>
      <w:r>
        <w:rPr>
          <w:color w:val="auto"/>
        </w:rPr>
        <w:t xml:space="preserve">которая должна быть учтена при подготовке заявки </w:t>
      </w:r>
      <w:bookmarkEnd w:id="20"/>
      <w:r>
        <w:rPr>
          <w:color w:val="auto"/>
        </w:rPr>
        <w:t xml:space="preserve">(в том числе перечень ресурсов, услуг и документов, предоставляемых </w:t>
      </w:r>
      <w:r>
        <w:rPr>
          <w:color w:val="auto"/>
          <w:lang w:val="ru-RU"/>
        </w:rPr>
        <w:t xml:space="preserve">заказчиком</w:t>
      </w:r>
      <w:r>
        <w:rPr>
          <w:color w:val="auto"/>
        </w:rPr>
        <w:t xml:space="preserve"> на этапе исполнения договора</w:t>
      </w:r>
      <w:bookmarkEnd w:id="18"/>
      <w:r/>
      <w:bookmarkEnd w:id="19"/>
      <w:r>
        <w:rPr>
          <w:color w:val="auto"/>
          <w:lang w:val="ru-RU"/>
        </w:rPr>
        <w:t xml:space="preserve">):</w:t>
      </w:r>
      <w:bookmarkEnd w:id="17"/>
      <w:r/>
      <w:r>
        <w:rPr>
          <w:highlight w:val="none"/>
        </w:rPr>
      </w:r>
    </w:p>
    <w:p>
      <w:pPr>
        <w:pStyle w:val="740"/>
        <w:pBdr/>
        <w:spacing/>
        <w:ind/>
        <w:jc w:val="both"/>
        <w:rPr>
          <w:sz w:val="24"/>
          <w:szCs w:val="24"/>
        </w:rPr>
      </w:pPr>
      <w:r/>
      <w:bookmarkStart w:id="21" w:name="_Toc50125126"/>
      <w:r/>
      <w:bookmarkStart w:id="22" w:name="_Toc54643701"/>
      <w:r/>
      <w:bookmarkEnd w:id="21"/>
      <w:r/>
      <w:bookmarkEnd w:id="22"/>
      <w:r>
        <w:rPr>
          <w:sz w:val="24"/>
          <w:szCs w:val="24"/>
        </w:rPr>
        <w:t xml:space="preserve">Полная детализация оказание услуг указана в перечне и объемах выполняемых Услуг (Таблица №2), являющейся неотъемлемой частью настоящих технических требований. </w:t>
      </w:r>
      <w:r>
        <w:rPr>
          <w:sz w:val="24"/>
          <w:szCs w:val="24"/>
        </w:rPr>
      </w:r>
    </w:p>
    <w:p>
      <w:pPr>
        <w:pStyle w:val="740"/>
        <w:pBdr/>
        <w:spacing/>
        <w:ind/>
        <w:jc w:val="both"/>
        <w:rPr>
          <w:b/>
          <w:bCs/>
        </w:rPr>
      </w:pPr>
      <w:r/>
      <w:bookmarkStart w:id="23" w:name="_Toc546437011"/>
      <w:r/>
      <w:bookmarkEnd w:id="23"/>
      <w:r>
        <w:rPr>
          <w:b/>
          <w:bCs/>
          <w:iCs/>
          <w:sz w:val="24"/>
          <w:szCs w:val="24"/>
          <w:lang w:val="ru-RU"/>
        </w:rPr>
        <w:t xml:space="preserve">2. </w:t>
      </w:r>
      <w:bookmarkStart w:id="24" w:name="_Toc142564684"/>
      <w:r/>
      <w:bookmarkStart w:id="25" w:name="_Toc51339693"/>
      <w:r/>
      <w:bookmarkStart w:id="26" w:name="_Toc54643702"/>
      <w:r>
        <w:rPr>
          <w:b/>
          <w:bCs/>
          <w:iCs/>
          <w:sz w:val="24"/>
          <w:szCs w:val="24"/>
          <w:lang w:val="ru-RU"/>
        </w:rPr>
        <w:t xml:space="preserve">Требования</w:t>
      </w:r>
      <w:r>
        <w:rPr>
          <w:b/>
          <w:bCs/>
          <w:iCs/>
          <w:sz w:val="24"/>
          <w:szCs w:val="24"/>
        </w:rPr>
        <w:t xml:space="preserve"> к продукции</w:t>
      </w:r>
      <w:bookmarkEnd w:id="24"/>
      <w:r/>
      <w:bookmarkEnd w:id="25"/>
      <w:r/>
      <w:bookmarkEnd w:id="26"/>
      <w:r/>
      <w:r>
        <w:rPr>
          <w:b/>
          <w:bCs/>
        </w:rPr>
      </w:r>
    </w:p>
    <w:p>
      <w:pPr>
        <w:pStyle w:val="740"/>
        <w:pBdr/>
        <w:spacing/>
        <w:ind/>
        <w:jc w:val="both"/>
        <w:rPr>
          <w:b/>
          <w:bCs/>
        </w:rPr>
      </w:pPr>
      <w:r>
        <w:rPr>
          <w:b/>
          <w:bCs/>
          <w:i w:val="0"/>
          <w:iCs w:val="0"/>
          <w:color w:val="auto"/>
        </w:rPr>
        <w:t xml:space="preserve">2.1. </w:t>
      </w:r>
      <w:bookmarkStart w:id="27" w:name="_Toc142564685"/>
      <w:r/>
      <w:bookmarkStart w:id="28" w:name="_Toc54643703"/>
      <w:r>
        <w:rPr>
          <w:b/>
          <w:bCs/>
          <w:i w:val="0"/>
          <w:iCs w:val="0"/>
          <w:color w:val="auto"/>
        </w:rPr>
        <w:t xml:space="preserve">Требования к объемам и срокам </w:t>
      </w:r>
      <w:r>
        <w:rPr>
          <w:b/>
          <w:bCs/>
          <w:i w:val="0"/>
          <w:iCs w:val="0"/>
          <w:color w:val="auto"/>
          <w:lang w:val="ru-RU"/>
        </w:rPr>
        <w:t xml:space="preserve">оказания услуг</w:t>
      </w:r>
      <w:bookmarkEnd w:id="27"/>
      <w:r/>
      <w:bookmarkEnd w:id="28"/>
      <w:r/>
      <w:r>
        <w:rPr>
          <w:b/>
          <w:bCs/>
        </w:rPr>
      </w:r>
    </w:p>
    <w:p>
      <w:pPr>
        <w:pStyle w:val="740"/>
        <w:pBdr/>
        <w:spacing/>
        <w:ind/>
        <w:jc w:val="both"/>
        <w:rPr/>
      </w:pPr>
      <w:r>
        <w:rPr>
          <w:b/>
          <w:bCs/>
          <w:i w:val="0"/>
          <w:iCs w:val="0"/>
          <w:color w:val="auto"/>
          <w:lang w:val="ru-RU"/>
        </w:rPr>
        <w:t xml:space="preserve">2.1.1. </w:t>
      </w:r>
      <w:bookmarkStart w:id="29" w:name="_Toc54643704"/>
      <w:r/>
      <w:bookmarkStart w:id="30" w:name="_Toc142564686"/>
      <w:r>
        <w:rPr>
          <w:b/>
          <w:bCs/>
          <w:i w:val="0"/>
          <w:iCs w:val="0"/>
          <w:color w:val="auto"/>
          <w:lang w:val="ru-RU"/>
        </w:rPr>
        <w:t xml:space="preserve">Требования к перечню и объему услуг</w:t>
      </w:r>
      <w:bookmarkEnd w:id="29"/>
      <w:r/>
      <w:bookmarkEnd w:id="30"/>
      <w:r/>
      <w:r/>
    </w:p>
    <w:p>
      <w:pPr>
        <w:pStyle w:val="740"/>
        <w:pBdr/>
        <w:spacing/>
        <w:ind/>
        <w:jc w:val="both"/>
        <w:rPr>
          <w:b/>
          <w:bCs/>
        </w:rPr>
      </w:pPr>
      <w:r/>
      <w:bookmarkStart w:id="31" w:name="_Toc142564687"/>
      <w:r/>
      <w:bookmarkStart w:id="32" w:name="_Toc54643705"/>
      <w:r/>
      <w:bookmarkStart w:id="33" w:name="_Toc51339695"/>
      <w:r>
        <w:rPr>
          <w:b/>
          <w:bCs/>
          <w:sz w:val="24"/>
          <w:szCs w:val="24"/>
        </w:rPr>
        <w:t xml:space="preserve">Таблица 2. Перечень </w:t>
      </w:r>
      <w:bookmarkEnd w:id="33"/>
      <w:r>
        <w:rPr>
          <w:b/>
          <w:bCs/>
          <w:sz w:val="24"/>
          <w:szCs w:val="24"/>
        </w:rPr>
        <w:t xml:space="preserve">и объем оказываемых услуг</w:t>
      </w:r>
      <w:bookmarkEnd w:id="31"/>
      <w:r/>
      <w:bookmarkEnd w:id="32"/>
      <w:r/>
      <w:r>
        <w:rPr>
          <w:b/>
          <w:bCs/>
        </w:rPr>
      </w:r>
    </w:p>
    <w:p>
      <w:pPr>
        <w:pStyle w:val="740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750" w:type="dxa"/>
        <w:tblInd w:w="109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850"/>
        <w:gridCol w:w="889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</w:p>
          <w:p>
            <w:pPr>
              <w:pStyle w:val="740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vAlign w:val="center"/>
            <w:textDirection w:val="lrTb"/>
            <w:noWrap w:val="false"/>
          </w:tcPr>
          <w:p>
            <w:pPr>
              <w:pStyle w:val="740"/>
              <w:keepNext w:val="true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 / этапа услуг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 w:right="-116" w:hanging="2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и объем экспертного технического диагностирования резервуаров включает в себя: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1.1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технической документации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-105"/>
              <w:jc w:val="center"/>
              <w:rPr>
                <w:b/>
              </w:rPr>
            </w:pPr>
            <w:r>
              <w:rPr>
                <w:b/>
              </w:rPr>
              <w:t xml:space="preserve">1.2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Визуальный и измерительный контроль (ВИК) основного металла и сварных соединений элементов металлоконструкций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1.3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Визуальный и измерительный контроль состояния элементов кровли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1.4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Нивелирование наружных контуров днищ, нивелирование днищ внутри резервуаров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1.5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Измерение геометрической формы элементов резервуаров: отклонение образующих стенок от вертикали на уровне верха каждого пояса, местных отклонений от проектной формы (вмятин, выпучен) и угловатости в зонах монтажных сварных соединений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-105"/>
              <w:jc w:val="center"/>
              <w:rPr>
                <w:b/>
              </w:rPr>
            </w:pPr>
            <w:r>
              <w:rPr>
                <w:b/>
              </w:rPr>
              <w:t xml:space="preserve">1.6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Замер вертикального смещения осадочных марок резервуаров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-105"/>
              <w:jc w:val="center"/>
              <w:rPr>
                <w:b/>
              </w:rPr>
            </w:pPr>
            <w:r>
              <w:rPr>
                <w:b/>
              </w:rPr>
              <w:t xml:space="preserve">1.7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состояния антикоррозионной защиты снаружи резервуаров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1.8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герметичности сварных соединений резервуаров на ремонтных участках и по результатам ВИК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-105"/>
              <w:jc w:val="center"/>
              <w:rPr>
                <w:b/>
              </w:rPr>
            </w:pPr>
            <w:r>
              <w:rPr>
                <w:b/>
              </w:rPr>
              <w:t xml:space="preserve">1.9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состояния основания и отмостки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1.10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состояния вспомогательных элементов, обеспечивающих безопасную эксплуатацию резервуаров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-105"/>
              <w:jc w:val="center"/>
              <w:rPr>
                <w:b/>
              </w:rPr>
            </w:pPr>
            <w:r>
              <w:rPr>
                <w:b/>
              </w:rPr>
              <w:t xml:space="preserve">1.11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состояния лестниц, площадок, переходов, ограждений, обеспечивающих безопасность работы обслуживающего персонала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-105"/>
              <w:jc w:val="center"/>
              <w:rPr>
                <w:b/>
              </w:rPr>
            </w:pPr>
            <w:r>
              <w:rPr>
                <w:b/>
              </w:rPr>
              <w:t xml:space="preserve">1.12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состояния патрубков, запорной арматуры и трубопроводов обвязки резервуаров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1.13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Измерение толщин листов поясов стенки, кровли, днищ резервуаров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-105"/>
              <w:jc w:val="center"/>
              <w:rPr>
                <w:b/>
              </w:rPr>
            </w:pPr>
            <w:r>
              <w:rPr>
                <w:b/>
              </w:rPr>
              <w:t xml:space="preserve">1.14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сварных соединений неразрушающими методами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-105"/>
              <w:jc w:val="center"/>
              <w:rPr>
                <w:b/>
              </w:rPr>
            </w:pPr>
            <w:r>
              <w:rPr>
                <w:b/>
              </w:rPr>
              <w:t xml:space="preserve">1.15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Поверочные расчеты стенок резервуаров на прочность и устойчивость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1.16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 остаточного ресурса безопасной эксплуатации (срока службы) резервуаров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720"/>
              <w:jc w:val="center"/>
              <w:rPr>
                <w:b/>
              </w:rPr>
            </w:pPr>
            <w:r>
              <w:rPr>
                <w:b/>
              </w:rPr>
              <w:t xml:space="preserve">1.17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832"/>
              <w:widowControl w:val="false"/>
              <w:pBdr/>
              <w:shd w:val="clear" w:color="auto" w:fill="ffffff"/>
              <w:spacing w:line="269" w:lineRule="exact"/>
              <w:ind w:firstLine="0" w:left="0"/>
              <w:rPr/>
            </w:pPr>
            <w:r>
              <w:t xml:space="preserve">Анализ результатов обследования, в том числе:</w:t>
            </w:r>
            <w:r/>
          </w:p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Сравнительный анализ фактического состояния резервуаров, выявление отступлений от действующей нормативно-технической документации;</w:t>
            </w:r>
            <w:r>
              <w:rPr>
                <w:sz w:val="24"/>
                <w:szCs w:val="24"/>
              </w:rPr>
            </w:r>
          </w:p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Определение степени и причин износа конструкций, выполнение поверочных расчетов несущей способности и устойчивости поврежденных конструкций, их элементов с учетом их фактического состояния, действующих и прогнозиру</w:t>
            </w:r>
            <w:r>
              <w:rPr>
                <w:sz w:val="24"/>
                <w:szCs w:val="24"/>
              </w:rPr>
              <w:t xml:space="preserve">емых нагрузок, воздействий и фактических свойств материалов. По результатам поверочных расчетов выполнить разработку технических рекомендаций на устранение дефектов и повреждений, влияющих на несущую способность и устойчивость конструкций или их элементов;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1.18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Геодезические измерения неравномерной осадки наружного контура днища;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1.19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соответствия фундаментов емкостей и обвалования требованию нормативных документов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-105"/>
              <w:jc w:val="center"/>
              <w:rPr>
                <w:b/>
              </w:rPr>
            </w:pPr>
            <w:r>
              <w:rPr>
                <w:b/>
              </w:rPr>
              <w:t xml:space="preserve">1.20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Визуальный осмотр конструкций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-105"/>
              <w:jc w:val="center"/>
              <w:rPr>
                <w:b/>
              </w:rPr>
            </w:pPr>
            <w:r>
              <w:rPr>
                <w:b/>
              </w:rPr>
              <w:t xml:space="preserve">1.21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соответствия фундаментов емкостей и обвалования требованию нормативных документов:</w:t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widowControl w:val="false"/>
              <w:pBdr/>
              <w:tabs>
                <w:tab w:val="left" w:leader="none" w:pos="284"/>
                <w:tab w:val="clear" w:leader="none" w:pos="709"/>
              </w:tabs>
              <w:spacing/>
              <w:ind w:firstLine="0" w:left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ГОСТ 31385-2023 РЕЗЕРВУАРЫ СТАЛЬНЫЕ ВЕРТИКАЛЬНЫЕ ДЛЯ НЕФТЕПРОДУКТОВ</w:t>
            </w:r>
            <w:r>
              <w:rPr>
                <w:rFonts w:eastAsia="Times New Roman"/>
              </w:rPr>
            </w:r>
          </w:p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17032-2022 РЕЗЕРВУАРЫ СТАЛЬНЫЕ ГОРИЗОНТАЛЬНЫЕ ДЛЯ НЕФТЕПРОДУКТОВ</w:t>
            </w:r>
            <w:r>
              <w:rPr>
                <w:sz w:val="24"/>
                <w:szCs w:val="24"/>
              </w:rPr>
            </w:r>
          </w:p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 155.13130.2014 Склады нефти и нефтепродуктов. Требования пожарной безопасности" (утв. </w:t>
            </w:r>
            <w:r>
              <w:fldChar w:fldCharType="begin"/>
            </w:r>
            <w:r>
              <w:rPr>
                <w:rStyle w:val="790"/>
                <w:sz w:val="24"/>
                <w:szCs w:val="24"/>
              </w:rPr>
              <w:instrText xml:space="preserve"> HYPERLINK "https://internet.garant.ru/" \l "/document/70586964/entry/0"</w:instrText>
            </w:r>
            <w:r>
              <w:rPr>
                <w:rStyle w:val="790"/>
                <w:sz w:val="24"/>
                <w:szCs w:val="24"/>
              </w:rPr>
              <w:fldChar w:fldCharType="separate"/>
            </w:r>
            <w:r>
              <w:rPr>
                <w:rStyle w:val="790"/>
                <w:sz w:val="24"/>
                <w:szCs w:val="24"/>
              </w:rPr>
              <w:t xml:space="preserve">приказом</w:t>
            </w:r>
            <w:r>
              <w:rPr>
                <w:rStyle w:val="790"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 МЧС России от 26 декабря 2013 г. N 837)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1.22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hd w:val="clear" w:color="auto" w:fill="ffffff"/>
              <w:tabs>
                <w:tab w:val="left" w:leader="none" w:pos="0"/>
                <w:tab w:val="left" w:leader="none" w:pos="691"/>
                <w:tab w:val="clear" w:leader="none" w:pos="709"/>
              </w:tabs>
              <w:spacing w:after="0" w:before="10" w:line="269" w:lineRule="exact"/>
              <w:ind w:right="134" w:firstLine="0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Расчетно-аналитические    процедуры    оценки    и    прогнозирования    технического состояния, включающего:</w:t>
            </w:r>
            <w:r>
              <w:rPr>
                <w:color w:val="ff0000"/>
                <w:sz w:val="24"/>
                <w:szCs w:val="24"/>
              </w:rPr>
            </w:r>
          </w:p>
          <w:p>
            <w:pPr>
              <w:pStyle w:val="740"/>
              <w:widowControl w:val="false"/>
              <w:numPr>
                <w:ilvl w:val="0"/>
                <w:numId w:val="4"/>
              </w:numPr>
              <w:pBdr/>
              <w:shd w:val="clear" w:color="auto" w:fill="ffffff"/>
              <w:tabs>
                <w:tab w:val="left" w:leader="none" w:pos="691"/>
                <w:tab w:val="clear" w:leader="none" w:pos="709"/>
              </w:tabs>
              <w:spacing w:after="0" w:before="1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 режимов работы;</w:t>
            </w:r>
            <w:r>
              <w:rPr>
                <w:sz w:val="24"/>
                <w:szCs w:val="24"/>
              </w:rPr>
            </w:r>
          </w:p>
          <w:p>
            <w:pPr>
              <w:pStyle w:val="740"/>
              <w:widowControl w:val="false"/>
              <w:numPr>
                <w:ilvl w:val="0"/>
                <w:numId w:val="4"/>
              </w:numPr>
              <w:pBdr/>
              <w:shd w:val="clear" w:color="auto" w:fill="ffffff"/>
              <w:tabs>
                <w:tab w:val="left" w:leader="none" w:pos="691"/>
                <w:tab w:val="clear" w:leader="none" w:pos="709"/>
              </w:tabs>
              <w:spacing w:after="0" w:before="19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установление критериев предельного состояния;</w:t>
            </w:r>
            <w:r>
              <w:rPr>
                <w:sz w:val="24"/>
                <w:szCs w:val="24"/>
              </w:rPr>
            </w:r>
          </w:p>
          <w:p>
            <w:pPr>
              <w:pStyle w:val="740"/>
              <w:widowControl w:val="false"/>
              <w:numPr>
                <w:ilvl w:val="0"/>
                <w:numId w:val="4"/>
              </w:numPr>
              <w:pBdr/>
              <w:shd w:val="clear" w:color="auto" w:fill="ffffff"/>
              <w:tabs>
                <w:tab w:val="left" w:leader="none" w:pos="691"/>
                <w:tab w:val="clear" w:leader="none" w:pos="709"/>
              </w:tabs>
              <w:spacing w:after="0" w:before="10" w:line="269" w:lineRule="exact"/>
              <w:ind w:right="144" w:firstLine="0" w:left="14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напряженно-деформированного состояния и выбор критериев предельных состояний;</w:t>
            </w:r>
            <w:r>
              <w:rPr>
                <w:sz w:val="24"/>
                <w:szCs w:val="24"/>
              </w:rPr>
            </w:r>
          </w:p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остаточного срока эксплуатации (до прогнозируемого наступления предельного состояния).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tabs>
                <w:tab w:val="left" w:leader="none" w:pos="360"/>
                <w:tab w:val="clear" w:leader="none" w:pos="709"/>
              </w:tabs>
              <w:spacing/>
              <w:ind w:right="-116" w:firstLine="0" w:left="-105"/>
              <w:jc w:val="center"/>
              <w:rPr>
                <w:b/>
              </w:rPr>
            </w:pPr>
            <w:r>
              <w:rPr>
                <w:b/>
              </w:rPr>
              <w:t xml:space="preserve">1.23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Установление назначенного срока дальнейшей эксплуатации и даты следующего технического диагностирования.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Содержание и объем экспертного технического диагностирования технических устройств (трубопроводы, насосы, арматура трубопроводов нефтепродуктов) включают в себя: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2.1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технической документации;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2.2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Визуальный и измерительный контроль (ВИК) основного металла и сварных соединений элементов металлоконструкций;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2.3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состояния антикоррозионной защиты снаружи технических устройств (трубопроводы, насосы, арматура трубопроводов нефтепродуктов);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2.4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герметичности сварных соединений технических устройств по результатам ВИК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2.5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Измерение толщин стенок технических устройств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2.6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сварных соединений неразрушающими методами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2.7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Измерение твердости основного металла и сварных соединений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2.8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скрытых дефектов насосов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2.9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реального состояния технических устройств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2.10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Визуальное, ин</w:t>
            </w:r>
            <w:r>
              <w:rPr>
                <w:sz w:val="24"/>
                <w:szCs w:val="24"/>
              </w:rPr>
              <w:t xml:space="preserve">струментальное и неразрушающее диагностическое исследование насосного оборудования (в том числе измерения и дефектоскопия), позволяющее выявить эксплуатационные протечки и нарушение в системе электробезопасности насосного и маслоочистительного оборудования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2.11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Расчет остаточного ресурса безопасной эксплуатации (срока службы) технических устройств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2.12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832"/>
              <w:widowControl w:val="false"/>
              <w:pBdr/>
              <w:shd w:val="clear" w:color="auto" w:fill="ffffff"/>
              <w:spacing w:line="269" w:lineRule="exact"/>
              <w:ind w:firstLine="0" w:left="0"/>
              <w:rPr/>
            </w:pPr>
            <w:r>
              <w:t xml:space="preserve">Анализ результатов обследования, в том числе:</w:t>
            </w:r>
            <w:r/>
          </w:p>
          <w:p>
            <w:pPr>
              <w:pStyle w:val="832"/>
              <w:widowControl w:val="false"/>
              <w:pBdr/>
              <w:shd w:val="clear" w:color="auto" w:fill="ffffff"/>
              <w:spacing w:line="269" w:lineRule="exact"/>
              <w:ind w:firstLine="0" w:left="0"/>
              <w:rPr/>
            </w:pPr>
            <w:r>
              <w:t xml:space="preserve">- Сравнительный анализ фактического состояния технических устройств, выявление отступлений от действующей нормативно-технической документации;</w:t>
            </w:r>
            <w:r/>
          </w:p>
          <w:p>
            <w:pPr>
              <w:pStyle w:val="832"/>
              <w:widowControl w:val="false"/>
              <w:pBdr/>
              <w:shd w:val="clear" w:color="auto" w:fill="ffffff"/>
              <w:spacing w:line="269" w:lineRule="exact"/>
              <w:ind w:firstLine="0" w:left="0"/>
              <w:rPr/>
            </w:pPr>
            <w:r>
              <w:t xml:space="preserve">- Определение степени и причин износа конструкций, выполнение поверочных расчетов несущей способности и устойчивости поврежденных конструкций, их элементов с учетом их фактического состояния, действующих и п</w:t>
            </w:r>
            <w:r>
              <w:t xml:space="preserve">рогнозируемых нагрузок, воздействий и фактических свойств материалов. По результатам поверочных расчетов – разработка технических рекомендаций на устранение дефектов и повреждений, влияющих на несущую способность и устойчивость конструкций или их элементов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2.13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 w:firstLine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Установление назначенного срока дальнейшей эксплуатации и даты следующего технического диагностирования, экспертизы промышленной безопасности.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ситуационного плана расположения объектов. (на каждый склад ГСМ с указанием размеров до объекта, размер объекта, размер площадки резервуарного парка)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hd w:val="clear" w:color="auto" w:fill="ffffff"/>
              <w:tabs>
                <w:tab w:val="left" w:leader="none" w:pos="0"/>
                <w:tab w:val="left" w:leader="none" w:pos="691"/>
                <w:tab w:val="clear" w:leader="none" w:pos="709"/>
              </w:tabs>
              <w:spacing w:after="0" w:before="10" w:line="269" w:lineRule="exact"/>
              <w:ind w:right="1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технологической схемы Склада ГСМ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5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hd w:val="clear" w:color="auto" w:fill="ffffff"/>
              <w:tabs>
                <w:tab w:val="left" w:leader="none" w:pos="0"/>
                <w:tab w:val="left" w:leader="none" w:pos="691"/>
                <w:tab w:val="clear" w:leader="none" w:pos="709"/>
              </w:tabs>
              <w:spacing w:after="0" w:before="10" w:line="269" w:lineRule="exact"/>
              <w:ind w:right="1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рекомендаций по оснащению резервуаров приборами и системами контроля, управления, сигнализации и противоаварийной автоматической защиты технологических процессов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hd w:val="clear" w:color="auto" w:fill="ffffff"/>
              <w:tabs>
                <w:tab w:val="left" w:leader="none" w:pos="0"/>
                <w:tab w:val="left" w:leader="none" w:pos="691"/>
                <w:tab w:val="clear" w:leader="none" w:pos="709"/>
              </w:tabs>
              <w:spacing w:after="0" w:before="10" w:line="269" w:lineRule="exact"/>
              <w:ind w:right="1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предо</w:t>
            </w:r>
            <w:r>
              <w:rPr>
                <w:sz w:val="24"/>
                <w:szCs w:val="24"/>
              </w:rPr>
              <w:t xml:space="preserve">ставление Акта готовности резервуара к обследованию, подписанные экспертами, участвовавшими в проведении обследования, и представителями заказчика, находящихся непосредственно на объекте (мастера, начальники ДЭС). Акт выдается на каждый склад ГСМ отдельно.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/>
              <w:ind w:right="-116" w:firstLine="0" w:left="0"/>
              <w:jc w:val="center"/>
              <w:rPr>
                <w:b/>
              </w:rPr>
            </w:pPr>
            <w:r>
              <w:rPr>
                <w:b/>
              </w:rPr>
              <w:t xml:space="preserve">7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9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hd w:val="clear" w:color="auto" w:fill="ffffff"/>
              <w:tabs>
                <w:tab w:val="left" w:leader="none" w:pos="0"/>
                <w:tab w:val="left" w:leader="none" w:pos="691"/>
                <w:tab w:val="clear" w:leader="none" w:pos="709"/>
              </w:tabs>
              <w:spacing w:after="0" w:before="10" w:line="269" w:lineRule="exact"/>
              <w:ind w:right="1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Выдач</w:t>
            </w:r>
            <w:r>
              <w:rPr>
                <w:sz w:val="24"/>
                <w:szCs w:val="24"/>
              </w:rPr>
              <w:t xml:space="preserve">а заключений, подписанные руководителем организации, проводившей обследование и экспертами, участвовавшими в проведении обследования, заверенное печатью экспертной организации и прошитое с указанием листов. Заключение выдается на каждый склад ГСМ отдельно.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43"/>
        <w:keepNext w:val="true"/>
        <w:keepLines w:val="true"/>
        <w:widowControl w:val="true"/>
        <w:numPr>
          <w:ilvl w:val="0"/>
          <w:numId w:val="0"/>
        </w:numPr>
        <w:pBdr/>
        <w:bidi w:val="false"/>
        <w:spacing w:after="0" w:before="200"/>
        <w:ind w:right="0" w:firstLine="0" w:left="454"/>
        <w:jc w:val="left"/>
        <w:rPr>
          <w:color w:val="auto"/>
          <w:highlight w:val="none"/>
          <w:lang w:val="ru-RU"/>
        </w:rPr>
      </w:pPr>
      <w:r>
        <w:rPr>
          <w:color w:val="auto"/>
          <w:lang w:val="ru-RU"/>
        </w:rPr>
      </w:r>
      <w:r>
        <w:rPr>
          <w:color w:val="auto"/>
          <w:highlight w:val="none"/>
          <w:lang w:val="ru-RU"/>
        </w:rPr>
      </w:r>
    </w:p>
    <w:p>
      <w:pPr>
        <w:pStyle w:val="743"/>
        <w:widowControl w:val="true"/>
        <w:numPr>
          <w:ilvl w:val="0"/>
          <w:numId w:val="0"/>
        </w:numPr>
        <w:pBdr/>
        <w:bidi w:val="false"/>
        <w:spacing w:after="0" w:before="200"/>
        <w:ind w:right="0" w:firstLine="0" w:left="454"/>
        <w:jc w:val="left"/>
        <w:rPr>
          <w:color w:val="auto"/>
          <w:highlight w:val="none"/>
          <w:lang w:val="ru-RU"/>
        </w:rPr>
      </w:pPr>
      <w:r>
        <w:rPr>
          <w:color w:val="auto"/>
          <w:lang w:val="ru-RU"/>
        </w:rPr>
        <w:t xml:space="preserve">2.1.2. </w:t>
      </w:r>
      <w:bookmarkStart w:id="34" w:name="_Toc142564688"/>
      <w:r/>
      <w:bookmarkStart w:id="35" w:name="_Toc54643706"/>
      <w:r/>
      <w:bookmarkStart w:id="36" w:name="_Toc51339696"/>
      <w:r>
        <w:rPr>
          <w:color w:val="auto"/>
          <w:lang w:val="ru-RU"/>
        </w:rPr>
        <w:t xml:space="preserve">Требования </w:t>
      </w:r>
      <w:bookmarkEnd w:id="36"/>
      <w:r>
        <w:rPr>
          <w:color w:val="auto"/>
          <w:lang w:val="ru-RU"/>
        </w:rPr>
        <w:t xml:space="preserve">к срокам оказания услуг</w:t>
      </w:r>
      <w:r>
        <w:rPr>
          <w:color w:val="auto"/>
          <w:highlight w:val="none"/>
          <w:lang w:val="ru-RU"/>
        </w:rPr>
      </w:r>
    </w:p>
    <w:p>
      <w:pPr>
        <w:pStyle w:val="743"/>
        <w:keepNext w:val="true"/>
        <w:keepLines w:val="true"/>
        <w:widowControl w:val="true"/>
        <w:numPr>
          <w:ilvl w:val="0"/>
          <w:numId w:val="0"/>
        </w:numPr>
        <w:pBdr/>
        <w:bidi w:val="false"/>
        <w:spacing w:after="0" w:before="200"/>
        <w:ind w:right="0" w:firstLine="0" w:left="454"/>
        <w:jc w:val="left"/>
        <w:rPr>
          <w:color w:val="auto"/>
          <w:highlight w:val="none"/>
        </w:rPr>
      </w:pPr>
      <w:r/>
      <w:bookmarkStart w:id="37" w:name="_Toc54643707"/>
      <w:r/>
      <w:bookmarkStart w:id="38" w:name="_Toc142564689"/>
      <w:r/>
      <w:bookmarkStart w:id="39" w:name="_Toc51339697"/>
      <w:r/>
      <w:bookmarkStart w:id="40" w:name="_Toc50125127"/>
      <w:r/>
      <w:bookmarkStart w:id="41" w:name="_Toc501251261"/>
      <w:r/>
      <w:bookmarkEnd w:id="34"/>
      <w:r/>
      <w:bookmarkEnd w:id="35"/>
      <w:r/>
      <w:bookmarkEnd w:id="41"/>
      <w:r>
        <w:rPr>
          <w:color w:val="auto"/>
          <w:sz w:val="24"/>
          <w:szCs w:val="24"/>
        </w:rPr>
        <w:t xml:space="preserve">Таблица 3. </w:t>
      </w:r>
      <w:bookmarkStart w:id="42" w:name="_Hlk50465284"/>
      <w:r>
        <w:rPr>
          <w:color w:val="auto"/>
          <w:sz w:val="24"/>
          <w:szCs w:val="24"/>
        </w:rPr>
        <w:t xml:space="preserve">Требования к срокам </w:t>
      </w:r>
      <w:bookmarkEnd w:id="39"/>
      <w:r/>
      <w:bookmarkEnd w:id="40"/>
      <w:r/>
      <w:bookmarkEnd w:id="42"/>
      <w:r>
        <w:rPr>
          <w:color w:val="auto"/>
          <w:sz w:val="24"/>
          <w:szCs w:val="24"/>
        </w:rPr>
        <w:t xml:space="preserve">оказания услуг</w:t>
      </w:r>
      <w:bookmarkEnd w:id="37"/>
      <w:r/>
      <w:bookmarkEnd w:id="38"/>
      <w:r/>
      <w:r>
        <w:rPr>
          <w:color w:val="auto"/>
          <w:highlight w:val="none"/>
        </w:rPr>
      </w:r>
    </w:p>
    <w:p>
      <w:pPr>
        <w:pStyle w:val="740"/>
        <w:pBdr/>
        <w:spacing/>
        <w:ind/>
        <w:rPr/>
      </w:pPr>
      <w:r/>
      <w:r/>
    </w:p>
    <w:tbl>
      <w:tblPr>
        <w:tblW w:w="10029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2"/>
        <w:gridCol w:w="3686"/>
        <w:gridCol w:w="2554"/>
        <w:gridCol w:w="3256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услуг/ этапа услуг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оказания услуг/ этапа услуг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6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услуг / этапа услуг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4" w:type="dxa"/>
            <w:textDirection w:val="lrTb"/>
            <w:noWrap w:val="false"/>
          </w:tcPr>
          <w:p>
            <w:pPr>
              <w:pStyle w:val="853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6" w:type="dxa"/>
            <w:textDirection w:val="lrTb"/>
            <w:noWrap w:val="false"/>
          </w:tcPr>
          <w:p>
            <w:pPr>
              <w:pStyle w:val="853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2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/>
              <w:ind w:firstLine="0" w:left="0"/>
              <w:jc w:val="left"/>
              <w:rPr/>
            </w:pPr>
            <w:r>
              <w:t xml:space="preserve">  </w:t>
            </w: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6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120" w:before="120"/>
              <w:ind/>
              <w:rPr>
                <w:b/>
                <w:bCs/>
                <w:i/>
                <w:sz w:val="24"/>
                <w:szCs w:val="24"/>
                <w:shd w:val="clear" w:color="auto" w:fill="ffff99"/>
              </w:rPr>
            </w:pPr>
            <w:r>
              <w:rPr>
                <w:rFonts w:eastAsia="Calibri"/>
                <w:sz w:val="24"/>
                <w:szCs w:val="24"/>
              </w:rPr>
              <w:t xml:space="preserve">Техническое освидетельствование (диагностирование) складов горюче-смазочных материалов АО "Сахаэнерго"</w:t>
            </w:r>
            <w:r>
              <w:rPr>
                <w:b/>
                <w:bCs/>
                <w:i/>
                <w:sz w:val="24"/>
                <w:szCs w:val="24"/>
                <w:shd w:val="clear" w:color="auto" w:fill="ffff99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4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даты заключения договора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56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30.11.2027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rPr/>
        <w:sectPr>
          <w:headerReference w:type="default" r:id="rId9"/>
          <w:headerReference w:type="first" r:id="rId10"/>
          <w:footerReference w:type="default" r:id="rId13"/>
          <w:footnotePr/>
          <w:endnotePr/>
          <w:type w:val="nextPage"/>
          <w:pgSz w:h="16838" w:orient="portrait" w:w="11906"/>
          <w:pgMar w:top="1134" w:right="851" w:bottom="1134" w:left="1418" w:header="709" w:footer="709" w:gutter="0"/>
          <w:cols w:num="1" w:sep="0" w:space="1701" w:equalWidth="1"/>
          <w:titlePg/>
        </w:sectPr>
      </w:pPr>
      <w:r/>
      <w:r/>
    </w:p>
    <w:p>
      <w:pPr>
        <w:pStyle w:val="744"/>
        <w:numPr>
          <w:ilvl w:val="0"/>
          <w:numId w:val="0"/>
        </w:numPr>
        <w:pBdr/>
        <w:spacing/>
        <w:ind w:firstLine="0" w:left="1000"/>
        <w:rPr>
          <w:color w:val="auto"/>
        </w:rPr>
      </w:pPr>
      <w:r>
        <w:rPr>
          <w:color w:val="auto"/>
        </w:rPr>
        <w:t xml:space="preserve">2.2. </w:t>
      </w:r>
      <w:bookmarkStart w:id="43" w:name="_Toc54643709"/>
      <w:r/>
      <w:bookmarkStart w:id="44" w:name="_Toc51339698"/>
      <w:r/>
      <w:bookmarkStart w:id="45" w:name="_Toc142564690"/>
      <w:r/>
      <w:bookmarkStart w:id="46" w:name="_Toc54643708"/>
      <w:r/>
      <w:bookmarkStart w:id="47" w:name="_Toc46743511"/>
      <w:r>
        <w:rPr>
          <w:color w:val="auto"/>
        </w:rPr>
        <w:t xml:space="preserve">Требования к </w:t>
      </w:r>
      <w:bookmarkEnd w:id="47"/>
      <w:r>
        <w:rPr>
          <w:color w:val="auto"/>
          <w:lang w:val="ru-RU"/>
        </w:rPr>
        <w:t xml:space="preserve">качеству услуг</w:t>
      </w:r>
      <w:bookmarkEnd w:id="45"/>
      <w:r/>
      <w:bookmarkEnd w:id="46"/>
      <w:r/>
      <w:r>
        <w:rPr>
          <w:color w:val="auto"/>
        </w:rPr>
      </w:r>
    </w:p>
    <w:p>
      <w:pPr>
        <w:pStyle w:val="744"/>
        <w:numPr>
          <w:ilvl w:val="0"/>
          <w:numId w:val="0"/>
        </w:numPr>
        <w:pBdr/>
        <w:spacing/>
        <w:ind w:firstLine="0" w:left="1000"/>
        <w:rPr>
          <w:color w:val="auto"/>
        </w:rPr>
      </w:pPr>
      <w:r/>
      <w:bookmarkStart w:id="49" w:name="_Toc142564691"/>
      <w:r>
        <w:rPr>
          <w:color w:val="auto"/>
          <w:sz w:val="24"/>
          <w:szCs w:val="24"/>
        </w:rPr>
        <w:t xml:space="preserve">Таблица </w:t>
      </w:r>
      <w:r>
        <w:rPr>
          <w:color w:val="auto"/>
          <w:sz w:val="24"/>
          <w:szCs w:val="24"/>
          <w:lang w:val="ru-RU"/>
        </w:rPr>
        <w:t xml:space="preserve">4</w:t>
      </w:r>
      <w:r>
        <w:rPr>
          <w:color w:val="auto"/>
          <w:sz w:val="24"/>
          <w:szCs w:val="24"/>
        </w:rPr>
        <w:t xml:space="preserve">. Требования к </w:t>
      </w:r>
      <w:r>
        <w:rPr>
          <w:color w:val="auto"/>
          <w:sz w:val="24"/>
          <w:szCs w:val="24"/>
          <w:lang w:val="ru-RU"/>
        </w:rPr>
        <w:t xml:space="preserve">качеству услуг</w:t>
      </w:r>
      <w:r/>
      <w:bookmarkEnd w:id="49"/>
      <w:r>
        <w:rPr>
          <w:color w:val="auto"/>
          <w:sz w:val="24"/>
          <w:szCs w:val="24"/>
        </w:rPr>
        <w:t xml:space="preserve"> </w:t>
      </w:r>
      <w:r>
        <w:rPr>
          <w:b/>
          <w:bCs/>
          <w:color w:val="auto"/>
          <w:sz w:val="24"/>
          <w:szCs w:val="24"/>
        </w:rPr>
        <w:t xml:space="preserve">Наименование услуг/этапа услуг </w:t>
      </w:r>
      <w:r>
        <w:rPr>
          <w:rFonts w:eastAsia="Calibri"/>
          <w:b/>
          <w:color w:val="auto"/>
          <w:sz w:val="24"/>
          <w:szCs w:val="24"/>
        </w:rPr>
        <w:t xml:space="preserve">Техническое освидетельствование (диагностирование) складов горюче-смазочных материалов АО "Сахаэнерго"</w:t>
      </w:r>
      <w:r>
        <w:rPr>
          <w:color w:val="auto"/>
        </w:rPr>
      </w:r>
      <w:r>
        <w:rPr>
          <w:color w:val="auto"/>
        </w:rPr>
      </w:r>
      <w:r/>
      <w:r/>
      <w:r>
        <w:rPr>
          <w:color w:val="auto"/>
        </w:rPr>
      </w:r>
    </w:p>
    <w:tbl>
      <w:tblPr>
        <w:tblpPr w:horzAnchor="page" w:tblpX="1208" w:vertAnchor="page" w:tblpY="3478" w:leftFromText="180" w:topFromText="0" w:rightFromText="180" w:bottomFromText="0"/>
        <w:tblW w:w="14757" w:type="dxa"/>
        <w:tblInd w:w="108" w:type="dxa"/>
        <w:tblBorders/>
        <w:tblLayout w:type="fixed"/>
        <w:tblCellMar>
          <w:left w:w="108" w:type="dxa"/>
          <w:top w:w="55" w:type="dxa"/>
          <w:right w:w="108" w:type="dxa"/>
          <w:bottom w:w="55" w:type="dxa"/>
        </w:tblCellMar>
        <w:tblLook w:val="04A0" w:firstRow="1" w:lastRow="0" w:firstColumn="1" w:lastColumn="0" w:noHBand="0" w:noVBand="1"/>
      </w:tblPr>
      <w:tblGrid>
        <w:gridCol w:w="1189"/>
        <w:gridCol w:w="1554"/>
        <w:gridCol w:w="1201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/>
            <w:bookmarkStart w:id="48" w:name="OLE_LINK1_Копия_1_Копия_1"/>
            <w:r/>
            <w:bookmarkEnd w:id="48"/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п/п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4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Наименование параметра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Требование заказчика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4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 w:after="60" w:before="60"/>
              <w:ind w:firstLine="0" w:left="72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8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оказанию услуг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 w:after="60" w:before="60"/>
              <w:ind w:firstLine="0" w:left="720"/>
              <w:contextualSpacing w:val="tru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1.1</w:t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8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6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Общие требования к оказанию услуг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 w:after="60" w:before="60"/>
              <w:ind w:firstLine="0" w:left="72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1.1.1</w:t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 w:firstLine="0" w:left="38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Выдача технического заключения по результатам комплексного обследования (диагностирования) состоя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ния складов ГСМ (емкостей, фундаментов, обвалования, площадок обслуживания, технологического трубопровода, запорной арматуры, насосного оборудования) на каждый склад ГСМ отдельно. Техническое заключение на склад ГСМ должно состоять из следующих приложений:</w:t>
            </w:r>
            <w:r>
              <w:rPr>
                <w:sz w:val="24"/>
                <w:szCs w:val="24"/>
              </w:rPr>
            </w:r>
          </w:p>
          <w:p>
            <w:pPr>
              <w:pStyle w:val="832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contextualSpacing w:val="true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Технического отчета по результатам технического обследования (диагностирования) состояния на каждый резервуар, с приложением фотоматериалов каждого резервуара, выполненных с 4-х сторон;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832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contextualSpacing w:val="true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Технического отчета по результатам технического обследования (диагностирования) состояния технологического (их) трубопровода (ов) (с приложением фотоматериалов);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832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contextualSpacing w:val="true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Технического отчета по результатам технического обследования (диагностирования) состояния насосного оборудования;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832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contextualSpacing w:val="true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Технологическую схему резервуарного парка (до запорной арматуры топливо-маслоподготовки, находящейся в здании ДЭС);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832"/>
              <w:widowControl w:val="false"/>
              <w:numPr>
                <w:ilvl w:val="0"/>
                <w:numId w:val="6"/>
              </w:numPr>
              <w:pBdr/>
              <w:spacing w:after="0" w:before="0"/>
              <w:ind/>
              <w:contextualSpacing w:val="true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Ситуационной план Склада ГСМ;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740"/>
              <w:widowControl w:val="false"/>
              <w:pBdr/>
              <w:spacing w:after="0" w:before="0"/>
              <w:ind/>
              <w:jc w:val="both"/>
              <w:rPr>
                <w:rFonts w:ascii="Times New Roman" w:hAnsi="Times New Roman" w:eastAsia="Times New Roman" w:cs="Times New Roman"/>
                <w:lang w:val="ru-RU" w:eastAsia="ru-RU" w:bidi="ar-SA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Проект Заключения, в котором содержится вывод о возможности безопасной эксплуатации резервуаров, насосного оборудования, технологических трубопроводов предоставляется Исполнителем в электронном виде и подлежит рассмотрению Заказчик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ом в течение 14 дней. В случае не урегулирования разногласий по представленному проекту Заключения экспертизы промышленной безопасности Заказчик и Исполнитель организуют проведение технического совещания с привлечением независимых компетентных специалистов</w:t>
            </w:r>
            <w:r>
              <w:rPr>
                <w:rFonts w:ascii="Times New Roman" w:hAnsi="Times New Roman" w:eastAsia="Times New Roman" w:cs="Times New Roman"/>
                <w:lang w:val="ru-RU" w:eastAsia="ru-RU" w:bidi="ar-SA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0"/>
              <w:contextualSpacing w:val="true"/>
              <w:jc w:val="center"/>
              <w:rPr/>
            </w:pPr>
            <w:r>
              <w:t xml:space="preserve">1.1.2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100" w:lineRule="atLeast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Результат оказание услуг должен соответствовать: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740"/>
              <w:widowControl w:val="false"/>
              <w:pBdr/>
              <w:tabs>
                <w:tab w:val="left" w:leader="none" w:pos="459"/>
                <w:tab w:val="clear" w:leader="none" w:pos="709"/>
              </w:tabs>
              <w:spacing w:after="0" w:before="0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Настоящим техническим требованиям,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 перечню и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 объемам Услуги, являющейся неотъемлемой частью настоящих технических требований (Таблица №2), и условиям договора;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60" w:before="6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1.1.3.</w:t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100" w:lineRule="atLeast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Качество оказание услуг Исполнителем должно соответствовать требованиям, предъявляемым к работам соответствующего рода, если иное не предусмотрено законом, иными правовыми актами или договором подряда.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60" w:before="6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100" w:lineRule="atLeast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должен провести диагностирование с выездом на объект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60" w:before="6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1.1.4.</w:t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обязан безвозмездно исправить по требованию Заказчика все выявленные недостатки ухудшившее качество оказание услуги в согласованные сроки.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1.1.5.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bCs/>
                <w:sz w:val="24"/>
                <w:szCs w:val="24"/>
                <w:lang w:val="ru-RU" w:eastAsia="hi-IN" w:bidi="hi-IN"/>
              </w:rPr>
              <w:t xml:space="preserve">Документацию представить: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740"/>
              <w:widowControl w:val="false"/>
              <w:numPr>
                <w:ilvl w:val="0"/>
                <w:numId w:val="7"/>
              </w:numPr>
              <w:pBdr/>
              <w:spacing w:after="0" w:before="0"/>
              <w:ind w:firstLine="0" w:left="0"/>
              <w:jc w:val="left"/>
              <w:rPr>
                <w:rFonts w:eastAsia="Lucida Sans Unicode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bCs/>
                <w:sz w:val="24"/>
                <w:szCs w:val="24"/>
                <w:lang w:val="ru-RU" w:eastAsia="hi-IN" w:bidi="hi-IN"/>
              </w:rPr>
              <w:t xml:space="preserve">В 1 экземпляре на бумажных носителях и 1 экземпляре на CD в электронном виде (текстовые файлы в формате WORD, табличные материалы в формате EXCEL).</w:t>
            </w:r>
            <w:r>
              <w:rPr>
                <w:rFonts w:eastAsia="Lucida Sans Unicode"/>
                <w:bCs/>
                <w:sz w:val="24"/>
                <w:szCs w:val="24"/>
                <w:lang w:eastAsia="hi-IN" w:bidi="hi-IN"/>
              </w:rPr>
            </w:r>
          </w:p>
          <w:p>
            <w:pPr>
              <w:pStyle w:val="832"/>
              <w:widowControl w:val="false"/>
              <w:numPr>
                <w:ilvl w:val="0"/>
                <w:numId w:val="7"/>
              </w:numPr>
              <w:pBdr/>
              <w:spacing w:after="0" w:before="0"/>
              <w:ind w:firstLine="360" w:left="0"/>
              <w:contextualSpacing w:val="true"/>
              <w:jc w:val="left"/>
              <w:rPr>
                <w:rFonts w:eastAsia="Lucida Sans Unicode"/>
                <w:lang w:eastAsia="hi-IN" w:bidi="hi-IN"/>
              </w:rPr>
            </w:pPr>
            <w:r>
              <w:rPr>
                <w:rFonts w:eastAsia="Lucida Sans Unicode" w:cs="Times New Roman"/>
                <w:bCs/>
                <w:lang w:val="ru-RU" w:eastAsia="hi-IN" w:bidi="hi-IN"/>
              </w:rPr>
              <w:t xml:space="preserve">Структура и содержание электронной версии документации должны соответствовать бумажному оригиналу.</w:t>
            </w:r>
            <w:r>
              <w:rPr>
                <w:rFonts w:eastAsia="Lucida Sans Unicode"/>
                <w:lang w:eastAsia="hi-IN" w:bidi="hi-IN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1.2</w:t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8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оказанию услуг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tabs>
                <w:tab w:val="left" w:leader="none" w:pos="0"/>
                <w:tab w:val="clear" w:leader="none" w:pos="709"/>
              </w:tabs>
              <w:spacing w:after="60" w:before="60"/>
              <w:ind w:firstLine="0" w:left="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1.2.1</w:t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6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2"/>
                <w:numId w:val="5"/>
              </w:numPr>
              <w:pBdr/>
              <w:tabs>
                <w:tab w:val="left" w:leader="none" w:pos="284"/>
                <w:tab w:val="clear" w:leader="none" w:pos="709"/>
              </w:tabs>
              <w:spacing w:after="0" w:before="0"/>
              <w:ind w:firstLine="0" w:left="0"/>
              <w:contextualSpacing w:val="true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Федеральный закон №116-ФЗ от 21.07.97г. «О промышленной безопасности опасных производственных объектов» (в действующей редакции);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832"/>
              <w:widowControl w:val="false"/>
              <w:numPr>
                <w:ilvl w:val="2"/>
                <w:numId w:val="5"/>
              </w:numPr>
              <w:pBdr/>
              <w:tabs>
                <w:tab w:val="left" w:leader="none" w:pos="284"/>
                <w:tab w:val="clear" w:leader="none" w:pos="709"/>
              </w:tabs>
              <w:spacing w:after="0" w:before="0"/>
              <w:ind w:firstLine="0" w:left="0"/>
              <w:contextualSpacing w:val="true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Постановление Правительства РФ от 16.09.2020 N 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безопасности");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832"/>
              <w:widowControl w:val="false"/>
              <w:numPr>
                <w:ilvl w:val="2"/>
                <w:numId w:val="5"/>
              </w:numPr>
              <w:pBdr/>
              <w:tabs>
                <w:tab w:val="left" w:leader="none" w:pos="284"/>
                <w:tab w:val="clear" w:leader="none" w:pos="709"/>
              </w:tabs>
              <w:spacing w:after="0" w:before="0"/>
              <w:ind w:firstLine="0" w:left="0"/>
              <w:contextualSpacing w:val="true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Приказ Федеральной службы по экологическому, технологическому и атомному надзору от 20 октября 2020 г. N420 "Об утверждении федеральных норм и правил в области промышленной безопасности "Правила проведения экспертизы промышленной безопасности";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832"/>
              <w:widowControl w:val="false"/>
              <w:numPr>
                <w:ilvl w:val="2"/>
                <w:numId w:val="5"/>
              </w:numPr>
              <w:pBdr/>
              <w:tabs>
                <w:tab w:val="left" w:leader="none" w:pos="284"/>
                <w:tab w:val="clear" w:leader="none" w:pos="709"/>
              </w:tabs>
              <w:spacing w:after="0" w:before="0"/>
              <w:ind w:firstLine="0" w:left="0"/>
              <w:contextualSpacing w:val="true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Приказ Федеральной службы по экологическому, технологическому и атомному надзору от 15 декабря 2020 г. N 529 "Об утверждении федеральных норм и правил в области промышленной безопасности "Правила промышленной безопасности складов нефти и нефтепродуктов"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832"/>
              <w:widowControl w:val="false"/>
              <w:numPr>
                <w:ilvl w:val="2"/>
                <w:numId w:val="5"/>
              </w:numPr>
              <w:pBdr/>
              <w:tabs>
                <w:tab w:val="left" w:leader="none" w:pos="284"/>
                <w:tab w:val="clear" w:leader="none" w:pos="709"/>
              </w:tabs>
              <w:spacing w:after="0" w:before="0"/>
              <w:ind w:firstLine="0" w:left="0"/>
              <w:contextualSpacing w:val="true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Постановление Правительства РФ от 28.05.2015 N 509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832"/>
              <w:widowControl w:val="false"/>
              <w:numPr>
                <w:ilvl w:val="2"/>
                <w:numId w:val="5"/>
              </w:numPr>
              <w:pBdr/>
              <w:tabs>
                <w:tab w:val="left" w:leader="none" w:pos="284"/>
                <w:tab w:val="clear" w:leader="none" w:pos="709"/>
              </w:tabs>
              <w:spacing w:after="0" w:before="0"/>
              <w:ind w:firstLine="0" w:left="0"/>
              <w:contextualSpacing w:val="true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Приказ Минэнерго РФ от 19 июня 2003 г. N 229 "Об утверждении Правил технической эксплуатации электрических станций и сетей Российской Федерации".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832"/>
              <w:widowControl w:val="false"/>
              <w:numPr>
                <w:ilvl w:val="2"/>
                <w:numId w:val="5"/>
              </w:numPr>
              <w:pBdr/>
              <w:tabs>
                <w:tab w:val="left" w:leader="none" w:pos="284"/>
                <w:tab w:val="clear" w:leader="none" w:pos="709"/>
              </w:tabs>
              <w:spacing w:after="0" w:before="0"/>
              <w:ind w:firstLine="0" w:left="0"/>
              <w:contextualSpacing w:val="true"/>
              <w:jc w:val="left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ГОСТ 31385-2023 РЕЗЕРВУАРЫ СТАЛЬНЫЕ ВЕРТИКАЛЬНЫЕ ДЛЯ НЕФТЕПРОДУКТОВ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832"/>
              <w:widowControl w:val="false"/>
              <w:numPr>
                <w:ilvl w:val="2"/>
                <w:numId w:val="5"/>
              </w:numPr>
              <w:pBdr/>
              <w:tabs>
                <w:tab w:val="left" w:leader="none" w:pos="284"/>
                <w:tab w:val="clear" w:leader="none" w:pos="709"/>
              </w:tabs>
              <w:spacing w:after="0" w:before="0"/>
              <w:ind w:firstLine="0" w:left="0"/>
              <w:contextualSpacing w:val="true"/>
              <w:jc w:val="left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ГОСТ 17032-2022 РЕЗЕРВУАРЫ СТАЛЬНЫЕ ГОРИЗОНТАЛЬНЫЕ ДЛЯ НЕФТЕПРОДУКТОВ.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832"/>
              <w:widowControl w:val="false"/>
              <w:numPr>
                <w:ilvl w:val="2"/>
                <w:numId w:val="5"/>
              </w:numPr>
              <w:pBdr/>
              <w:tabs>
                <w:tab w:val="left" w:leader="none" w:pos="284"/>
                <w:tab w:val="clear" w:leader="none" w:pos="709"/>
              </w:tabs>
              <w:spacing w:after="0" w:before="0"/>
              <w:ind w:firstLine="0" w:left="0"/>
              <w:contextualSpacing w:val="true"/>
              <w:jc w:val="both"/>
              <w:rPr>
                <w:rFonts w:ascii="Times New Roman" w:hAnsi="Times New Roman" w:cs="Times New Roman"/>
                <w:lang w:val="ru-RU" w:eastAsia="ru-RU" w:bidi="ar-SA"/>
              </w:rPr>
            </w:pPr>
            <w:r>
              <w:rPr>
                <w:rFonts w:cs="Times New Roman"/>
                <w:lang w:val="ru-RU" w:eastAsia="ru-RU" w:bidi="ar-SA"/>
              </w:rPr>
              <w:t xml:space="preserve">Приказ Министерства труда и социальной защиты Российской Федерации от 16.11.2020г. N 782н «Об утверждении правил по охране труда при работе на высоте» (в действующей редакции).</w:t>
            </w:r>
            <w:r>
              <w:rPr>
                <w:rFonts w:ascii="Times New Roman" w:hAnsi="Times New Roman" w:cs="Times New Roman"/>
                <w:lang w:val="ru-RU" w:eastAsia="ru-RU" w:bidi="ar-SA"/>
              </w:rPr>
            </w:r>
          </w:p>
          <w:p>
            <w:pPr>
              <w:pStyle w:val="740"/>
              <w:widowControl w:val="false"/>
              <w:pBdr/>
              <w:spacing w:after="0" w:before="0"/>
              <w:ind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Регламент «Допуска подрядных организаций и командированного персонала на объекты АО «Сахаэнерго» ИСМ РГ-00-017.03-23 и другими действующими нормативными документами отрасли.</w:t>
            </w:r>
            <w:r>
              <w:rPr>
                <w:rFonts w:eastAsia="Arial Unicode MS"/>
                <w:sz w:val="24"/>
                <w:szCs w:val="24"/>
              </w:rPr>
            </w:r>
          </w:p>
          <w:p>
            <w:pPr>
              <w:pStyle w:val="740"/>
              <w:widowControl w:val="false"/>
              <w:pBdr/>
              <w:spacing w:after="0" w:before="0"/>
              <w:ind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Вся полнота ответственности при оказании услуги на объекте за соблюдением норм и правил по технике безопасности и пожарной безопасности возлагается на Исполнителя. Оказание услуги должны осуществляться при соблюдении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законодательства Российской Федерации об охране труда, а также иных нормативных правовых актов, отраслевых правил и типовых инструкций по охране труда, правил и инструкций по технике безопасности, утвержденных в установленном порядке, государственных станд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артов системы стандартов безопасности труда, правил безопасности, правил устройства и безопасной эксплуатации, инструкций по безопасности, государственных санитарно-эпидемиологических правил и нормативов, гигиенических нормативов, санитарных правил и норм.</w:t>
            </w:r>
            <w:r>
              <w:rPr>
                <w:rFonts w:eastAsia="Arial Unicode MS"/>
                <w:sz w:val="24"/>
                <w:szCs w:val="24"/>
              </w:rPr>
            </w:r>
          </w:p>
          <w:p>
            <w:pPr>
              <w:pStyle w:val="740"/>
              <w:widowControl w:val="false"/>
              <w:pBdr/>
              <w:spacing w:after="0" w:before="0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Ох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рана труда рабочих должна обеспечиваться выдачей необходимых средств индивидуальной защиты (каски, специальная одежда, обувь и др.), выполнением мероприятий по коллективной защите работающих (ограждения, освещение, защитные и предохранительные устройства).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1.2.2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6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60"/>
              <w:ind/>
              <w:jc w:val="left"/>
              <w:rPr>
                <w:sz w:val="24"/>
                <w:szCs w:val="24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должен быть обеспечен необходимыми инструментами, оборудованиями, приборами, механизмами и средствами индивидуальной защиты согласно характеру работ указанных в Таблице №2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-117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1.3</w:t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8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применяемым при выполнении Услуг оборудованию, материалам, технологиям, программно-аппаратным средствам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15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1.3.1</w:t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100" w:lineRule="atLeast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Перечень минимального приборного оснащения для технического диагностирования резервуаров у Исполнителя :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740"/>
              <w:widowControl w:val="false"/>
              <w:numPr>
                <w:ilvl w:val="0"/>
                <w:numId w:val="16"/>
              </w:numPr>
              <w:pBdr/>
              <w:spacing w:after="0" w:before="0" w:line="100" w:lineRule="atLeast"/>
              <w:ind w:hanging="360" w:left="0"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Твердомер;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740"/>
              <w:widowControl w:val="false"/>
              <w:numPr>
                <w:ilvl w:val="0"/>
                <w:numId w:val="17"/>
              </w:numPr>
              <w:pBdr/>
              <w:spacing w:after="0" w:before="0" w:line="100" w:lineRule="atLeast"/>
              <w:ind w:hanging="360" w:left="0"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Толщиномер;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740"/>
              <w:widowControl w:val="false"/>
              <w:numPr>
                <w:ilvl w:val="0"/>
                <w:numId w:val="18"/>
              </w:numPr>
              <w:pBdr/>
              <w:spacing w:after="0" w:before="0" w:line="100" w:lineRule="atLeast"/>
              <w:ind w:hanging="360" w:left="0"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Комплект для визуально-измерительного контроля;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740"/>
              <w:widowControl w:val="false"/>
              <w:numPr>
                <w:ilvl w:val="0"/>
                <w:numId w:val="19"/>
              </w:numPr>
              <w:pBdr/>
              <w:spacing w:after="0" w:before="0" w:line="100" w:lineRule="atLeast"/>
              <w:ind w:hanging="360" w:left="0"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Ультразвуковой дефектоскоп;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740"/>
              <w:widowControl w:val="false"/>
              <w:numPr>
                <w:ilvl w:val="0"/>
                <w:numId w:val="20"/>
              </w:numPr>
              <w:pBdr/>
              <w:spacing w:after="0" w:before="0" w:line="100" w:lineRule="atLeast"/>
              <w:ind w:hanging="360" w:left="0"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Измеритель прочности бетона;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740"/>
              <w:widowControl w:val="false"/>
              <w:numPr>
                <w:ilvl w:val="0"/>
                <w:numId w:val="21"/>
              </w:numPr>
              <w:pBdr/>
              <w:spacing w:after="0" w:before="0" w:line="100" w:lineRule="atLeast"/>
              <w:ind w:hanging="360" w:left="0"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–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Фотоаппарат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740"/>
              <w:widowControl w:val="false"/>
              <w:numPr>
                <w:ilvl w:val="0"/>
                <w:numId w:val="22"/>
              </w:numPr>
              <w:pBdr/>
              <w:spacing w:after="0" w:before="0" w:line="100" w:lineRule="atLeast"/>
              <w:ind w:hanging="360" w:left="0"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–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Нивелир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1.3.2</w:t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6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100" w:lineRule="atLeast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Применяемые для проведения оказания услуг оборудовании должны иметь соответствующие сертификаты качества, пожарные и санитарно-эпидемиологические сертификаты, технические паспорта и другие документы, удостоверяющие их качество.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1.4</w:t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8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6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контролю качества услуг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1.4.1</w:t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6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Услуги должны выполняться в соответствии с рабочей и нормативной документацией и должен руководствоваться документами по характеру работ.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1.5</w:t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8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персоналу Исполнителя</w:t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15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1.5.1</w:t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Организационно-технические мероприятия по допуску персонала Исполнителя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6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Допуск персонала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Исполнителя  для оказания услуг должен осуществляться в соответствии с «Регламентом допуска подрядных и сторонних организаций, индивидуальных предпринимателей, командированного персонала для выполнения работ на объектах АО «Сахаэнерго» ИСМ РГ-00-017.03-23.</w:t>
            </w:r>
            <w:r>
              <w:rPr>
                <w:sz w:val="24"/>
                <w:szCs w:val="24"/>
              </w:rPr>
            </w:r>
          </w:p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6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Подготовку рабочих мест и допуск к оказанию услуг выполняет персонал заказчика.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-117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1.6</w:t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8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безопасности услуг и охране труда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1.6.1</w:t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60"/>
              <w:ind/>
              <w:jc w:val="lef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Организация и выполнение ремонтных работ должна проводится в соответствии с требованиями:</w:t>
            </w:r>
            <w:r>
              <w:rPr>
                <w:sz w:val="24"/>
                <w:szCs w:val="24"/>
              </w:rPr>
            </w:r>
          </w:p>
          <w:p>
            <w:pPr>
              <w:pStyle w:val="800"/>
              <w:widowControl w:val="false"/>
              <w:numPr>
                <w:ilvl w:val="0"/>
                <w:numId w:val="3"/>
              </w:numPr>
              <w:pBdr/>
              <w:tabs>
                <w:tab w:val="left" w:leader="none" w:pos="302"/>
                <w:tab w:val="clear" w:leader="none" w:pos="709"/>
              </w:tabs>
              <w:spacing w:after="0" w:before="0"/>
              <w:ind w:right="128" w:firstLine="0" w:left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Приказ Министерства труда и социальной защиты РФ от 15 декабря 2020 г. N 902н "Об утверждении Правил по охране труда при работе в ограниченных и замкнутых пространствах"</w:t>
            </w:r>
            <w:r>
              <w:rPr>
                <w:sz w:val="24"/>
                <w:szCs w:val="24"/>
              </w:rPr>
            </w:r>
          </w:p>
          <w:p>
            <w:pPr>
              <w:pStyle w:val="800"/>
              <w:widowControl w:val="false"/>
              <w:numPr>
                <w:ilvl w:val="0"/>
                <w:numId w:val="3"/>
              </w:numPr>
              <w:pBdr/>
              <w:tabs>
                <w:tab w:val="left" w:leader="none" w:pos="302"/>
                <w:tab w:val="clear" w:leader="none" w:pos="709"/>
              </w:tabs>
              <w:spacing w:after="0" w:before="0"/>
              <w:ind w:right="128" w:firstLine="0" w:left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Приказ Министерства труда и социальной защиты РФ от 16 ноября 2020 г. N 782н об утверждении Правил по охране труда при работе на высоте"</w:t>
            </w:r>
            <w:r>
              <w:rPr>
                <w:sz w:val="24"/>
                <w:szCs w:val="24"/>
              </w:rPr>
            </w:r>
          </w:p>
          <w:p>
            <w:pPr>
              <w:pStyle w:val="800"/>
              <w:widowControl w:val="false"/>
              <w:numPr>
                <w:ilvl w:val="0"/>
                <w:numId w:val="3"/>
              </w:numPr>
              <w:pBdr/>
              <w:tabs>
                <w:tab w:val="left" w:leader="none" w:pos="302"/>
                <w:tab w:val="clear" w:leader="none" w:pos="709"/>
              </w:tabs>
              <w:spacing w:after="0" w:before="0"/>
              <w:ind w:right="128" w:firstLine="0" w:left="0"/>
              <w:jc w:val="both"/>
              <w:rPr>
                <w:sz w:val="24"/>
                <w:szCs w:val="24"/>
              </w:rPr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Регламентом «Допуска подрядных организаций и командированного персонала на объекты АО «Сахаэнерго» ИСМ РГ-00-017.03-23.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 w:after="60" w:before="60"/>
              <w:ind w:firstLine="0" w:left="72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1.6.2</w:t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6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оказании услуг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Исполнителю необходимо:</w:t>
            </w:r>
            <w:r>
              <w:rPr>
                <w:sz w:val="24"/>
                <w:szCs w:val="24"/>
              </w:rPr>
            </w:r>
          </w:p>
          <w:p>
            <w:pPr>
              <w:pStyle w:val="740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 обеспечить безопасность, собственного персонала при проведении диагностирования;</w:t>
            </w:r>
            <w:r>
              <w:rPr>
                <w:sz w:val="24"/>
                <w:szCs w:val="24"/>
              </w:rPr>
            </w:r>
          </w:p>
          <w:p>
            <w:pPr>
              <w:pStyle w:val="740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 нести ответственность за сохранность оборудования, механизмов, средств, систем, конструкций, сооружений и транспортных приспособлений Заказчика;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pBdr/>
              <w:spacing w:after="60" w:before="60"/>
              <w:ind w:firstLine="0" w:left="72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2</w:t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8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Требования к результатам услуг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2.1</w:t>
            </w:r>
            <w:r>
              <w:rPr>
                <w:b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8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Общие требования к результатам услуг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2.1.1</w:t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after="0" w:before="6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Результат оказание услуг должен соответствовать перечню и объемам выполняемых Услуг (таблица №2) настоящих технических требований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832"/>
              <w:widowControl w:val="false"/>
              <w:numPr>
                <w:ilvl w:val="0"/>
                <w:numId w:val="0"/>
              </w:numPr>
              <w:pBdr/>
              <w:spacing w:after="60" w:before="60"/>
              <w:ind w:firstLine="0" w:left="0"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2.1.2</w:t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 w:right="57"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 w:line="100" w:lineRule="atLeast"/>
              <w:ind w:firstLine="5"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должен провести диагностирование с выездом на объект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740"/>
              <w:widowControl w:val="false"/>
              <w:pBdr/>
              <w:tabs>
                <w:tab w:val="left" w:leader="none" w:pos="432"/>
                <w:tab w:val="left" w:leader="none" w:pos="459"/>
                <w:tab w:val="clear" w:leader="none" w:pos="709"/>
              </w:tabs>
              <w:spacing w:after="0" w:before="0"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обязан безвозмездно исправить по требованию Заказчика все выявленные недостатки ухудшившее качество оказание услуг в согласованные сроки.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3.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568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6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Прочие требования к выполняемым Услугам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1189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60" w:before="60"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3.1.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4" w:type="dxa"/>
            <w:vAlign w:val="center"/>
            <w:textDirection w:val="lrTb"/>
            <w:noWrap w:val="false"/>
          </w:tcPr>
          <w:p>
            <w:pPr>
              <w:pStyle w:val="854"/>
              <w:keepNext w:val="false"/>
              <w:widowControl w:val="false"/>
              <w:numPr>
                <w:ilvl w:val="0"/>
                <w:numId w:val="0"/>
              </w:numPr>
              <w:pBdr/>
              <w:spacing w:after="60" w:before="0"/>
              <w:ind w:firstLine="0" w:left="0"/>
              <w:jc w:val="left"/>
              <w:outlineLvl w:val="2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4" w:type="dxa"/>
            <w:vAlign w:val="center"/>
            <w:textDirection w:val="lrTb"/>
            <w:noWrap w:val="false"/>
          </w:tcPr>
          <w:p>
            <w:pPr>
              <w:pStyle w:val="740"/>
              <w:widowControl w:val="false"/>
              <w:pBdr/>
              <w:spacing w:after="0" w:before="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выполнении услуг необходимо выполнять требования законодательства в области охраны окружающей среды.</w:t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74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40"/>
        <w:pBdr/>
        <w:spacing/>
        <w:ind/>
        <w:rPr/>
      </w:pPr>
      <w:r/>
      <w:r/>
    </w:p>
    <w:sectPr>
      <w:headerReference w:type="default" r:id="rId11"/>
      <w:headerReference w:type="first" r:id="rId12"/>
      <w:footerReference w:type="default" r:id="rId14"/>
      <w:footerReference w:type="first" r:id="rId15"/>
      <w:footnotePr/>
      <w:endnotePr/>
      <w:type w:val="nextPage"/>
      <w:pgSz w:h="11906" w:orient="landscape" w:w="16838"/>
      <w:pgMar w:top="1191" w:right="1301" w:bottom="1191" w:left="1616" w:header="1134" w:footer="1134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Calibri">
    <w:panose1 w:val="020F0502020204030204"/>
  </w:font>
  <w:font w:name="Consolas">
    <w:panose1 w:val="020B0609020204030204"/>
  </w:font>
  <w:font w:name="Lucida Sans Unicode">
    <w:panose1 w:val="020B0603030804020204"/>
  </w:font>
  <w:font w:name="Calibri Light (Заголовки)">
    <w:panose1 w:val="020F0502020204030204"/>
  </w:font>
  <w:font w:name="Verdana">
    <w:panose1 w:val="020B060403050404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Arial Unicode MS">
    <w:panose1 w:val="020B0604020202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1"/>
      <w:pBdr/>
      <w:spacing/>
      <w:ind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 xml:space="preserve">9</w:t>
    </w:r>
    <w:r>
      <w:rPr>
        <w:sz w:val="22"/>
        <w:szCs w:val="22"/>
      </w:rPr>
      <w:fldChar w:fldCharType="end"/>
    </w:r>
    <w:r>
      <w:rPr>
        <w:sz w:val="22"/>
        <w:szCs w:val="2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  <w:pBdr/>
      <w:spacing/>
      <w:ind/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  <w:pBdr/>
      <w:spacing/>
      <w:ind/>
      <w:jc w:val="right"/>
      <w:rPr>
        <w:sz w:val="20"/>
        <w:szCs w:val="20"/>
        <w:lang w:val="ru-RU"/>
      </w:rPr>
    </w:pPr>
    <w:r>
      <w:rPr>
        <w:sz w:val="20"/>
        <w:szCs w:val="20"/>
        <w:lang w:val="ru-RU"/>
      </w:rPr>
    </w:r>
    <w:r>
      <w:rPr>
        <w:sz w:val="20"/>
        <w:szCs w:val="20"/>
        <w:lang w:val="ru-RU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0"/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pStyle w:val="741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pStyle w:val="742"/>
      <w:rPr>
        <w:rFonts w:cs="Times New Roman"/>
        <w:b/>
        <w:bCs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pStyle w:val="821"/>
      <w:rPr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>
        <w:b w:val="0"/>
        <w:bCs w:val="0"/>
        <w:i w:val="0"/>
        <w:iCs w:val="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836"/>
        </w:tabs>
        <w:spacing/>
        <w:ind w:hanging="567" w:left="2836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%5%6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abstractNum w:abstractNumId="1">
    <w:lvl w:ilvl="0">
      <w:isLgl w:val="false"/>
      <w:lvlJc w:val="left"/>
      <w:lvlText w:val="Статья %1."/>
      <w:numFmt w:val="decimal"/>
      <w:pPr>
        <w:pBdr/>
        <w:tabs>
          <w:tab w:val="num" w:leader="none" w:pos="720"/>
        </w:tabs>
        <w:spacing/>
        <w:ind w:hanging="360" w:left="720"/>
      </w:pPr>
      <w:pStyle w:val="846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725"/>
        </w:tabs>
        <w:spacing/>
        <w:ind w:hanging="1185" w:left="1725"/>
      </w:pPr>
      <w:pStyle w:val="847"/>
      <w:rPr>
        <w:b w:val="0"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085"/>
        </w:tabs>
        <w:spacing/>
        <w:ind w:hanging="1185" w:left="2085"/>
      </w:pPr>
      <w:pStyle w:val="848"/>
      <w:rPr>
        <w:b w:val="0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625"/>
        </w:tabs>
        <w:spacing/>
        <w:ind w:hanging="1185" w:left="262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985"/>
        </w:tabs>
        <w:spacing/>
        <w:ind w:hanging="1185" w:left="2985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345"/>
        </w:tabs>
        <w:spacing/>
        <w:ind w:hanging="1185" w:left="334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960"/>
        </w:tabs>
        <w:spacing/>
        <w:ind w:hanging="1440" w:left="39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4320"/>
        </w:tabs>
        <w:spacing/>
        <w:ind w:hanging="1440" w:left="43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040"/>
        </w:tabs>
        <w:spacing/>
        <w:ind w:hanging="1800" w:left="5040"/>
      </w:pPr>
      <w:rPr/>
      <w:start w:val="1"/>
      <w:suff w:val="tab"/>
    </w:lvl>
  </w:abstractNum>
  <w:abstractNum w:abstractNumId="2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07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300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414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56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67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82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94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092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6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540" w:left="5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/>
      <w:start w:val="2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746"/>
      </w:pPr>
      <w:rPr>
        <w:rFonts w:cs="Times New Roman"/>
        <w:b w:val="0"/>
        <w:i w:val="0"/>
        <w:strike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>
        <w:rFonts w:cs="Times New Roman"/>
      </w:rPr>
      <w:start w:val="1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746"/>
      </w:pPr>
      <w:rPr>
        <w:rFonts w:cs="Times New Roman"/>
        <w:b w:val="0"/>
        <w:i w:val="0"/>
        <w:strike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>
        <w:rFonts w:cs="Times New Roman"/>
      </w:rPr>
      <w:start w:val="1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746"/>
      </w:pPr>
      <w:rPr>
        <w:rFonts w:cs="Times New Roman"/>
        <w:b w:val="0"/>
        <w:i w:val="0"/>
        <w:strike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>
        <w:rFonts w:cs="Times New Roman"/>
      </w:rPr>
      <w:start w:val="1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746"/>
      </w:pPr>
      <w:rPr>
        <w:rFonts w:cs="Times New Roman"/>
        <w:b w:val="0"/>
        <w:i w:val="0"/>
        <w:strike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>
        <w:rFonts w:cs="Times New Roman"/>
      </w:rPr>
      <w:start w:val="1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746"/>
      </w:pPr>
      <w:rPr>
        <w:rFonts w:cs="Times New Roman"/>
        <w:b w:val="0"/>
        <w:i w:val="0"/>
        <w:strike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>
        <w:rFonts w:cs="Times New Roman"/>
      </w:rPr>
      <w:start w:val="1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746"/>
      </w:pPr>
      <w:rPr>
        <w:rFonts w:cs="Times New Roman"/>
        <w:b w:val="0"/>
        <w:i w:val="0"/>
        <w:strike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>
        <w:rFonts w:cs="Times New Roman"/>
      </w:rPr>
      <w:start w:val="1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746"/>
      </w:pPr>
      <w:rPr>
        <w:rFonts w:cs="Times New Roman"/>
        <w:b w:val="0"/>
        <w:i w:val="0"/>
        <w:strike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>
        <w:rFonts w:cs="Times New Roman"/>
      </w:rPr>
      <w:start w:val="1"/>
      <w:suff w:val="tab"/>
    </w:lvl>
  </w:abstractNum>
  <w:abstractNum w:abstractNumId="14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7"/>
    <w:lvlOverride w:ilvl="0">
      <w:startOverride w:val="1"/>
    </w:lvlOverride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0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GB" w:eastAsia="ru-RU" w:bidi="ar-SA"/>
    </w:rPr>
  </w:style>
  <w:style w:type="paragraph" w:styleId="741">
    <w:name w:val="Heading 1"/>
    <w:basedOn w:val="740"/>
    <w:next w:val="740"/>
    <w:qFormat/>
    <w:pPr>
      <w:keepNext w:val="true"/>
      <w:keepLines w:val="true"/>
      <w:pageBreakBefore w:val="true"/>
      <w:numPr>
        <w:ilvl w:val="0"/>
        <w:numId w:val="1"/>
      </w:numPr>
      <w:pBdr/>
      <w:spacing w:after="240" w:before="480"/>
      <w:ind/>
      <w:outlineLvl w:val="0"/>
    </w:pPr>
    <w:rPr>
      <w:rFonts w:ascii="Arial" w:hAnsi="Arial" w:cs="Arial"/>
      <w:b/>
      <w:bCs/>
      <w:caps/>
      <w:sz w:val="36"/>
      <w:szCs w:val="36"/>
      <w:lang w:val="ru-RU"/>
    </w:rPr>
  </w:style>
  <w:style w:type="paragraph" w:styleId="742">
    <w:name w:val="Heading 2"/>
    <w:basedOn w:val="740"/>
    <w:next w:val="740"/>
    <w:qFormat/>
    <w:pPr>
      <w:keepNext w:val="true"/>
      <w:numPr>
        <w:ilvl w:val="1"/>
        <w:numId w:val="1"/>
      </w:numPr>
      <w:pBdr/>
      <w:spacing w:after="120" w:before="360"/>
      <w:ind/>
      <w:outlineLvl w:val="1"/>
    </w:pPr>
    <w:rPr>
      <w:b/>
      <w:bCs/>
      <w:smallCaps/>
      <w:sz w:val="32"/>
      <w:szCs w:val="28"/>
      <w:lang w:val="ru-RU"/>
    </w:rPr>
  </w:style>
  <w:style w:type="paragraph" w:styleId="743">
    <w:name w:val="Heading 3"/>
    <w:basedOn w:val="740"/>
    <w:next w:val="740"/>
    <w:link w:val="777"/>
    <w:qFormat/>
    <w:pPr>
      <w:keepNext w:val="true"/>
      <w:keepLines w:val="true"/>
      <w:pBdr/>
      <w:spacing w:after="0" w:before="200"/>
      <w:ind/>
      <w:outlineLvl w:val="2"/>
    </w:pPr>
    <w:rPr>
      <w:rFonts w:ascii="Cambria" w:hAnsi="Cambria"/>
      <w:b/>
      <w:bCs/>
      <w:color w:val="4f81bd"/>
    </w:rPr>
  </w:style>
  <w:style w:type="paragraph" w:styleId="744">
    <w:name w:val="Heading 4"/>
    <w:basedOn w:val="743"/>
    <w:next w:val="740"/>
    <w:qFormat/>
    <w:pPr>
      <w:pBdr/>
      <w:spacing/>
      <w:ind/>
      <w:outlineLvl w:val="3"/>
    </w:pPr>
    <w:rPr>
      <w:bCs/>
    </w:rPr>
  </w:style>
  <w:style w:type="paragraph" w:styleId="745">
    <w:name w:val="Heading 5"/>
    <w:basedOn w:val="740"/>
    <w:next w:val="740"/>
    <w:link w:val="7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46">
    <w:name w:val="Heading 6"/>
    <w:basedOn w:val="740"/>
    <w:next w:val="740"/>
    <w:link w:val="7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47">
    <w:name w:val="Heading 7"/>
    <w:basedOn w:val="740"/>
    <w:next w:val="740"/>
    <w:link w:val="7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48">
    <w:name w:val="Heading 8"/>
    <w:basedOn w:val="740"/>
    <w:next w:val="740"/>
    <w:link w:val="757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49">
    <w:name w:val="Heading 9"/>
    <w:basedOn w:val="740"/>
    <w:next w:val="740"/>
    <w:link w:val="758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50">
    <w:name w:val="Heading 1 Char"/>
    <w:basedOn w:val="77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51">
    <w:name w:val="Heading 2 Char"/>
    <w:basedOn w:val="77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52">
    <w:name w:val="Heading 3 Char"/>
    <w:basedOn w:val="77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53">
    <w:name w:val="Heading 4 Char"/>
    <w:basedOn w:val="773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54">
    <w:name w:val="Heading 5 Char"/>
    <w:basedOn w:val="77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55">
    <w:name w:val="Heading 6 Char"/>
    <w:basedOn w:val="773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56">
    <w:name w:val="Heading 7 Char"/>
    <w:basedOn w:val="773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57">
    <w:name w:val="Heading 8 Char"/>
    <w:basedOn w:val="77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8">
    <w:name w:val="Heading 9 Char"/>
    <w:basedOn w:val="77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9">
    <w:name w:val="Title Char"/>
    <w:basedOn w:val="773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60">
    <w:name w:val="Subtitle Char"/>
    <w:basedOn w:val="773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61">
    <w:name w:val="Quote Char"/>
    <w:basedOn w:val="773"/>
    <w:link w:val="806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62">
    <w:name w:val="Intense Emphasis"/>
    <w:basedOn w:val="77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63">
    <w:name w:val="Intense Quote Char"/>
    <w:basedOn w:val="773"/>
    <w:link w:val="807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64">
    <w:name w:val="Intense Reference"/>
    <w:basedOn w:val="77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65">
    <w:name w:val="Subtle Emphasis"/>
    <w:basedOn w:val="77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66">
    <w:name w:val="Emphasis"/>
    <w:basedOn w:val="773"/>
    <w:uiPriority w:val="20"/>
    <w:qFormat/>
    <w:pPr>
      <w:pBdr/>
      <w:spacing/>
      <w:ind/>
    </w:pPr>
    <w:rPr>
      <w:i/>
      <w:iCs/>
    </w:rPr>
  </w:style>
  <w:style w:type="character" w:styleId="767">
    <w:name w:val="Subtle Reference"/>
    <w:basedOn w:val="77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68">
    <w:name w:val="Book Title"/>
    <w:basedOn w:val="77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69">
    <w:name w:val="Header Char"/>
    <w:basedOn w:val="773"/>
    <w:uiPriority w:val="99"/>
    <w:qFormat/>
    <w:pPr>
      <w:pBdr/>
      <w:spacing/>
      <w:ind/>
    </w:pPr>
  </w:style>
  <w:style w:type="character" w:styleId="770">
    <w:name w:val="Footer Char"/>
    <w:basedOn w:val="773"/>
    <w:uiPriority w:val="99"/>
    <w:qFormat/>
    <w:pPr>
      <w:pBdr/>
      <w:spacing/>
      <w:ind/>
    </w:pPr>
  </w:style>
  <w:style w:type="character" w:styleId="771">
    <w:name w:val="Footnote Text Char"/>
    <w:basedOn w:val="773"/>
    <w:uiPriority w:val="99"/>
    <w:semiHidden/>
    <w:qFormat/>
    <w:pPr>
      <w:pBdr/>
      <w:spacing/>
      <w:ind/>
    </w:pPr>
    <w:rPr>
      <w:sz w:val="20"/>
      <w:szCs w:val="20"/>
    </w:rPr>
  </w:style>
  <w:style w:type="character" w:styleId="772">
    <w:name w:val="Endnote Text Char"/>
    <w:basedOn w:val="773"/>
    <w:uiPriority w:val="99"/>
    <w:semiHidden/>
    <w:qFormat/>
    <w:pPr>
      <w:pBdr/>
      <w:spacing/>
      <w:ind/>
    </w:pPr>
    <w:rPr>
      <w:sz w:val="20"/>
      <w:szCs w:val="20"/>
    </w:rPr>
  </w:style>
  <w:style w:type="character" w:styleId="773" w:default="1">
    <w:name w:val="Default Paragraph Font"/>
    <w:uiPriority w:val="1"/>
    <w:unhideWhenUsed/>
    <w:qFormat/>
    <w:pPr>
      <w:pBdr/>
      <w:spacing/>
      <w:ind/>
    </w:pPr>
  </w:style>
  <w:style w:type="character" w:styleId="774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775">
    <w:name w:val="footnote reference"/>
    <w:pPr>
      <w:pBdr/>
      <w:spacing/>
      <w:ind/>
    </w:pPr>
    <w:rPr>
      <w:vertAlign w:val="superscript"/>
    </w:rPr>
  </w:style>
  <w:style w:type="character" w:styleId="776" w:customStyle="1">
    <w:name w:val="Основной текст 3 Знак"/>
    <w:link w:val="829"/>
    <w:qFormat/>
    <w:pPr>
      <w:pBdr/>
      <w:spacing/>
      <w:ind/>
    </w:pPr>
    <w:rPr>
      <w:sz w:val="16"/>
      <w:szCs w:val="16"/>
      <w:lang w:val="en-GB"/>
    </w:rPr>
  </w:style>
  <w:style w:type="character" w:styleId="777" w:customStyle="1">
    <w:name w:val="Заголовок 3 Знак"/>
    <w:semiHidden/>
    <w:qFormat/>
    <w:pPr>
      <w:pBdr/>
      <w:spacing/>
      <w:ind/>
    </w:pPr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778">
    <w:name w:val="annotation reference"/>
    <w:qFormat/>
    <w:pPr>
      <w:pBdr/>
      <w:spacing/>
      <w:ind/>
    </w:pPr>
    <w:rPr>
      <w:sz w:val="16"/>
      <w:szCs w:val="16"/>
    </w:rPr>
  </w:style>
  <w:style w:type="character" w:styleId="779" w:customStyle="1">
    <w:name w:val="Текст примечания Знак"/>
    <w:link w:val="833"/>
    <w:uiPriority w:val="99"/>
    <w:qFormat/>
    <w:pPr>
      <w:pBdr/>
      <w:spacing/>
      <w:ind/>
    </w:pPr>
    <w:rPr>
      <w:lang w:val="en-GB"/>
    </w:rPr>
  </w:style>
  <w:style w:type="character" w:styleId="780" w:customStyle="1">
    <w:name w:val="Тема примечания Знак"/>
    <w:link w:val="834"/>
    <w:qFormat/>
    <w:pPr>
      <w:pBdr/>
      <w:spacing/>
      <w:ind/>
    </w:pPr>
    <w:rPr>
      <w:b/>
      <w:bCs/>
      <w:lang w:val="en-GB"/>
    </w:rPr>
  </w:style>
  <w:style w:type="character" w:styleId="781" w:customStyle="1">
    <w:name w:val="Основной текст с отступом 3 Знак"/>
    <w:link w:val="835"/>
    <w:qFormat/>
    <w:pPr>
      <w:pBdr/>
      <w:spacing/>
      <w:ind/>
    </w:pPr>
    <w:rPr>
      <w:sz w:val="16"/>
      <w:szCs w:val="16"/>
    </w:rPr>
  </w:style>
  <w:style w:type="character" w:styleId="782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783" w:customStyle="1">
    <w:name w:val="Заголовок Знак"/>
    <w:link w:val="838"/>
    <w:qFormat/>
    <w:pPr>
      <w:pBdr/>
      <w:spacing/>
      <w:ind/>
    </w:pPr>
    <w:rPr>
      <w:b/>
      <w:bCs/>
      <w:sz w:val="24"/>
      <w:szCs w:val="24"/>
    </w:rPr>
  </w:style>
  <w:style w:type="character" w:styleId="784" w:customStyle="1">
    <w:name w:val="Верхний колонтитул Знак"/>
    <w:uiPriority w:val="99"/>
    <w:qFormat/>
    <w:pPr>
      <w:pBdr/>
      <w:spacing/>
      <w:ind/>
    </w:pPr>
    <w:rPr>
      <w:sz w:val="24"/>
      <w:szCs w:val="24"/>
      <w:lang w:val="en-GB"/>
    </w:rPr>
  </w:style>
  <w:style w:type="character" w:styleId="785" w:customStyle="1">
    <w:name w:val="Нижний колонтитул Знак"/>
    <w:uiPriority w:val="99"/>
    <w:qFormat/>
    <w:pPr>
      <w:pBdr/>
      <w:spacing/>
      <w:ind/>
    </w:pPr>
    <w:rPr>
      <w:sz w:val="24"/>
      <w:szCs w:val="24"/>
      <w:lang w:val="en-GB"/>
    </w:rPr>
  </w:style>
  <w:style w:type="character" w:styleId="786" w:customStyle="1">
    <w:name w:val="Основной текст 2 Знак"/>
    <w:link w:val="842"/>
    <w:qFormat/>
    <w:pPr>
      <w:pBdr/>
      <w:spacing/>
      <w:ind/>
    </w:pPr>
    <w:rPr>
      <w:sz w:val="24"/>
      <w:szCs w:val="24"/>
    </w:rPr>
  </w:style>
  <w:style w:type="character" w:styleId="787" w:customStyle="1">
    <w:name w:val="Основной текст с отступом Знак"/>
    <w:qFormat/>
    <w:pPr>
      <w:pBdr/>
      <w:spacing/>
      <w:ind/>
    </w:pPr>
    <w:rPr>
      <w:sz w:val="24"/>
      <w:szCs w:val="24"/>
    </w:rPr>
  </w:style>
  <w:style w:type="character" w:styleId="788">
    <w:name w:val="Strong"/>
    <w:qFormat/>
    <w:pPr>
      <w:pBdr/>
      <w:spacing/>
      <w:ind/>
    </w:pPr>
    <w:rPr>
      <w:b/>
      <w:bCs/>
    </w:rPr>
  </w:style>
  <w:style w:type="character" w:styleId="789" w:customStyle="1">
    <w:name w:val="Текст сноски Знак"/>
    <w:uiPriority w:val="99"/>
    <w:qFormat/>
    <w:pPr>
      <w:pBdr/>
      <w:spacing/>
      <w:ind/>
    </w:pPr>
    <w:rPr>
      <w:lang w:val="en-GB"/>
    </w:rPr>
  </w:style>
  <w:style w:type="character" w:styleId="790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791">
    <w:name w:val="FollowedHyperlink"/>
    <w:pPr>
      <w:pBdr/>
      <w:spacing/>
      <w:ind/>
    </w:pPr>
    <w:rPr>
      <w:color w:val="800080"/>
      <w:u w:val="single"/>
    </w:rPr>
  </w:style>
  <w:style w:type="character" w:styleId="792" w:customStyle="1">
    <w:name w:val="3. Подпункт Знак"/>
    <w:link w:val="848"/>
    <w:qFormat/>
    <w:pPr>
      <w:pBdr/>
      <w:spacing/>
      <w:ind/>
    </w:pPr>
    <w:rPr>
      <w:b/>
      <w:bCs/>
      <w:sz w:val="24"/>
      <w:szCs w:val="24"/>
    </w:rPr>
  </w:style>
  <w:style w:type="character" w:styleId="793" w:customStyle="1">
    <w:name w:val="Абзац списка Знак"/>
    <w:link w:val="832"/>
    <w:uiPriority w:val="34"/>
    <w:qFormat/>
    <w:pPr>
      <w:pBdr/>
      <w:spacing/>
      <w:ind/>
    </w:pPr>
    <w:rPr>
      <w:sz w:val="24"/>
      <w:szCs w:val="24"/>
    </w:rPr>
  </w:style>
  <w:style w:type="character" w:styleId="794" w:customStyle="1">
    <w:name w:val="Название Знак"/>
    <w:qFormat/>
    <w:pPr>
      <w:pBdr/>
      <w:spacing/>
      <w:ind/>
    </w:pPr>
    <w:rPr>
      <w:b/>
      <w:bCs/>
      <w:sz w:val="24"/>
      <w:szCs w:val="24"/>
    </w:rPr>
  </w:style>
  <w:style w:type="character" w:styleId="795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796">
    <w:name w:val="endnote reference"/>
    <w:pPr>
      <w:pBdr/>
      <w:spacing/>
      <w:ind/>
    </w:pPr>
    <w:rPr>
      <w:vertAlign w:val="superscript"/>
    </w:rPr>
  </w:style>
  <w:style w:type="character" w:styleId="797">
    <w:name w:val="Placeholder Text"/>
    <w:basedOn w:val="773"/>
    <w:qFormat/>
    <w:pPr>
      <w:pBdr/>
      <w:spacing/>
      <w:ind/>
    </w:pPr>
    <w:rPr>
      <w:color w:val="808080"/>
    </w:rPr>
  </w:style>
  <w:style w:type="character" w:styleId="798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paragraph" w:styleId="799">
    <w:name w:val="Заголовок"/>
    <w:basedOn w:val="740"/>
    <w:next w:val="800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800">
    <w:name w:val="Body Text"/>
    <w:basedOn w:val="740"/>
    <w:link w:val="782"/>
    <w:pPr>
      <w:pBdr/>
      <w:spacing w:after="120" w:before="0" w:line="360" w:lineRule="auto"/>
      <w:ind w:firstLine="567"/>
      <w:jc w:val="both"/>
    </w:pPr>
    <w:rPr>
      <w:sz w:val="28"/>
      <w:szCs w:val="28"/>
    </w:rPr>
  </w:style>
  <w:style w:type="paragraph" w:styleId="801">
    <w:name w:val="List"/>
    <w:basedOn w:val="800"/>
    <w:pPr>
      <w:pBdr/>
      <w:spacing/>
      <w:ind/>
    </w:pPr>
    <w:rPr>
      <w:rFonts w:cs="Lohit Devanagari"/>
    </w:rPr>
  </w:style>
  <w:style w:type="paragraph" w:styleId="802">
    <w:name w:val="Caption"/>
    <w:basedOn w:val="740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803">
    <w:name w:val="Указатель"/>
    <w:basedOn w:val="740"/>
    <w:qFormat/>
    <w:pPr>
      <w:suppressLineNumbers w:val="true"/>
      <w:pBdr/>
      <w:spacing/>
      <w:ind/>
    </w:pPr>
    <w:rPr>
      <w:rFonts w:cs="Lohit Devanagari"/>
    </w:rPr>
  </w:style>
  <w:style w:type="paragraph" w:styleId="804">
    <w:name w:val="Title"/>
    <w:basedOn w:val="740"/>
    <w:next w:val="740"/>
    <w:link w:val="759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805">
    <w:name w:val="Subtitle"/>
    <w:basedOn w:val="740"/>
    <w:next w:val="740"/>
    <w:link w:val="76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06">
    <w:name w:val="Quote"/>
    <w:basedOn w:val="740"/>
    <w:next w:val="740"/>
    <w:link w:val="761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807">
    <w:name w:val="Intense Quote"/>
    <w:basedOn w:val="740"/>
    <w:next w:val="740"/>
    <w:link w:val="763"/>
    <w:uiPriority w:val="30"/>
    <w:qFormat/>
    <w:pPr>
      <w:pBdr>
        <w:top w:val="single" w:color="0f4761" w:sz="4" w:space="10"/>
        <w:bottom w:val="single" w:color="0f4761" w:sz="4" w:space="10"/>
      </w:pBdr>
      <w:spacing w:after="360" w:before="360"/>
      <w:ind w:right="864" w:firstLine="0" w:left="864"/>
      <w:jc w:val="center"/>
    </w:pPr>
    <w:rPr>
      <w:i/>
      <w:iCs/>
      <w:color w:val="0f4761" w:themeColor="accent1" w:themeShade="BF"/>
    </w:rPr>
  </w:style>
  <w:style w:type="paragraph" w:styleId="808">
    <w:name w:val="No Spacing"/>
    <w:basedOn w:val="740"/>
    <w:uiPriority w:val="1"/>
    <w:qFormat/>
    <w:pPr>
      <w:pBdr/>
      <w:spacing w:after="0" w:before="0" w:line="240" w:lineRule="auto"/>
      <w:ind/>
    </w:pPr>
  </w:style>
  <w:style w:type="paragraph" w:styleId="809">
    <w:name w:val="endnote text"/>
    <w:basedOn w:val="740"/>
    <w:link w:val="772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810">
    <w:name w:val="Index Heading"/>
    <w:basedOn w:val="799"/>
    <w:pPr>
      <w:pBdr/>
      <w:spacing/>
      <w:ind/>
    </w:pPr>
  </w:style>
  <w:style w:type="paragraph" w:styleId="811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ahoma" w:cs="Lohit Devanagari"/>
      <w:color w:val="auto"/>
      <w:sz w:val="20"/>
      <w:szCs w:val="20"/>
      <w:lang w:val="ru-RU" w:eastAsia="ru-RU" w:bidi="ar-SA"/>
    </w:rPr>
  </w:style>
  <w:style w:type="paragraph" w:styleId="812">
    <w:name w:val="table of figures"/>
    <w:basedOn w:val="740"/>
    <w:next w:val="740"/>
    <w:uiPriority w:val="99"/>
    <w:unhideWhenUsed/>
    <w:qFormat/>
    <w:pPr>
      <w:pBdr/>
      <w:spacing w:after="0" w:afterAutospacing="0" w:before="0"/>
      <w:ind/>
    </w:pPr>
  </w:style>
  <w:style w:type="paragraph" w:styleId="813" w:customStyle="1">
    <w:name w:val="Заголовок1"/>
    <w:basedOn w:val="740"/>
    <w:next w:val="800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814">
    <w:name w:val="caption1"/>
    <w:basedOn w:val="740"/>
    <w:qFormat/>
    <w:pPr>
      <w:suppressLineNumbers w:val="true"/>
      <w:pBdr/>
      <w:spacing w:after="120" w:before="120"/>
      <w:ind/>
    </w:pPr>
    <w:rPr>
      <w:rFonts w:cs="Lohit Devanagari"/>
      <w:i/>
      <w:iCs/>
    </w:rPr>
  </w:style>
  <w:style w:type="paragraph" w:styleId="815">
    <w:name w:val="index heading1"/>
    <w:basedOn w:val="740"/>
    <w:qFormat/>
    <w:pPr>
      <w:suppressLineNumbers w:val="true"/>
      <w:pBdr/>
      <w:spacing/>
      <w:ind/>
    </w:pPr>
    <w:rPr>
      <w:rFonts w:cs="Lohit Devanagari"/>
    </w:rPr>
  </w:style>
  <w:style w:type="paragraph" w:styleId="816" w:customStyle="1">
    <w:name w:val="caption11"/>
    <w:basedOn w:val="740"/>
    <w:qFormat/>
    <w:pPr>
      <w:suppressLineNumbers w:val="true"/>
      <w:pBdr/>
      <w:spacing w:after="120" w:before="120"/>
      <w:ind/>
    </w:pPr>
    <w:rPr>
      <w:rFonts w:cs="Lohit Devanagari"/>
      <w:i/>
      <w:iCs/>
    </w:rPr>
  </w:style>
  <w:style w:type="paragraph" w:styleId="817" w:customStyle="1">
    <w:name w:val="Знак Знак Знак Знак Знак Знак Знак Знак Знак1"/>
    <w:basedOn w:val="740"/>
    <w:qFormat/>
    <w:pPr>
      <w:pBdr/>
      <w:spacing w:after="160" w:before="0" w:line="240" w:lineRule="exact"/>
      <w:ind/>
      <w:jc w:val="both"/>
    </w:pPr>
    <w:rPr>
      <w:rFonts w:ascii="Verdana" w:hAnsi="Verdana"/>
      <w:sz w:val="22"/>
      <w:szCs w:val="20"/>
      <w:lang w:val="en-US" w:eastAsia="en-US"/>
    </w:rPr>
  </w:style>
  <w:style w:type="paragraph" w:styleId="818" w:customStyle="1">
    <w:name w:val="Обычный1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819">
    <w:name w:val="Plain Text"/>
    <w:basedOn w:val="740"/>
    <w:unhideWhenUsed/>
    <w:qFormat/>
    <w:pPr>
      <w:pBdr/>
      <w:spacing/>
      <w:ind/>
    </w:pPr>
    <w:rPr>
      <w:rFonts w:ascii="Consolas" w:hAnsi="Consolas" w:eastAsia="Calibri"/>
      <w:sz w:val="21"/>
      <w:szCs w:val="21"/>
      <w:lang w:eastAsia="en-US"/>
    </w:rPr>
  </w:style>
  <w:style w:type="paragraph" w:styleId="820" w:customStyle="1">
    <w:name w:val="Подпункт договора"/>
    <w:basedOn w:val="740"/>
    <w:qFormat/>
    <w:pPr>
      <w:pBdr/>
      <w:tabs>
        <w:tab w:val="left" w:leader="none" w:pos="360"/>
        <w:tab w:val="clear" w:leader="none" w:pos="709"/>
      </w:tabs>
      <w:spacing/>
      <w:ind/>
      <w:jc w:val="both"/>
    </w:pPr>
    <w:rPr>
      <w:rFonts w:ascii="Arial" w:hAnsi="Arial"/>
      <w:sz w:val="20"/>
      <w:szCs w:val="20"/>
      <w:lang w:val="ru-RU"/>
    </w:rPr>
  </w:style>
  <w:style w:type="paragraph" w:styleId="821" w:customStyle="1">
    <w:name w:val="Пункт"/>
    <w:basedOn w:val="740"/>
    <w:qFormat/>
    <w:pPr>
      <w:numPr>
        <w:ilvl w:val="2"/>
        <w:numId w:val="1"/>
      </w:numPr>
      <w:pBdr/>
      <w:spacing/>
      <w:ind/>
      <w:jc w:val="both"/>
    </w:pPr>
    <w:rPr>
      <w:sz w:val="28"/>
      <w:lang w:val="ru-RU"/>
    </w:rPr>
  </w:style>
  <w:style w:type="paragraph" w:styleId="822" w:customStyle="1">
    <w:name w:val="Подпункт"/>
    <w:basedOn w:val="821"/>
    <w:qFormat/>
    <w:pPr>
      <w:pBdr/>
      <w:spacing/>
      <w:ind/>
    </w:pPr>
  </w:style>
  <w:style w:type="paragraph" w:styleId="823" w:customStyle="1">
    <w:name w:val="Подподпункт"/>
    <w:basedOn w:val="822"/>
    <w:qFormat/>
    <w:pPr>
      <w:pBdr/>
      <w:spacing/>
      <w:ind/>
    </w:pPr>
  </w:style>
  <w:style w:type="paragraph" w:styleId="824" w:customStyle="1">
    <w:name w:val="Пункт договора"/>
    <w:basedOn w:val="740"/>
    <w:qFormat/>
    <w:pPr>
      <w:widowControl w:val="false"/>
      <w:pBdr/>
      <w:spacing/>
      <w:ind/>
      <w:jc w:val="both"/>
    </w:pPr>
    <w:rPr>
      <w:rFonts w:ascii="Arial" w:hAnsi="Arial"/>
      <w:sz w:val="20"/>
      <w:szCs w:val="20"/>
      <w:lang w:val="ru-RU"/>
    </w:rPr>
  </w:style>
  <w:style w:type="paragraph" w:styleId="825" w:customStyle="1">
    <w:name w:val="Знак"/>
    <w:basedOn w:val="740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826">
    <w:name w:val="footnote text"/>
    <w:basedOn w:val="740"/>
    <w:link w:val="789"/>
    <w:uiPriority w:val="99"/>
    <w:pPr>
      <w:pBdr/>
      <w:spacing/>
      <w:ind/>
    </w:pPr>
    <w:rPr>
      <w:sz w:val="20"/>
      <w:szCs w:val="20"/>
    </w:rPr>
  </w:style>
  <w:style w:type="paragraph" w:styleId="827" w:customStyle="1">
    <w:name w:val="Раздел договора"/>
    <w:basedOn w:val="740"/>
    <w:next w:val="824"/>
    <w:qFormat/>
    <w:pPr>
      <w:keepNext w:val="true"/>
      <w:keepLines w:val="true"/>
      <w:widowControl w:val="false"/>
      <w:pBdr/>
      <w:spacing w:after="200" w:before="240"/>
      <w:ind/>
    </w:pPr>
    <w:rPr>
      <w:rFonts w:ascii="Arial" w:hAnsi="Arial"/>
      <w:b/>
      <w:caps/>
      <w:sz w:val="20"/>
      <w:szCs w:val="20"/>
      <w:lang w:val="ru-RU"/>
    </w:rPr>
  </w:style>
  <w:style w:type="paragraph" w:styleId="828">
    <w:name w:val="Balloon Text"/>
    <w:basedOn w:val="740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829">
    <w:name w:val="Body Text 3"/>
    <w:basedOn w:val="740"/>
    <w:link w:val="776"/>
    <w:qFormat/>
    <w:pPr>
      <w:pBdr/>
      <w:spacing w:after="120" w:before="0"/>
      <w:ind/>
    </w:pPr>
    <w:rPr>
      <w:sz w:val="16"/>
      <w:szCs w:val="16"/>
    </w:rPr>
  </w:style>
  <w:style w:type="paragraph" w:styleId="830" w:customStyle="1">
    <w:name w:val="ConsNormal"/>
    <w:qFormat/>
    <w:pPr>
      <w:widowControl w:val="true"/>
      <w:pBdr/>
      <w:bidi w:val="false"/>
      <w:spacing w:after="0" w:before="0"/>
      <w:ind w:right="19772" w:firstLine="720"/>
      <w:jc w:val="left"/>
    </w:pPr>
    <w:rPr>
      <w:rFonts w:ascii="Arial" w:hAnsi="Arial" w:eastAsia="Times New Roman" w:cs="Times New Roman"/>
      <w:color w:val="auto"/>
      <w:sz w:val="32"/>
      <w:szCs w:val="20"/>
      <w:lang w:val="ru-RU" w:eastAsia="en-US" w:bidi="ar-SA"/>
    </w:rPr>
  </w:style>
  <w:style w:type="paragraph" w:styleId="831" w:customStyle="1">
    <w:name w:val="Знак Знак Знак Знак Знак Знак Знак Знак Знак"/>
    <w:basedOn w:val="740"/>
    <w:qFormat/>
    <w:pPr>
      <w:pBdr/>
      <w:spacing w:after="160" w:before="0" w:line="240" w:lineRule="exact"/>
      <w:ind/>
      <w:jc w:val="both"/>
    </w:pPr>
    <w:rPr>
      <w:rFonts w:ascii="Verdana" w:hAnsi="Verdana"/>
      <w:sz w:val="22"/>
      <w:szCs w:val="20"/>
      <w:lang w:val="en-US" w:eastAsia="en-US"/>
    </w:rPr>
  </w:style>
  <w:style w:type="paragraph" w:styleId="832">
    <w:name w:val="List Paragraph"/>
    <w:basedOn w:val="740"/>
    <w:link w:val="793"/>
    <w:uiPriority w:val="34"/>
    <w:qFormat/>
    <w:pPr>
      <w:pBdr/>
      <w:spacing w:after="0" w:before="0"/>
      <w:ind w:firstLine="0" w:left="720"/>
      <w:contextualSpacing w:val="true"/>
    </w:pPr>
    <w:rPr>
      <w:lang w:val="ru-RU"/>
    </w:rPr>
  </w:style>
  <w:style w:type="paragraph" w:styleId="833">
    <w:name w:val="annotation text"/>
    <w:basedOn w:val="740"/>
    <w:link w:val="779"/>
    <w:uiPriority w:val="99"/>
    <w:qFormat/>
    <w:pPr>
      <w:pBdr/>
      <w:spacing/>
      <w:ind/>
    </w:pPr>
    <w:rPr>
      <w:sz w:val="20"/>
      <w:szCs w:val="20"/>
    </w:rPr>
  </w:style>
  <w:style w:type="paragraph" w:styleId="834">
    <w:name w:val="annotation subject"/>
    <w:basedOn w:val="833"/>
    <w:next w:val="833"/>
    <w:link w:val="780"/>
    <w:qFormat/>
    <w:pPr>
      <w:pBdr/>
      <w:spacing/>
      <w:ind/>
    </w:pPr>
    <w:rPr>
      <w:b/>
      <w:bCs/>
    </w:rPr>
  </w:style>
  <w:style w:type="paragraph" w:styleId="835">
    <w:name w:val="Body Text Indent 3"/>
    <w:basedOn w:val="740"/>
    <w:link w:val="781"/>
    <w:qFormat/>
    <w:pPr>
      <w:pBdr/>
      <w:spacing w:after="120" w:before="0" w:line="360" w:lineRule="auto"/>
      <w:ind w:firstLine="567" w:left="283"/>
      <w:jc w:val="both"/>
    </w:pPr>
    <w:rPr>
      <w:sz w:val="16"/>
      <w:szCs w:val="16"/>
    </w:rPr>
  </w:style>
  <w:style w:type="paragraph" w:styleId="836">
    <w:name w:val="Revision"/>
    <w:uiPriority w:val="99"/>
    <w:semiHidden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GB" w:eastAsia="ru-RU" w:bidi="ar-SA"/>
    </w:rPr>
  </w:style>
  <w:style w:type="paragraph" w:styleId="837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838" w:customStyle="1">
    <w:name w:val="Название1"/>
    <w:basedOn w:val="740"/>
    <w:link w:val="783"/>
    <w:qFormat/>
    <w:pPr>
      <w:widowControl w:val="false"/>
      <w:pBdr/>
      <w:spacing w:after="120" w:before="0"/>
      <w:ind/>
      <w:jc w:val="center"/>
    </w:pPr>
    <w:rPr>
      <w:b/>
      <w:bCs/>
      <w:sz w:val="32"/>
      <w:szCs w:val="20"/>
      <w:lang w:val="ru-RU"/>
    </w:rPr>
  </w:style>
  <w:style w:type="paragraph" w:styleId="839" w:customStyle="1">
    <w:name w:val="Колонтитул"/>
    <w:basedOn w:val="740"/>
    <w:qFormat/>
    <w:pPr>
      <w:pBdr/>
      <w:spacing/>
      <w:ind/>
    </w:pPr>
  </w:style>
  <w:style w:type="paragraph" w:styleId="840">
    <w:name w:val="Header"/>
    <w:basedOn w:val="740"/>
    <w:link w:val="784"/>
    <w:uiPriority w:val="99"/>
    <w:pPr>
      <w:pBdr/>
      <w:tabs>
        <w:tab w:val="clear" w:leader="none" w:pos="709"/>
        <w:tab w:val="center" w:leader="none" w:pos="4677"/>
        <w:tab w:val="right" w:leader="none" w:pos="9355"/>
      </w:tabs>
      <w:spacing/>
      <w:ind/>
    </w:pPr>
  </w:style>
  <w:style w:type="paragraph" w:styleId="841">
    <w:name w:val="Footer"/>
    <w:basedOn w:val="740"/>
    <w:link w:val="785"/>
    <w:uiPriority w:val="99"/>
    <w:pPr>
      <w:pBdr/>
      <w:tabs>
        <w:tab w:val="clear" w:leader="none" w:pos="709"/>
        <w:tab w:val="center" w:leader="none" w:pos="4677"/>
        <w:tab w:val="right" w:leader="none" w:pos="9355"/>
      </w:tabs>
      <w:spacing/>
      <w:ind/>
    </w:pPr>
  </w:style>
  <w:style w:type="paragraph" w:styleId="842">
    <w:name w:val="Body Text 2"/>
    <w:basedOn w:val="740"/>
    <w:link w:val="786"/>
    <w:qFormat/>
    <w:pPr>
      <w:pBdr/>
      <w:spacing w:after="120" w:before="0" w:line="480" w:lineRule="auto"/>
      <w:ind/>
    </w:pPr>
  </w:style>
  <w:style w:type="paragraph" w:styleId="843">
    <w:name w:val="Body Text Indent"/>
    <w:basedOn w:val="740"/>
    <w:link w:val="787"/>
    <w:pPr>
      <w:pBdr/>
      <w:spacing w:after="120" w:before="0"/>
      <w:ind w:firstLine="0" w:left="283"/>
    </w:pPr>
  </w:style>
  <w:style w:type="paragraph" w:styleId="844" w:customStyle="1">
    <w:name w:val="Пункт 3.3.3"/>
    <w:basedOn w:val="740"/>
    <w:qFormat/>
    <w:pPr>
      <w:keepNext w:val="true"/>
      <w:keepLines w:val="true"/>
      <w:widowControl w:val="false"/>
      <w:pBdr/>
      <w:tabs>
        <w:tab w:val="clear" w:leader="none" w:pos="709"/>
        <w:tab w:val="left" w:leader="none" w:pos="920"/>
      </w:tabs>
      <w:spacing w:after="240" w:before="240"/>
      <w:ind w:hanging="504" w:left="704"/>
      <w:outlineLvl w:val="1"/>
    </w:pPr>
    <w:rPr>
      <w:szCs w:val="20"/>
      <w:lang w:val="ru-RU"/>
    </w:rPr>
  </w:style>
  <w:style w:type="paragraph" w:styleId="845" w:customStyle="1">
    <w:name w:val="caption111"/>
    <w:basedOn w:val="740"/>
    <w:next w:val="740"/>
    <w:qFormat/>
    <w:pPr>
      <w:widowControl w:val="false"/>
      <w:pBdr/>
      <w:spacing w:after="120" w:before="120"/>
      <w:ind/>
      <w:jc w:val="both"/>
    </w:pPr>
    <w:rPr>
      <w:b/>
      <w:bCs/>
      <w:lang w:val="ru-RU"/>
    </w:rPr>
  </w:style>
  <w:style w:type="paragraph" w:styleId="846" w:customStyle="1">
    <w:name w:val="1. Статья"/>
    <w:basedOn w:val="743"/>
    <w:qFormat/>
    <w:pPr>
      <w:keepNext w:val="false"/>
      <w:keepLines w:val="false"/>
      <w:widowControl w:val="false"/>
      <w:numPr>
        <w:ilvl w:val="0"/>
        <w:numId w:val="2"/>
      </w:numPr>
      <w:pBdr/>
      <w:tabs>
        <w:tab w:val="clear" w:leader="none" w:pos="709"/>
        <w:tab w:val="left" w:leader="none" w:pos="2340"/>
      </w:tabs>
      <w:spacing w:after="0" w:before="0"/>
      <w:ind w:right="1462" w:firstLine="0"/>
      <w:jc w:val="center"/>
    </w:pPr>
    <w:rPr>
      <w:rFonts w:ascii="Times New Roman" w:hAnsi="Times New Roman"/>
      <w:b w:val="0"/>
      <w:bCs w:val="0"/>
      <w:color w:val="auto"/>
    </w:rPr>
  </w:style>
  <w:style w:type="paragraph" w:styleId="847" w:customStyle="1">
    <w:name w:val="2. Пункт"/>
    <w:basedOn w:val="743"/>
    <w:qFormat/>
    <w:pPr>
      <w:keepNext w:val="false"/>
      <w:keepLines w:val="false"/>
      <w:widowControl w:val="false"/>
      <w:numPr>
        <w:ilvl w:val="1"/>
        <w:numId w:val="2"/>
      </w:numPr>
      <w:pBdr/>
      <w:spacing w:after="0" w:before="0"/>
      <w:ind/>
      <w:jc w:val="both"/>
    </w:pPr>
    <w:rPr>
      <w:rFonts w:ascii="Times New Roman" w:hAnsi="Times New Roman"/>
      <w:b w:val="0"/>
      <w:bCs w:val="0"/>
      <w:color w:val="auto"/>
    </w:rPr>
  </w:style>
  <w:style w:type="paragraph" w:styleId="848" w:customStyle="1">
    <w:name w:val="3. Подпункт"/>
    <w:basedOn w:val="743"/>
    <w:link w:val="792"/>
    <w:qFormat/>
    <w:pPr>
      <w:keepNext w:val="false"/>
      <w:keepLines w:val="false"/>
      <w:widowControl w:val="false"/>
      <w:numPr>
        <w:ilvl w:val="2"/>
        <w:numId w:val="2"/>
      </w:numPr>
      <w:pBdr/>
      <w:tabs>
        <w:tab w:val="clear" w:leader="none" w:pos="709"/>
        <w:tab w:val="left" w:leader="none" w:pos="1620"/>
      </w:tabs>
      <w:spacing w:after="0" w:before="0"/>
      <w:ind/>
      <w:jc w:val="both"/>
    </w:pPr>
    <w:rPr>
      <w:rFonts w:ascii="Times New Roman" w:hAnsi="Times New Roman"/>
      <w:color w:val="auto"/>
    </w:rPr>
  </w:style>
  <w:style w:type="paragraph" w:styleId="849" w:customStyle="1">
    <w:name w:val="Содержимое списка"/>
    <w:basedOn w:val="740"/>
    <w:qFormat/>
    <w:pPr>
      <w:pBdr/>
      <w:spacing/>
      <w:ind w:firstLine="0" w:left="567"/>
    </w:pPr>
  </w:style>
  <w:style w:type="paragraph" w:styleId="850">
    <w:name w:val="TOC 1"/>
    <w:basedOn w:val="740"/>
    <w:next w:val="740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851">
    <w:name w:val="TOC 4"/>
    <w:basedOn w:val="740"/>
    <w:next w:val="740"/>
    <w:pPr>
      <w:pBdr/>
      <w:tabs>
        <w:tab w:val="clear" w:leader="none" w:pos="709"/>
        <w:tab w:val="left" w:leader="none" w:pos="1120"/>
        <w:tab w:val="right" w:leader="none" w:pos="9911"/>
      </w:tabs>
      <w:spacing/>
      <w:ind w:firstLine="0" w:left="560"/>
    </w:pPr>
    <w:rPr>
      <w:rFonts w:cs="Calibri" w:cstheme="minorHAnsi"/>
      <w:sz w:val="20"/>
      <w:szCs w:val="20"/>
    </w:rPr>
  </w:style>
  <w:style w:type="paragraph" w:styleId="852">
    <w:name w:val="TOC 3"/>
    <w:basedOn w:val="740"/>
    <w:next w:val="740"/>
    <w:pPr>
      <w:pBdr/>
      <w:tabs>
        <w:tab w:val="clear" w:leader="none" w:pos="709"/>
        <w:tab w:val="left" w:leader="none" w:pos="1120"/>
        <w:tab w:val="right" w:leader="dot" w:pos="9911"/>
      </w:tabs>
      <w:spacing/>
      <w:ind w:firstLine="287" w:left="280"/>
    </w:pPr>
    <w:rPr>
      <w:rFonts w:cs="Calibri" w:cstheme="minorHAnsi"/>
      <w:sz w:val="20"/>
      <w:szCs w:val="20"/>
    </w:rPr>
  </w:style>
  <w:style w:type="paragraph" w:styleId="853">
    <w:name w:val="Таблица шапка"/>
    <w:basedOn w:val="740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854">
    <w:name w:val="Таблица"/>
    <w:basedOn w:val="740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855">
    <w:name w:val="Содержимое таблицы"/>
    <w:basedOn w:val="740"/>
    <w:qFormat/>
    <w:pPr>
      <w:widowControl w:val="false"/>
      <w:suppressLineNumbers w:val="true"/>
      <w:pBdr/>
      <w:spacing/>
      <w:ind/>
    </w:pPr>
  </w:style>
  <w:style w:type="paragraph" w:styleId="856">
    <w:name w:val="Заголовок таблицы"/>
    <w:basedOn w:val="855"/>
    <w:qFormat/>
    <w:pPr>
      <w:suppressLineNumbers w:val="true"/>
      <w:pBdr/>
      <w:spacing/>
      <w:ind/>
      <w:jc w:val="center"/>
    </w:pPr>
    <w:rPr>
      <w:b/>
      <w:bCs/>
    </w:rPr>
  </w:style>
  <w:style w:type="paragraph" w:styleId="857">
    <w:name w:val="Содержимое врезки"/>
    <w:basedOn w:val="740"/>
    <w:qFormat/>
    <w:pPr>
      <w:pBdr/>
      <w:spacing/>
      <w:ind/>
    </w:pPr>
  </w:style>
  <w:style w:type="numbering" w:styleId="858" w:default="1">
    <w:name w:val="No List"/>
    <w:uiPriority w:val="99"/>
    <w:semiHidden/>
    <w:unhideWhenUsed/>
    <w:qFormat/>
    <w:pPr>
      <w:pBdr/>
      <w:spacing/>
      <w:ind/>
    </w:pPr>
  </w:style>
  <w:style w:type="table" w:styleId="859">
    <w:name w:val="Table Grid Light"/>
    <w:basedOn w:val="984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Plain Table 1"/>
    <w:basedOn w:val="984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Plain Table 2"/>
    <w:basedOn w:val="98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Plain Table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Plain Table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Plain Table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1 Light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1 Light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1 Light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1 Light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1 Light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1 Light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1 Light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2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2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2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2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2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2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3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3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3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3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3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3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4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4 - Accent 1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4 - Accent 2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4 - Accent 3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4 - Accent 4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4 - Accent 5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4 - Accent 6"/>
    <w:basedOn w:val="98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5 Dark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5 Dark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5 Dark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5 Dark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5 Dark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5 Dark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5 Dark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6 Colorful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6 Colorful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6 Colorful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6 Colorful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6 Colorful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6 Colorful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6 Colorful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7 Colorful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7 Colorful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7 Colorful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7 Colorful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7 Colorful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7 Colorful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7 Colorful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1 Light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1 Light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1 Light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1 Light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1 Light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1 Light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1 Light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2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2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2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2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2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2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3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3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3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3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3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3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4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4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4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4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4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4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5 Dark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5 Dark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5 Dark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5 Dark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5 Dark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5 Dark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5 Dark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6 Colorful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6 Colorful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6 Colorful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6 Colorful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6 Colorful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6 Colorful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6 Colorful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7 Colorful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7 Colorful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7 Colorful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7 Colorful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7 Colorful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7 Colorful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7 Colorful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ned - Accent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ned - Accent 1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ned - Accent 2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ned - Accent 3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ned - Accent 4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ned - Accent 5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ned - Accent 6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Bordered &amp; Lined - Accent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Bordered &amp; Lined - Accent 1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Bordered &amp; Lined - Accent 2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Bordered &amp; Lined - Accent 3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Bordered &amp; Lined - Accent 4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Bordered &amp; Lined - Accent 5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Bordered &amp; Lined - Accent 6"/>
    <w:basedOn w:val="9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Bordered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Bordered - Accent 1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Bordered - Accent 2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Bordered - Accent 3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Bordered - Accent 4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Bordered - Accent 5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Bordered - Accent 6"/>
    <w:basedOn w:val="98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Table Grid"/>
    <w:basedOn w:val="984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customXml" Target="../customXml/item1.xml" /><Relationship Id="rId17" Type="http://schemas.openxmlformats.org/officeDocument/2006/relationships/customXml" Target="../customXml/item2.xml" /><Relationship Id="rId18" Type="http://schemas.openxmlformats.org/officeDocument/2006/relationships/customXml" Target="../customXml/item3.xml" /><Relationship Id="rId19" Type="http://schemas.openxmlformats.org/officeDocument/2006/relationships/customXml" Target="../customXml/item4.xml" /><Relationship Id="rId20" Type="http://schemas.openxmlformats.org/officeDocument/2006/relationships/customXml" Target="../customXml/item5.xml" /><Relationship Id="rId21" Type="http://schemas.openxmlformats.org/officeDocument/2006/relationships/customXml" Target="../customXml/item6.xml" /><Relationship Id="rId22" Type="http://schemas.openxmlformats.org/officeDocument/2006/relationships/customXml" Target="../customXml/item7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_rels/item7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7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AEC775-C5B8-45D0-B91D-76AB29647A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BE7DDC-4AA1-46F4-BC99-D3A7A2B98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286A02-F802-4A40-9906-5974C623B2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1C35C9-BE4E-4B25-B1FC-9879CBA38EF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BBA7491-7DB0-4C29-8E6E-3CEA82C2C0A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7C98DB7-5167-4156-BED0-F37957EBBAE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16203A6F-6C3C-4DAB-B0C8-333083DAE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УК ГидроОГК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subject/>
  <dc:creator>UK VoHEC</dc:creator>
  <dc:description/>
  <dc:language>ru-RU</dc:language>
  <cp:revision>19</cp:revision>
  <dcterms:created xsi:type="dcterms:W3CDTF">2025-10-23T13:51:00Z</dcterms:created>
  <dcterms:modified xsi:type="dcterms:W3CDTF">2026-09-13T09:21:52Z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