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на оказания услуг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sz w:val="26"/>
          <w:szCs w:val="26"/>
        </w:rPr>
        <w:t xml:space="preserve">«</w:t>
      </w:r>
      <w:r>
        <w:rPr>
          <w:rFonts w:eastAsia="Calibri"/>
          <w:b/>
          <w:sz w:val="28"/>
          <w:szCs w:val="28"/>
        </w:rPr>
        <w:t xml:space="preserve">ОКПД 2 - 50.40.19.900</w:t>
      </w:r>
      <w:r>
        <w:rPr>
          <w:rFonts w:eastAsia="Calibri"/>
          <w:b/>
          <w:bCs/>
          <w:sz w:val="28"/>
          <w:szCs w:val="28"/>
        </w:rPr>
      </w:r>
      <w:r>
        <w:rPr>
          <w:rFonts w:eastAsia="Calibri"/>
          <w:b/>
          <w:bCs/>
          <w:sz w:val="28"/>
          <w:szCs w:val="28"/>
        </w:rPr>
      </w:r>
    </w:p>
    <w:p>
      <w:pPr>
        <w:pStyle w:val="872"/>
        <w:keepNext w:val="true"/>
        <w:keepLines w:val="true"/>
        <w:pBdr/>
        <w:spacing/>
        <w:ind/>
        <w:jc w:val="center"/>
        <w:rPr>
          <w:sz w:val="26"/>
          <w:szCs w:val="26"/>
        </w:rPr>
      </w:pPr>
      <w:r>
        <w:rPr>
          <w:rFonts w:eastAsia="Calibri"/>
          <w:b/>
          <w:sz w:val="28"/>
          <w:szCs w:val="28"/>
        </w:rPr>
        <w:t xml:space="preserve">Перевозка инертных материалов, спецтехники и товарно-материальных ценностей (ТМЦ) речным видом транспорта для Сиктях Булунский улус</w:t>
      </w:r>
      <w:r>
        <w:rPr>
          <w:rFonts w:eastAsia="Calibri"/>
          <w:b/>
          <w:sz w:val="26"/>
          <w:szCs w:val="26"/>
        </w:rPr>
        <w:t xml:space="preserve">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lef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keepNext w:val="true"/>
        <w:keepLines w:val="true"/>
        <w:pBdr/>
        <w:spacing/>
        <w:ind/>
        <w:jc w:val="left"/>
        <w:rPr>
          <w:sz w:val="26"/>
          <w:szCs w:val="26"/>
        </w:rPr>
        <w:sectPr>
          <w:headerReference w:type="default" r:id="rId9"/>
          <w:footnotePr/>
          <w:endnotePr/>
          <w:type w:val="nextPage"/>
          <w:pgSz w:h="16838" w:orient="portrait" w:w="11906"/>
          <w:pgMar w:top="1134" w:right="851" w:bottom="992" w:left="1134" w:header="680" w:footer="0" w:gutter="0"/>
          <w:cols w:num="1" w:sep="0" w:space="1701" w:equalWidth="1"/>
        </w:sectPr>
      </w:pPr>
      <w:r>
        <w:rPr>
          <w:rFonts w:eastAsia="Times New Roman" w:cs="Times New Roman"/>
          <w:b/>
          <w:sz w:val="26"/>
          <w:szCs w:val="26"/>
          <w:highlight w:val="none"/>
          <w:lang w:eastAsia="ru-RU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2"/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СОДЕРЖАНИЕ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951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>
            <w:fldChar w:fldCharType="begin"/>
          </w:r>
          <w:r>
            <w:instrText xml:space="preserve"> TOC \o "1-4" \h</w:instrText>
          </w:r>
          <w:r>
            <w:fldChar w:fldCharType="separate"/>
          </w:r>
          <w:hyperlink w:tooltip="#_Toc54643694" w:anchor="_Toc54643694" w:history="1">
            <w:r>
              <w:t xml:space="preserve">1.</w:t>
            </w:r>
          </w:hyperlink>
          <w:r/>
          <w:hyperlink w:tooltip="#_Toc54643694" w:anchor="_Toc54643694" w:history="1">
            <w:r>
              <w:fldChar w:fldCharType="begin"/>
            </w:r>
            <w:r>
              <w:instrText xml:space="preserve">PAGEREF _Toc54643694 \h</w:instrText>
            </w:r>
            <w:r>
              <w:fldChar w:fldCharType="separate"/>
            </w:r>
            <w:r>
              <w:rPr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694" w:anchor="_Toc54643694" w:history="1">
            <w:r>
              <w:fldChar w:fldCharType="begin"/>
            </w:r>
            <w:r>
              <w:instrText xml:space="preserve">PAGEREF _Toc54643694 \h</w:instrText>
            </w:r>
            <w:r>
              <w:fldChar w:fldCharType="separate"/>
            </w:r>
            <w:r>
              <w:t xml:space="preserve">Общие сведения</w:t>
            </w:r>
            <w:r>
              <w:fldChar w:fldCharType="end"/>
            </w:r>
          </w:hyperlink>
          <w:r/>
          <w:hyperlink w:tooltip="#_Toc54643694" w:anchor="_Toc54643694" w:history="1">
            <w:r>
              <w:fldChar w:fldCharType="begin"/>
            </w:r>
            <w:r>
              <w:instrText xml:space="preserve">PAGEREF _Toc54643694 \h</w:instrText>
            </w:r>
            <w:r>
              <w:fldChar w:fldCharType="separate"/>
            </w:r>
            <w:r>
              <w:tab/>
              <w:t xml:space="preserve">3</w:t>
            </w:r>
            <w:r>
              <w:fldChar w:fldCharType="end"/>
            </w:r>
          </w:hyperlink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962"/>
            <w:pBdr/>
            <w:spacing/>
            <w:ind/>
            <w:rPr>
              <w:sz w:val="26"/>
              <w:szCs w:val="26"/>
            </w:rPr>
          </w:pPr>
          <w:r/>
          <w:hyperlink w:tooltip="#_Toc54643695" w:anchor="_Toc54643695" w:history="1">
            <w:r>
              <w:rPr>
                <w:iCs/>
                <w:sz w:val="24"/>
                <w:szCs w:val="24"/>
              </w:rPr>
              <w:t xml:space="preserve">1.1.</w:t>
            </w:r>
          </w:hyperlink>
          <w:r/>
          <w:hyperlink w:tooltip="#_Toc54643695" w:anchor="_Toc54643695" w:history="1">
            <w:r>
              <w:fldChar w:fldCharType="begin"/>
            </w:r>
            <w:r>
              <w:instrText xml:space="preserve">PAGEREF _Toc54643695 \h</w:instrText>
            </w:r>
            <w:r>
              <w:fldChar w:fldCharType="separate"/>
            </w:r>
            <w:r>
              <w:rPr>
                <w:sz w:val="24"/>
                <w:szCs w:val="24"/>
              </w:rPr>
              <w:tab/>
            </w:r>
            <w:r>
              <w:fldChar w:fldCharType="end"/>
            </w:r>
          </w:hyperlink>
          <w:r/>
          <w:hyperlink w:tooltip="#_Toc54643695" w:anchor="_Toc54643695" w:history="1">
            <w:r>
              <w:fldChar w:fldCharType="begin"/>
            </w:r>
            <w:r>
              <w:instrText xml:space="preserve">PAGEREF _Toc54643695 \h</w:instrText>
            </w:r>
            <w:r>
              <w:fldChar w:fldCharType="separate"/>
            </w:r>
            <w:r>
              <w:rPr>
                <w:sz w:val="24"/>
                <w:szCs w:val="24"/>
              </w:rPr>
              <w:t xml:space="preserve">Обозначения и сокращения</w:t>
            </w:r>
            <w:r>
              <w:fldChar w:fldCharType="end"/>
            </w:r>
          </w:hyperlink>
          <w:r/>
          <w:hyperlink w:tooltip="#_Toc54643695" w:anchor="_Toc54643695" w:history="1">
            <w:r>
              <w:fldChar w:fldCharType="begin"/>
            </w:r>
            <w:r>
              <w:instrText xml:space="preserve">PAGEREF _Toc54643695 \h</w:instrText>
            </w:r>
            <w:r>
              <w:fldChar w:fldCharType="separate"/>
            </w:r>
            <w:r>
              <w:rPr>
                <w:sz w:val="24"/>
                <w:szCs w:val="24"/>
              </w:rPr>
              <w:tab/>
              <w:t xml:space="preserve">3</w:t>
            </w:r>
            <w:r>
              <w:fldChar w:fldCharType="end"/>
            </w:r>
          </w:hyperlink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962"/>
            <w:pBdr/>
            <w:spacing/>
            <w:ind/>
            <w:rPr>
              <w:sz w:val="26"/>
              <w:szCs w:val="26"/>
            </w:rPr>
          </w:pPr>
          <w:r/>
          <w:hyperlink w:tooltip="#_Toc54643696" w:anchor="_Toc54643696" w:history="1">
            <w:r>
              <w:rPr>
                <w:iCs/>
                <w:sz w:val="24"/>
                <w:szCs w:val="24"/>
              </w:rPr>
              <w:t xml:space="preserve">1.2.</w:t>
            </w:r>
          </w:hyperlink>
          <w:r/>
          <w:hyperlink w:tooltip="#_Toc54643696" w:anchor="_Toc54643696" w:history="1">
            <w:r>
              <w:fldChar w:fldCharType="begin"/>
            </w:r>
            <w:r>
              <w:instrText xml:space="preserve">PAGEREF _Toc54643696 \h</w:instrText>
            </w:r>
            <w:r>
              <w:fldChar w:fldCharType="separate"/>
            </w:r>
            <w:r>
              <w:rPr>
                <w:sz w:val="24"/>
                <w:szCs w:val="24"/>
              </w:rPr>
              <w:tab/>
            </w:r>
            <w:r>
              <w:fldChar w:fldCharType="end"/>
            </w:r>
          </w:hyperlink>
          <w:r/>
          <w:hyperlink w:tooltip="#_Toc54643696" w:anchor="_Toc54643696" w:history="1">
            <w:r>
              <w:fldChar w:fldCharType="begin"/>
            </w:r>
            <w:r>
              <w:instrText xml:space="preserve">PAGEREF _Toc54643696 \h</w:instrText>
            </w:r>
            <w:r>
              <w:fldChar w:fldCharType="separate"/>
            </w:r>
            <w:r>
              <w:rPr>
                <w:sz w:val="24"/>
                <w:szCs w:val="24"/>
              </w:rPr>
              <w:t xml:space="preserve">Наименование закупаемой продукции</w:t>
            </w:r>
            <w:r>
              <w:fldChar w:fldCharType="end"/>
            </w:r>
          </w:hyperlink>
          <w:r/>
          <w:hyperlink w:tooltip="#_Toc54643696" w:anchor="_Toc54643696" w:history="1">
            <w:r>
              <w:fldChar w:fldCharType="begin"/>
            </w:r>
            <w:r>
              <w:instrText xml:space="preserve">PAGEREF _Toc54643696 \h</w:instrText>
            </w:r>
            <w:r>
              <w:fldChar w:fldCharType="separate"/>
            </w:r>
            <w:r>
              <w:rPr>
                <w:sz w:val="24"/>
                <w:szCs w:val="24"/>
              </w:rPr>
              <w:tab/>
              <w:t xml:space="preserve">3</w:t>
            </w:r>
            <w:r>
              <w:fldChar w:fldCharType="end"/>
            </w:r>
          </w:hyperlink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962"/>
            <w:pBdr/>
            <w:spacing/>
            <w:ind/>
            <w:rPr>
              <w:sz w:val="26"/>
              <w:szCs w:val="26"/>
            </w:rPr>
          </w:pPr>
          <w:r/>
          <w:hyperlink w:tooltip="#_Toc54643697" w:anchor="_Toc54643697" w:history="1">
            <w:r>
              <w:rPr>
                <w:iCs/>
                <w:sz w:val="24"/>
                <w:szCs w:val="24"/>
              </w:rPr>
              <w:t xml:space="preserve">1.3.</w:t>
            </w:r>
          </w:hyperlink>
          <w:r/>
          <w:hyperlink w:tooltip="#_Toc54643697" w:anchor="_Toc54643697" w:history="1">
            <w:r>
              <w:fldChar w:fldCharType="begin"/>
            </w:r>
            <w:r>
              <w:instrText xml:space="preserve">PAGEREF _Toc54643697 \h</w:instrText>
            </w:r>
            <w:r>
              <w:fldChar w:fldCharType="separate"/>
            </w:r>
            <w:r>
              <w:rPr>
                <w:sz w:val="24"/>
                <w:szCs w:val="24"/>
              </w:rPr>
              <w:tab/>
            </w:r>
            <w:r>
              <w:fldChar w:fldCharType="end"/>
            </w:r>
          </w:hyperlink>
          <w:r/>
          <w:hyperlink w:tooltip="#_Toc54643697" w:anchor="_Toc54643697" w:history="1">
            <w:r>
              <w:fldChar w:fldCharType="begin"/>
            </w:r>
            <w:r>
              <w:instrText xml:space="preserve">PAGEREF _Toc54643697 \h</w:instrText>
            </w:r>
            <w:r>
              <w:fldChar w:fldCharType="separate"/>
            </w:r>
            <w:r>
              <w:rPr>
                <w:sz w:val="24"/>
                <w:szCs w:val="24"/>
              </w:rPr>
              <w:t xml:space="preserve">Цель оказания услуг</w:t>
            </w:r>
            <w:r>
              <w:fldChar w:fldCharType="end"/>
            </w:r>
          </w:hyperlink>
          <w:r/>
          <w:hyperlink w:tooltip="#_Toc54643697" w:anchor="_Toc54643697" w:history="1">
            <w:r>
              <w:fldChar w:fldCharType="begin"/>
            </w:r>
            <w:r>
              <w:instrText xml:space="preserve">PAGEREF _Toc54643697 \h</w:instrText>
            </w:r>
            <w:r>
              <w:fldChar w:fldCharType="separate"/>
            </w:r>
            <w:r>
              <w:rPr>
                <w:sz w:val="24"/>
                <w:szCs w:val="24"/>
              </w:rPr>
              <w:tab/>
              <w:t xml:space="preserve">3</w:t>
            </w:r>
            <w:r>
              <w:fldChar w:fldCharType="end"/>
            </w:r>
          </w:hyperlink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951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/>
          <w:hyperlink w:tooltip="#_Toc54643702" w:anchor="_Toc54643702" w:history="1">
            <w:r>
              <w:t xml:space="preserve">2.</w:t>
            </w:r>
          </w:hyperlink>
          <w:r/>
          <w:hyperlink w:tooltip="#_Toc54643702" w:anchor="_Toc54643702" w:history="1">
            <w:r>
              <w:fldChar w:fldCharType="begin"/>
            </w:r>
            <w:r>
              <w:instrText xml:space="preserve">PAGEREF _Toc54643702 \h</w:instrText>
            </w:r>
            <w:r>
              <w:fldChar w:fldCharType="separate"/>
            </w:r>
            <w:r>
              <w:rPr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702" w:anchor="_Toc54643702" w:history="1">
            <w:r>
              <w:fldChar w:fldCharType="begin"/>
            </w:r>
            <w:r>
              <w:instrText xml:space="preserve">PAGEREF _Toc54643702 \h</w:instrText>
            </w:r>
            <w:r>
              <w:fldChar w:fldCharType="separate"/>
            </w:r>
            <w:r>
              <w:rPr>
                <w:iCs/>
              </w:rPr>
              <w:t xml:space="preserve">Требования к продукции</w:t>
            </w:r>
            <w:r>
              <w:fldChar w:fldCharType="end"/>
            </w:r>
          </w:hyperlink>
          <w:r/>
          <w:hyperlink w:tooltip="#_Toc54643702" w:anchor="_Toc54643702" w:history="1">
            <w:r>
              <w:fldChar w:fldCharType="begin"/>
            </w:r>
            <w:r>
              <w:instrText xml:space="preserve">PAGEREF _Toc54643702 \h</w:instrText>
            </w:r>
            <w:r>
              <w:fldChar w:fldCharType="separate"/>
            </w:r>
            <w:r>
              <w:tab/>
              <w:t xml:space="preserve">4</w:t>
            </w:r>
            <w:r>
              <w:fldChar w:fldCharType="end"/>
            </w:r>
          </w:hyperlink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962"/>
            <w:pBdr/>
            <w:spacing/>
            <w:ind/>
            <w:rPr>
              <w:sz w:val="26"/>
              <w:szCs w:val="26"/>
            </w:rPr>
          </w:pPr>
          <w:r/>
          <w:hyperlink w:tooltip="#_Toc54643703" w:anchor="_Toc54643703" w:history="1">
            <w:r>
              <w:rPr>
                <w:iCs/>
                <w:sz w:val="24"/>
                <w:szCs w:val="24"/>
              </w:rPr>
              <w:t xml:space="preserve">2.1.</w:t>
            </w:r>
          </w:hyperlink>
          <w:r/>
          <w:hyperlink w:tooltip="#_Toc54643703" w:anchor="_Toc54643703" w:history="1">
            <w:r>
              <w:fldChar w:fldCharType="begin"/>
            </w:r>
            <w:r>
              <w:instrText xml:space="preserve">PAGEREF _Toc54643703 \h</w:instrText>
            </w:r>
            <w:r>
              <w:fldChar w:fldCharType="separate"/>
            </w:r>
            <w:r>
              <w:rPr>
                <w:sz w:val="24"/>
                <w:szCs w:val="24"/>
              </w:rPr>
              <w:tab/>
            </w:r>
            <w:r>
              <w:fldChar w:fldCharType="end"/>
            </w:r>
          </w:hyperlink>
          <w:r/>
          <w:hyperlink w:tooltip="#_Toc54643703" w:anchor="_Toc54643703" w:history="1">
            <w:r>
              <w:fldChar w:fldCharType="begin"/>
            </w:r>
            <w:r>
              <w:instrText xml:space="preserve">PAGEREF _Toc54643703 \h</w:instrText>
            </w:r>
            <w:r>
              <w:fldChar w:fldCharType="separate"/>
            </w:r>
            <w:r>
              <w:rPr>
                <w:sz w:val="24"/>
                <w:szCs w:val="24"/>
              </w:rPr>
              <w:t xml:space="preserve">Требования к объемам и срокам оказания услуг</w:t>
            </w:r>
            <w:r>
              <w:fldChar w:fldCharType="end"/>
            </w:r>
          </w:hyperlink>
          <w:r/>
          <w:hyperlink w:tooltip="#_Toc54643703" w:anchor="_Toc54643703" w:history="1">
            <w:r>
              <w:fldChar w:fldCharType="begin"/>
            </w:r>
            <w:r>
              <w:instrText xml:space="preserve">PAGEREF _Toc54643703 \h</w:instrText>
            </w:r>
            <w:r>
              <w:fldChar w:fldCharType="separate"/>
            </w:r>
            <w:r>
              <w:rPr>
                <w:sz w:val="24"/>
                <w:szCs w:val="24"/>
              </w:rPr>
              <w:tab/>
              <w:t xml:space="preserve">4</w:t>
            </w:r>
            <w:r>
              <w:fldChar w:fldCharType="end"/>
            </w:r>
          </w:hyperlink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951"/>
            <w:pBdr/>
            <w:spacing/>
            <w:ind/>
            <w:rPr>
              <w:sz w:val="26"/>
              <w:szCs w:val="26"/>
            </w:rPr>
          </w:pPr>
          <w:r>
            <w:t xml:space="preserve">Таблица 1. Перечень и объем оказываемых услуг. Требования к срокам оказания услуг</w:t>
            <w:tab/>
            <w:t xml:space="preserve">4</w:t>
          </w:r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951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/>
          <w:hyperlink w:tooltip="#_Toc54643710" w:anchor="_Toc54643710" w:history="1">
            <w:r>
              <w:t xml:space="preserve">3.</w:t>
            </w:r>
          </w:hyperlink>
          <w:r/>
          <w:hyperlink w:tooltip="#_Toc54643710" w:anchor="_Toc54643710" w:history="1">
            <w:r>
              <w:fldChar w:fldCharType="begin"/>
            </w:r>
            <w:r>
              <w:instrText xml:space="preserve">PAGEREF _Toc54643710 \h</w:instrText>
            </w:r>
            <w:r>
              <w:fldChar w:fldCharType="separate"/>
            </w:r>
            <w:r>
              <w:rPr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710" w:anchor="_Toc54643710" w:history="1">
            <w:r>
              <w:fldChar w:fldCharType="begin"/>
            </w:r>
            <w:r>
              <w:instrText xml:space="preserve">PAGEREF _Toc54643710 \h</w:instrText>
            </w:r>
            <w:r>
              <w:fldChar w:fldCharType="separate"/>
            </w:r>
            <w:r>
              <w:t xml:space="preserve">Требования к участнику. Требования к документации по ценообразованию на этапе закупки</w:t>
            </w:r>
            <w:r>
              <w:fldChar w:fldCharType="end"/>
            </w:r>
          </w:hyperlink>
          <w:r/>
          <w:hyperlink w:tooltip="#_Toc54643710" w:anchor="_Toc54643710" w:history="1">
            <w:r>
              <w:fldChar w:fldCharType="begin"/>
            </w:r>
            <w:r>
              <w:instrText xml:space="preserve">PAGEREF _Toc54643710 \h</w:instrText>
            </w:r>
            <w:r>
              <w:fldChar w:fldCharType="separate"/>
            </w:r>
            <w:r>
              <w:tab/>
              <w:t xml:space="preserve">5</w:t>
            </w:r>
            <w:r>
              <w:fldChar w:fldCharType="end"/>
            </w:r>
          </w:hyperlink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951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/>
          <w:hyperlink w:tooltip="#_Toc54643711" w:anchor="_Toc54643711" w:history="1">
            <w:r>
              <w:t xml:space="preserve">4.</w:t>
            </w:r>
          </w:hyperlink>
          <w:r/>
          <w:hyperlink w:tooltip="#_Toc54643711" w:anchor="_Toc54643711" w:history="1">
            <w:r>
              <w:fldChar w:fldCharType="begin"/>
            </w:r>
            <w:r>
              <w:instrText xml:space="preserve">PAGEREF _Toc54643711 \h</w:instrText>
            </w:r>
            <w:r>
              <w:fldChar w:fldCharType="separate"/>
            </w:r>
            <w:r>
              <w:rPr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711" w:anchor="_Toc54643711" w:history="1">
            <w:r>
              <w:fldChar w:fldCharType="begin"/>
            </w:r>
            <w:r>
              <w:instrText xml:space="preserve">PAGEREF _Toc54643711 \h</w:instrText>
            </w:r>
            <w:r>
              <w:fldChar w:fldCharType="separate"/>
            </w:r>
            <w:r>
              <w:rPr>
                <w:rFonts w:eastAsia="PMingLiU" w:cs="Arial"/>
                <w:color w:val="000000"/>
              </w:rPr>
              <w:t xml:space="preserve">Характеристика перевозимого груза</w:t>
            </w:r>
            <w:r>
              <w:fldChar w:fldCharType="end"/>
            </w:r>
          </w:hyperlink>
          <w:r/>
          <w:hyperlink w:tooltip="#_Toc54643711" w:anchor="_Toc54643711" w:history="1">
            <w:r>
              <w:fldChar w:fldCharType="begin"/>
            </w:r>
            <w:r>
              <w:instrText xml:space="preserve">PAGEREF _Toc54643711 \h</w:instrText>
            </w:r>
            <w:r>
              <w:fldChar w:fldCharType="separate"/>
            </w:r>
            <w:r>
              <w:tab/>
            </w:r>
            <w:r>
              <w:fldChar w:fldCharType="end"/>
            </w:r>
          </w:hyperlink>
          <w:r>
            <w:t xml:space="preserve">7</w:t>
          </w:r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951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6"/>
              <w:szCs w:val="26"/>
            </w:rPr>
          </w:pPr>
          <w:r/>
          <w:hyperlink w:tooltip="#_Toc54643712" w:anchor="_Toc54643712" w:history="1">
            <w:r>
              <w:t xml:space="preserve">5.</w:t>
            </w:r>
          </w:hyperlink>
          <w:r/>
          <w:hyperlink w:tooltip="#_Toc54643712" w:anchor="_Toc54643712" w:history="1">
            <w:r>
              <w:fldChar w:fldCharType="begin"/>
            </w:r>
            <w:r>
              <w:instrText xml:space="preserve">PAGEREF _Toc54643712 \h</w:instrText>
            </w:r>
            <w:r>
              <w:fldChar w:fldCharType="separate"/>
            </w:r>
            <w:r>
              <w:rPr>
                <w:b w:val="0"/>
                <w:bCs w:val="0"/>
              </w:rPr>
              <w:tab/>
            </w:r>
            <w:r>
              <w:fldChar w:fldCharType="end"/>
            </w:r>
          </w:hyperlink>
          <w:r/>
          <w:hyperlink w:tooltip="#_Toc54643712" w:anchor="_Toc54643712" w:history="1">
            <w:r>
              <w:fldChar w:fldCharType="begin"/>
            </w:r>
            <w:r>
              <w:instrText xml:space="preserve">PAGEREF _Toc54643712 \h</w:instrText>
            </w:r>
            <w:r>
              <w:fldChar w:fldCharType="separate"/>
            </w:r>
            <w:r>
              <w:rPr>
                <w:rFonts w:eastAsia="PMingLiU" w:cs="Arial"/>
                <w:color w:val="000000"/>
              </w:rPr>
              <w:t xml:space="preserve">Требования к Исполнителю оказания услуг</w:t>
              <w:tab/>
            </w:r>
            <w:r>
              <w:fldChar w:fldCharType="end"/>
            </w:r>
          </w:hyperlink>
          <w:r/>
          <w:hyperlink w:tooltip="#_Toc54643712" w:anchor="_Toc54643712" w:history="1">
            <w:r>
              <w:fldChar w:fldCharType="begin"/>
            </w:r>
            <w:r>
              <w:instrText xml:space="preserve">PAGEREF _Toc54643712 \h</w:instrText>
            </w:r>
            <w:r>
              <w:fldChar w:fldCharType="separate"/>
            </w:r>
            <w:r>
              <w:t xml:space="preserve">7</w:t>
            </w:r>
            <w:r>
              <w:fldChar w:fldCharType="end"/>
            </w:r>
          </w:hyperlink>
          <w:r>
            <w:rPr>
              <w:sz w:val="26"/>
              <w:szCs w:val="26"/>
            </w:rPr>
          </w:r>
          <w:r>
            <w:rPr>
              <w:sz w:val="26"/>
              <w:szCs w:val="26"/>
            </w:rPr>
          </w:r>
        </w:p>
        <w:p>
          <w:pPr>
            <w:pStyle w:val="872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  <w:r>
            <w:rPr>
              <w:sz w:val="24"/>
              <w:szCs w:val="24"/>
            </w:rPr>
          </w:r>
          <w:r>
            <w:rPr>
              <w:sz w:val="24"/>
              <w:szCs w:val="24"/>
            </w:rPr>
          </w:r>
        </w:p>
        <w:p>
          <w:pPr>
            <w:pStyle w:val="872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  <w:t xml:space="preserve">6.  </w:t>
          </w:r>
          <w:r>
            <w:rPr>
              <w:b/>
              <w:bCs/>
              <w:color w:val="000000"/>
              <w:sz w:val="24"/>
              <w:szCs w:val="24"/>
            </w:rPr>
            <w:t xml:space="preserve">Требования к безопасности при оказании услуги…………………………………….....7-8</w:t>
          </w:r>
          <w:r>
            <w:rPr>
              <w:sz w:val="24"/>
              <w:szCs w:val="24"/>
            </w:rPr>
          </w:r>
          <w:r>
            <w:rPr>
              <w:sz w:val="24"/>
              <w:szCs w:val="24"/>
            </w:rPr>
          </w:r>
        </w:p>
        <w:p>
          <w:pPr>
            <w:pStyle w:val="872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sz w:val="24"/>
              <w:szCs w:val="24"/>
            </w:rPr>
          </w:pPr>
          <w:r>
            <w:rPr>
              <w:sz w:val="24"/>
              <w:szCs w:val="24"/>
            </w:rPr>
          </w:r>
          <w:r>
            <w:rPr>
              <w:sz w:val="24"/>
              <w:szCs w:val="24"/>
            </w:rPr>
          </w:r>
          <w:r>
            <w:rPr>
              <w:sz w:val="24"/>
              <w:szCs w:val="24"/>
            </w:rPr>
          </w:r>
        </w:p>
        <w:p>
          <w:pPr>
            <w:pStyle w:val="872"/>
            <w:pBdr/>
            <w:tabs>
              <w:tab w:val="left" w:leader="none" w:pos="560"/>
              <w:tab w:val="clear" w:leader="none" w:pos="708"/>
              <w:tab w:val="right" w:leader="dot" w:pos="9911"/>
            </w:tabs>
            <w:spacing/>
            <w:ind/>
            <w:rPr>
              <w:b/>
              <w:bCs/>
              <w:color w:val="000000"/>
              <w:sz w:val="24"/>
              <w:szCs w:val="24"/>
            </w:rPr>
          </w:pPr>
          <w:r>
            <w:rPr>
              <w:b/>
              <w:bCs/>
              <w:color w:val="000000"/>
              <w:sz w:val="24"/>
              <w:szCs w:val="24"/>
            </w:rPr>
            <w:t xml:space="preserve">7.   Требования к гарантийному сроку и (или) объему предоставления гарантий качества услуги…………………………………………………………………………………………………..8</w:t>
          </w:r>
          <w:r>
            <w:rPr>
              <w:b/>
              <w:bCs/>
              <w:color w:val="000000"/>
              <w:sz w:val="24"/>
              <w:szCs w:val="24"/>
            </w:rPr>
            <w:fldChar w:fldCharType="end"/>
          </w:r>
          <w:r>
            <w:rPr>
              <w:b/>
              <w:bCs/>
              <w:color w:val="000000"/>
              <w:sz w:val="24"/>
              <w:szCs w:val="24"/>
            </w:rPr>
          </w:r>
          <w:r>
            <w:rPr>
              <w:b/>
              <w:bCs/>
              <w:color w:val="000000"/>
              <w:sz w:val="24"/>
              <w:szCs w:val="24"/>
            </w:rPr>
          </w:r>
        </w:p>
      </w:sdtContent>
    </w:sdt>
    <w:p>
      <w:pPr>
        <w:pStyle w:val="951"/>
        <w:pBdr/>
        <w:tabs>
          <w:tab w:val="clear" w:leader="none" w:pos="708"/>
          <w:tab w:val="right" w:leader="dot" w:pos="9911"/>
        </w:tabs>
        <w:spacing/>
        <w:ind/>
        <w:rPr>
          <w:rFonts w:eastAsia="Calibri"/>
          <w:i/>
        </w:rPr>
      </w:pPr>
      <w:r>
        <w:rPr>
          <w:rFonts w:eastAsia="Calibri"/>
          <w:i/>
        </w:rPr>
      </w:r>
      <w:r>
        <w:br w:type="page" w:clear="all"/>
      </w:r>
      <w:r>
        <w:rPr>
          <w:rFonts w:eastAsia="Calibri"/>
          <w:i/>
        </w:rPr>
      </w:r>
      <w:r>
        <w:rPr>
          <w:rFonts w:eastAsia="Calibri"/>
          <w:i/>
        </w:rPr>
      </w:r>
    </w:p>
    <w:p>
      <w:pPr>
        <w:pStyle w:val="873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</w:rPr>
      </w:pPr>
      <w:r>
        <w:rPr>
          <w:sz w:val="26"/>
          <w:szCs w:val="26"/>
          <w:lang w:val="ru-RU"/>
        </w:rPr>
        <w:t xml:space="preserve">1. </w:t>
      </w:r>
      <w:bookmarkStart w:id="0" w:name="_Toc54643694"/>
      <w:r>
        <w:rPr>
          <w:sz w:val="26"/>
          <w:szCs w:val="26"/>
          <w:lang w:val="ru-RU"/>
        </w:rPr>
        <w:t xml:space="preserve">Общие сведения</w:t>
      </w:r>
      <w:bookmarkEnd w:id="0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876"/>
        <w:numPr>
          <w:ilvl w:val="1"/>
          <w:numId w:val="3"/>
        </w:numPr>
        <w:pBdr/>
        <w:spacing/>
        <w:ind/>
        <w:rPr/>
      </w:pPr>
      <w:r/>
      <w:bookmarkStart w:id="1" w:name="_Toc46743505"/>
      <w:r/>
      <w:bookmarkStart w:id="2" w:name="_Toc54643695"/>
      <w:r>
        <w:t xml:space="preserve">Обозначения и сокращения</w:t>
      </w:r>
      <w:bookmarkEnd w:id="1"/>
      <w:r/>
      <w:bookmarkEnd w:id="2"/>
      <w:r/>
      <w:r/>
    </w:p>
    <w:tbl>
      <w:tblPr>
        <w:tblW w:w="9855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085"/>
        <w:gridCol w:w="7769"/>
      </w:tblGrid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(населенный пункт)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Поселок (населенный пункт)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Единица измерения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Тн.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Тонн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Год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>
          <w:cantSplit/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ПБ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Производственная база АО «Сахаэнерго»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539"/>
        </w:trPr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85" w:type="dxa"/>
            <w:vMerge w:val="restart"/>
            <w:textDirection w:val="lrTb"/>
            <w:noWrap w:val="false"/>
          </w:tcPr>
          <w:p>
            <w:pPr>
              <w:pStyle w:val="872"/>
              <w:widowControl w:val="false"/>
              <w:pBdr/>
              <w:spacing w:after="120" w:before="12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ПРР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69" w:type="dxa"/>
            <w:vAlign w:val="center"/>
            <w:vMerge w:val="restart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Погрузо-разгрузочные работы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72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6"/>
        <w:numPr>
          <w:ilvl w:val="1"/>
          <w:numId w:val="3"/>
        </w:numPr>
        <w:pBdr/>
        <w:spacing/>
        <w:ind/>
        <w:rPr/>
      </w:pPr>
      <w:r/>
      <w:bookmarkStart w:id="3" w:name="_Toc54643696"/>
      <w:r>
        <w:t xml:space="preserve">Наименование закупаемой продукции</w:t>
      </w:r>
      <w:bookmarkEnd w:id="3"/>
      <w:r/>
      <w:r/>
    </w:p>
    <w:p>
      <w:pPr>
        <w:pStyle w:val="872"/>
        <w:widowControl w:val="false"/>
        <w:pBdr/>
        <w:tabs>
          <w:tab w:val="left" w:leader="none" w:pos="426"/>
          <w:tab w:val="clear" w:leader="none" w:pos="708"/>
        </w:tabs>
        <w:spacing w:after="120" w:before="120"/>
        <w:ind/>
        <w:jc w:val="both"/>
        <w:rPr/>
      </w:pPr>
      <w:r>
        <w:rPr>
          <w:rFonts w:eastAsia="Calibri"/>
          <w:sz w:val="24"/>
          <w:szCs w:val="24"/>
        </w:rPr>
        <w:t xml:space="preserve">Водные перевозки инертных материалов, спецтехники и ТМЦ речным транспортом для нужд ДЭС Сиктях Булунские ЭС</w:t>
      </w:r>
      <w:bookmarkStart w:id="4" w:name="_Toc46743507"/>
      <w:r>
        <w:rPr>
          <w:rFonts w:eastAsia="Calibri"/>
          <w:sz w:val="24"/>
          <w:szCs w:val="24"/>
        </w:rPr>
        <w:t xml:space="preserve">.</w:t>
      </w:r>
      <w:r/>
    </w:p>
    <w:p>
      <w:pPr>
        <w:pStyle w:val="876"/>
        <w:numPr>
          <w:ilvl w:val="1"/>
          <w:numId w:val="3"/>
        </w:numPr>
        <w:pBdr/>
        <w:spacing w:after="60" w:before="240"/>
        <w:ind w:hanging="431" w:left="431"/>
        <w:rPr/>
      </w:pPr>
      <w:r/>
      <w:bookmarkStart w:id="5" w:name="_Toc54643697"/>
      <w:r>
        <w:t xml:space="preserve">Цель </w:t>
      </w:r>
      <w:bookmarkEnd w:id="4"/>
      <w:r>
        <w:rPr>
          <w:lang w:val="ru-RU"/>
        </w:rPr>
        <w:t xml:space="preserve">оказания услуг</w:t>
      </w:r>
      <w:r>
        <w:t xml:space="preserve"> </w:t>
      </w:r>
      <w:bookmarkEnd w:id="5"/>
      <w:r/>
      <w:r/>
    </w:p>
    <w:p>
      <w:pPr>
        <w:pStyle w:val="872"/>
        <w:pBdr/>
        <w:spacing/>
        <w:ind/>
        <w:jc w:val="both"/>
        <w:rPr>
          <w:sz w:val="24"/>
          <w:szCs w:val="24"/>
        </w:rPr>
      </w:pPr>
      <w:r>
        <w:rPr>
          <w:sz w:val="24"/>
        </w:rPr>
        <w:t xml:space="preserve">Выполнение перевозки (с учетом ПРР) инертных материалов и МТР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</w:rPr>
        <w:t xml:space="preserve">водным видом транспорта по маршруту Якутск - Сиктях – Якутск для нужд ДЭС Сиктях Булунские ЭС.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pBdr/>
        <w:spacing/>
        <w:ind/>
        <w:jc w:val="both"/>
        <w:rPr/>
      </w:pPr>
      <w:r>
        <w:rPr>
          <w:sz w:val="24"/>
        </w:rPr>
        <w:t xml:space="preserve">Перевозка осуществляется по Заявке отправителя в период навигации 2027г.</w:t>
      </w:r>
      <w:r/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2"/>
        <w:pBdr/>
        <w:spacing/>
        <w:ind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pStyle w:val="873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</w:rPr>
      </w:pPr>
      <w:r/>
      <w:bookmarkStart w:id="6" w:name="_Toc50125126"/>
      <w:r/>
      <w:bookmarkStart w:id="7" w:name="_Toc46743510"/>
      <w:r/>
      <w:bookmarkEnd w:id="6"/>
      <w:r/>
      <w:bookmarkEnd w:id="7"/>
      <w:r>
        <w:rPr>
          <w:iCs/>
          <w:sz w:val="26"/>
          <w:szCs w:val="26"/>
          <w:lang w:val="ru-RU"/>
        </w:rPr>
        <w:t xml:space="preserve">2. </w:t>
      </w:r>
      <w:bookmarkStart w:id="8" w:name="_Toc54643702"/>
      <w:r/>
      <w:bookmarkStart w:id="9" w:name="_Toc51339693"/>
      <w:r>
        <w:rPr>
          <w:iCs/>
          <w:sz w:val="26"/>
          <w:szCs w:val="26"/>
          <w:lang w:val="ru-RU"/>
        </w:rPr>
        <w:t xml:space="preserve">Требования</w:t>
      </w:r>
      <w:r>
        <w:rPr>
          <w:iCs/>
          <w:sz w:val="26"/>
          <w:szCs w:val="26"/>
        </w:rPr>
        <w:t xml:space="preserve"> к продукции</w:t>
      </w:r>
      <w:bookmarkEnd w:id="8"/>
      <w:r/>
      <w:bookmarkEnd w:id="9"/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967"/>
        <w:keepNext w:val="true"/>
        <w:numPr>
          <w:ilvl w:val="0"/>
          <w:numId w:val="3"/>
        </w:numPr>
        <w:pBdr/>
        <w:spacing w:after="60" w:before="120"/>
        <w:ind/>
        <w:contextualSpacing w:val="false"/>
        <w:outlineLvl w:val="3"/>
        <w:rPr>
          <w:b/>
          <w:bCs/>
          <w:vanish/>
        </w:rPr>
      </w:pPr>
      <w:r>
        <w:rPr>
          <w:b/>
          <w:bCs/>
          <w:vanish/>
        </w:rPr>
      </w:r>
      <w:bookmarkStart w:id="11" w:name="_Toc54643703"/>
      <w:r>
        <w:rPr>
          <w:b/>
          <w:bCs/>
          <w:vanish/>
        </w:rPr>
      </w:r>
      <w:r>
        <w:rPr>
          <w:b/>
          <w:bCs/>
          <w:vanish/>
        </w:rPr>
      </w:r>
    </w:p>
    <w:p>
      <w:pPr>
        <w:pStyle w:val="876"/>
        <w:numPr>
          <w:ilvl w:val="1"/>
          <w:numId w:val="3"/>
        </w:numPr>
        <w:pBdr/>
        <w:spacing/>
        <w:ind/>
        <w:rPr>
          <w:lang w:val="ru-RU"/>
        </w:rPr>
      </w:pPr>
      <w:r>
        <w:t xml:space="preserve">Требования к объемам и срокам </w:t>
      </w:r>
      <w:r>
        <w:rPr>
          <w:lang w:val="ru-RU"/>
        </w:rPr>
        <w:t xml:space="preserve">оказания услуг</w:t>
      </w:r>
      <w:bookmarkEnd w:id="11"/>
      <w:r>
        <w:rPr>
          <w:lang w:val="ru-RU"/>
        </w:rPr>
      </w:r>
      <w:r>
        <w:rPr>
          <w:lang w:val="ru-RU"/>
        </w:rPr>
      </w:r>
    </w:p>
    <w:p>
      <w:pPr>
        <w:pStyle w:val="872"/>
        <w:pBdr/>
        <w:spacing/>
        <w:ind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«</w:t>
      </w:r>
      <w:r>
        <w:rPr>
          <w:rFonts w:eastAsia="Calibri"/>
          <w:b w:val="0"/>
          <w:bCs w:val="0"/>
          <w:i/>
          <w:iCs/>
          <w:sz w:val="24"/>
          <w:szCs w:val="24"/>
        </w:rPr>
        <w:t xml:space="preserve">ОКПД 2 - 50.40.19 Перевозка инертных материалов и товарно-материальных ценностей (ТМЦ) речным видом транспорта для Сиктях Булунский улус</w:t>
      </w:r>
      <w:r>
        <w:rPr>
          <w:b w:val="0"/>
          <w:bCs w:val="0"/>
          <w:i/>
          <w:iCs/>
          <w:sz w:val="24"/>
          <w:szCs w:val="24"/>
        </w:rPr>
        <w:t xml:space="preserve">»</w:t>
      </w: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pStyle w:val="872"/>
        <w:keepNext w:val="true"/>
        <w:numPr>
          <w:ilvl w:val="0"/>
          <w:numId w:val="0"/>
        </w:numPr>
        <w:pBdr/>
        <w:spacing w:after="60" w:before="120"/>
        <w:ind w:firstLine="0" w:left="0"/>
        <w:outlineLvl w:val="2"/>
        <w:rPr/>
      </w:pPr>
      <w:r/>
      <w:bookmarkStart w:id="12" w:name="_Toc54643705"/>
      <w:r/>
      <w:bookmarkStart w:id="13" w:name="_Toc51339695"/>
      <w:r>
        <w:rPr>
          <w:rFonts w:eastAsia="Calibri"/>
          <w:b/>
          <w:sz w:val="24"/>
          <w:szCs w:val="24"/>
        </w:rPr>
        <w:t xml:space="preserve">Таблица 1. Перечень </w:t>
      </w:r>
      <w:bookmarkEnd w:id="13"/>
      <w:r>
        <w:rPr>
          <w:rFonts w:eastAsia="Calibri"/>
          <w:b/>
          <w:sz w:val="24"/>
          <w:szCs w:val="24"/>
        </w:rPr>
        <w:t xml:space="preserve">и объем оказываемых услуг</w:t>
      </w:r>
      <w:bookmarkEnd w:id="12"/>
      <w:r>
        <w:rPr>
          <w:rFonts w:eastAsia="Calibri"/>
          <w:b/>
          <w:sz w:val="24"/>
          <w:szCs w:val="24"/>
        </w:rPr>
        <w:t xml:space="preserve">.</w:t>
      </w:r>
      <w:r/>
    </w:p>
    <w:tbl>
      <w:tblPr>
        <w:tblW w:w="9855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4"/>
        <w:gridCol w:w="2708"/>
        <w:gridCol w:w="1312"/>
        <w:gridCol w:w="795"/>
        <w:gridCol w:w="856"/>
        <w:gridCol w:w="1814"/>
        <w:gridCol w:w="1815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Маршрут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груза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Е</w:t>
            </w:r>
            <w:r>
              <w:rPr>
                <w:sz w:val="24"/>
                <w:szCs w:val="24"/>
              </w:rPr>
              <w:t xml:space="preserve">д. изм.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доставки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доставки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12" w:type="dxa"/>
            <w:textDirection w:val="lrTb"/>
            <w:noWrap w:val="false"/>
          </w:tcPr>
          <w:p>
            <w:pPr>
              <w:pStyle w:val="983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3</w:t>
            </w:r>
            <w:r>
              <w:rPr>
                <w:b/>
                <w:sz w:val="20"/>
                <w:szCs w:val="20"/>
                <w:lang w:val="en-US"/>
              </w:rPr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textDirection w:val="lrTb"/>
            <w:noWrap w:val="false"/>
          </w:tcPr>
          <w:p>
            <w:pPr>
              <w:pStyle w:val="983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4</w:t>
            </w:r>
            <w:r>
              <w:rPr>
                <w:b/>
                <w:sz w:val="20"/>
                <w:szCs w:val="20"/>
                <w:lang w:val="en-US"/>
              </w:rPr>
            </w:r>
            <w:r>
              <w:rPr>
                <w:b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textDirection w:val="lrTb"/>
            <w:noWrap w:val="false"/>
          </w:tcPr>
          <w:p>
            <w:pPr>
              <w:pStyle w:val="983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textDirection w:val="lrTb"/>
            <w:noWrap w:val="false"/>
          </w:tcPr>
          <w:p>
            <w:pPr>
              <w:pStyle w:val="983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textDirection w:val="lrTb"/>
            <w:noWrap w:val="false"/>
          </w:tcPr>
          <w:p>
            <w:pPr>
              <w:pStyle w:val="983"/>
              <w:keepNext w:val="false"/>
              <w:widowControl w:val="false"/>
              <w:pBdr/>
              <w:spacing w:after="40" w:before="40"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7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967"/>
              <w:widowControl w:val="false"/>
              <w:numPr>
                <w:ilvl w:val="0"/>
                <w:numId w:val="6"/>
              </w:numPr>
              <w:pBdr/>
              <w:spacing/>
              <w:ind/>
              <w:jc w:val="righ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Якутск — Сиктях - Якутск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312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Инертные матриалы, спецтехника, ТМЦ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795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color w:val="000000"/>
                <w:sz w:val="24"/>
                <w:szCs w:val="24"/>
                <w:shd w:val="clear" w:color="auto" w:fill="auto"/>
              </w:rPr>
              <w:t xml:space="preserve">тонн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highlight w:val="none"/>
                <w:shd w:val="clear" w:color="auto" w:fill="auto"/>
              </w:rPr>
              <w:t xml:space="preserve">442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4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С момента заключения договора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15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highlight w:val="none"/>
                <w:shd w:val="clear" w:color="auto" w:fill="auto"/>
              </w:rPr>
            </w:pPr>
            <w:r>
              <w:rPr>
                <w:sz w:val="24"/>
                <w:szCs w:val="24"/>
                <w:shd w:val="clear" w:color="auto" w:fill="auto"/>
              </w:rPr>
              <w:t xml:space="preserve">До 01.10.2027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</w:tr>
    </w:tbl>
    <w:p>
      <w:pPr>
        <w:pStyle w:val="872"/>
        <w:pBdr/>
        <w:spacing/>
        <w:ind/>
        <w:jc w:val="both"/>
        <w:rPr/>
      </w:pPr>
      <w:r>
        <w:rPr>
          <w:sz w:val="24"/>
          <w:szCs w:val="24"/>
        </w:rPr>
        <w:t xml:space="preserve">(*) с учетом переходящих запасов и производственной программы Отправитель вправе скорректировать количество груза подлежащего к пер</w:t>
      </w:r>
      <w:bookmarkStart w:id="14" w:name="_Toc50125131"/>
      <w:r/>
      <w:bookmarkStart w:id="15" w:name="_Toc501251261"/>
      <w:r/>
      <w:bookmarkStart w:id="16" w:name="_Toc467435101"/>
      <w:r/>
      <w:bookmarkEnd w:id="14"/>
      <w:r/>
      <w:bookmarkEnd w:id="15"/>
      <w:r/>
      <w:bookmarkEnd w:id="16"/>
      <w:r>
        <w:rPr>
          <w:sz w:val="24"/>
          <w:szCs w:val="24"/>
        </w:rPr>
        <w:t xml:space="preserve">евозке.</w:t>
      </w:r>
      <w:r/>
    </w:p>
    <w:p>
      <w:pPr>
        <w:pStyle w:val="872"/>
        <w:pBdr/>
        <w:spacing/>
        <w:ind/>
        <w:jc w:val="both"/>
        <w:rPr/>
      </w:pPr>
      <w:r>
        <w:rPr>
          <w:highlight w:val="none"/>
        </w:rPr>
      </w:r>
      <w:r>
        <w:rPr>
          <w:highlight w:val="none"/>
        </w:rPr>
      </w:r>
      <w:r/>
    </w:p>
    <w:p>
      <w:pPr>
        <w:pStyle w:val="872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72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72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72"/>
        <w:pBdr/>
        <w:spacing/>
        <w:ind/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72"/>
        <w:pBdr/>
        <w:spacing/>
        <w:ind/>
        <w:jc w:val="both"/>
        <w:rPr>
          <w:highlight w:val="none"/>
        </w:rPr>
        <w:sectPr>
          <w:headerReference w:type="default" r:id="rId10"/>
          <w:footnotePr/>
          <w:endnotePr/>
          <w:type w:val="nextPage"/>
          <w:pgSz w:h="16838" w:orient="portrait" w:w="11906"/>
          <w:pgMar w:top="1134" w:right="902" w:bottom="992" w:left="1134" w:header="680" w:footer="0" w:gutter="0"/>
          <w:cols w:num="1" w:sep="0" w:space="1701" w:equalWidth="1"/>
        </w:sectPr>
      </w:pPr>
      <w:r>
        <w:br w:type="page" w:clear="all"/>
      </w:r>
      <w:r>
        <w:rPr>
          <w:highlight w:val="none"/>
        </w:rPr>
      </w:r>
      <w:r>
        <w:rPr>
          <w:highlight w:val="none"/>
        </w:rPr>
      </w:r>
    </w:p>
    <w:p>
      <w:pPr>
        <w:pStyle w:val="873"/>
        <w:keepLines w:val="true"/>
        <w:pBdr/>
        <w:tabs>
          <w:tab w:val="clear" w:leader="none" w:pos="0"/>
        </w:tabs>
        <w:spacing/>
        <w:ind w:firstLine="0" w:left="0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3. Требование к оказанию услуг</w:t>
      </w:r>
      <w:r>
        <w:rPr>
          <w:sz w:val="26"/>
          <w:szCs w:val="26"/>
          <w:lang w:val="ru-RU"/>
        </w:rPr>
      </w:r>
      <w:r>
        <w:rPr>
          <w:sz w:val="26"/>
          <w:szCs w:val="26"/>
          <w:lang w:val="ru-RU"/>
        </w:rPr>
      </w:r>
    </w:p>
    <w:p>
      <w:pPr>
        <w:pStyle w:val="873"/>
        <w:pBdr/>
        <w:tabs>
          <w:tab w:val="clear" w:leader="none" w:pos="0"/>
        </w:tabs>
        <w:spacing/>
        <w:ind w:firstLine="0" w:left="0"/>
        <w:rPr>
          <w:sz w:val="24"/>
          <w:szCs w:val="24"/>
        </w:rPr>
      </w:pPr>
      <w:r/>
      <w:bookmarkStart w:id="17" w:name="_Toc156219791"/>
      <w:r/>
      <w:bookmarkStart w:id="18" w:name="_Toc124506712"/>
      <w:r/>
      <w:bookmarkStart w:id="19" w:name="_Toc124506432"/>
      <w:r/>
      <w:bookmarkStart w:id="20" w:name="_Toc124505114"/>
      <w:r/>
      <w:bookmarkStart w:id="21" w:name="_Toc124501370"/>
      <w:r>
        <w:rPr>
          <w:sz w:val="24"/>
          <w:szCs w:val="24"/>
        </w:rPr>
        <w:t xml:space="preserve">Таблица </w:t>
      </w:r>
      <w:r>
        <w:rPr>
          <w:sz w:val="24"/>
          <w:szCs w:val="24"/>
          <w:lang w:val="ru-RU"/>
        </w:rPr>
        <w:t xml:space="preserve">2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 xml:space="preserve">оказанию услуг</w:t>
      </w:r>
      <w:bookmarkEnd w:id="17"/>
      <w:r/>
      <w:bookmarkEnd w:id="18"/>
      <w:r/>
      <w:bookmarkEnd w:id="19"/>
      <w:r/>
      <w:bookmarkEnd w:id="20"/>
      <w:r/>
      <w:bookmarkEnd w:id="21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2"/>
        <w:pBdr/>
        <w:spacing/>
        <w:ind/>
        <w:jc w:val="both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Наименование продукции (позиция №1-3 Таблицы 1.): </w:t>
      </w:r>
      <w:r>
        <w:rPr>
          <w:rFonts w:eastAsia="Calibri"/>
          <w:sz w:val="24"/>
          <w:szCs w:val="24"/>
        </w:rPr>
        <w:t xml:space="preserve">«</w:t>
      </w:r>
      <w:r>
        <w:rPr>
          <w:rFonts w:eastAsia="Calibri"/>
          <w:sz w:val="24"/>
          <w:szCs w:val="24"/>
        </w:rPr>
        <w:t xml:space="preserve">ОКПД 2 - 50.40.19 Перевозка инертных материалов и товарно-материальных ценностей (ТМЦ) речным видом транспорта для Сиктях Булунский улус</w:t>
      </w:r>
      <w:r>
        <w:rPr>
          <w:rFonts w:eastAsia="Calibri"/>
          <w:sz w:val="24"/>
          <w:szCs w:val="24"/>
        </w:rPr>
        <w:t xml:space="preserve">».</w:t>
      </w:r>
      <w:r>
        <w:rPr>
          <w:b/>
          <w:bCs/>
          <w:iCs/>
          <w:sz w:val="24"/>
          <w:szCs w:val="24"/>
        </w:rPr>
      </w:r>
      <w:r>
        <w:rPr>
          <w:b/>
          <w:bCs/>
          <w:iCs/>
          <w:sz w:val="24"/>
          <w:szCs w:val="24"/>
        </w:rPr>
      </w:r>
    </w:p>
    <w:tbl>
      <w:tblPr>
        <w:tblW w:w="14715" w:type="dxa"/>
        <w:tblInd w:w="-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565"/>
        <w:gridCol w:w="2411"/>
        <w:gridCol w:w="4678"/>
        <w:gridCol w:w="2693"/>
        <w:gridCol w:w="2410"/>
        <w:gridCol w:w="1957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параметра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vMerge w:val="restart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Требование заказчика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03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Способ подтверждения участником соответствия требованиям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Согласие с требованием/ указание характеристик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Требования к техническим и функциональным характеристикам:</w:t>
            </w:r>
            <w:r>
              <w:rPr>
                <w:b/>
                <w:color w:val="000000"/>
                <w:sz w:val="24"/>
                <w:szCs w:val="24"/>
              </w:rPr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Вид водного транспорта для организации доставки грузов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-Судно оборудованное судовым краном гр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узоподъемностью не менее 3 тонн, с возможностью самостоятельно осуществлять грузовые операции с необорудованного берега (погрузка и разгрузка груза с берега/на берег судовым краном), грузоподъемность водного транспорта не менее 600 тонн, в количестве 1 ед.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-Баржа-площадка с аппарелью для выезда заезда спецтехники, грузоподъемность баржи-площадки не менее 200 тонн, в количестве 1 ед. и б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уксир-толкач, в количестве 1 ед.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Подача водного транспорта и груза к перевозке: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 заявке Заказчика.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Маршрут в прямом направлении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Якутск - Сиктях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Маршрут в обратном направлении: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Сиктях - Якутск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груза в прямом направлении Якутск - Сиктях: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</w:rPr>
              <w:t xml:space="preserve">Инертные материалы в мешкотаре - 340 тонн;</w:t>
            </w:r>
            <w:r>
              <w:rPr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Труба 219*8 - 15 шт. - 7,49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ПВЛ 406 - 183,6 м2 - 2,8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Двутавр 25Б1 = 14 шт по 12 метров - 4,3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Швеллер 18 - 11 шт по 12 метров - 2,1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Уголок 76*6 - 11 шт по 12 метров - 0,9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Уголок 50*5 - 13 шт по 12 метров - 0,58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Молниеотводы 3 шт - 1,15 тонн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Фронтальный погрузчик - 1 шт. (8560х3128х3490мм) - 18,700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Самосвал - 1 ед. (8000х2550х3300мм) - 13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Буровая - 1 ед. (6080х2260х2600мм) - 7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Полуприцеп - 1 ед (18500х2550х4000мм) - 22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Автокран - 1 ед. (10900х2550х3850мм) - 21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8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ТМЦ различного назначения 1 тонна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груза в обратном направлении Сиктях – Якутск: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numPr>
                <w:ilvl w:val="0"/>
                <w:numId w:val="9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Фронтальный погрузчик - 1 шт. (8560х3128х3490мм) - 18,700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9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Самосвал - 1 ед. (8000х2550х3300мм) - 13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9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Буровая - 1 ед. (6080х2260х2600мм) - 7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9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Полуприцеп - 1 ед (18500х2550х4000мм) - 22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  <w:p>
            <w:pPr>
              <w:widowControl w:val="false"/>
              <w:numPr>
                <w:ilvl w:val="0"/>
                <w:numId w:val="9"/>
              </w:numPr>
              <w:pBdr/>
              <w:spacing/>
              <w:ind/>
              <w:jc w:val="both"/>
              <w:rPr>
                <w:color w:val="000000"/>
                <w:sz w:val="24"/>
                <w:szCs w:val="24"/>
                <w:highlight w:val="none"/>
              </w:rPr>
            </w:pPr>
            <w:r>
              <w:rPr>
                <w:color w:val="000000"/>
                <w:sz w:val="24"/>
                <w:szCs w:val="24"/>
                <w:highlight w:val="none"/>
              </w:rPr>
              <w:t xml:space="preserve">Автокран - 1 ед. (10900х2550х3850мм) - 21 тонн;</w:t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vMerge w:val="restart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vMerge w:val="restart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Погрузо-разгрузочные работы в пунктах погрузки и доставки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Погрузо-разгрузочные работы в пунктах погрузки и выгрузки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Сроки оказания услуг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 01.06.2027г по 31.07.2027г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9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доставке, маркировке, упаковке, транспортировке, перемещению, условиям хранения, приемке: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доставки грузов водным видом транспорта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соответствии с </w:t>
            </w:r>
            <w:r>
              <w:rPr>
                <w:bCs/>
                <w:color w:val="000000"/>
                <w:sz w:val="24"/>
                <w:szCs w:val="24"/>
              </w:rPr>
              <w:t xml:space="preserve">Кодексом внутреннего водного транспорта российской федерации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Требования</w:t>
            </w:r>
            <w:r>
              <w:rPr>
                <w:bCs/>
                <w:color w:val="000000"/>
                <w:sz w:val="24"/>
                <w:szCs w:val="24"/>
              </w:rPr>
              <w:t xml:space="preserve"> к </w:t>
            </w:r>
            <w:r>
              <w:rPr>
                <w:bCs/>
                <w:color w:val="000000"/>
                <w:sz w:val="24"/>
                <w:szCs w:val="24"/>
              </w:rPr>
              <w:t xml:space="preserve">приемке-передаче груза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соответствии с "Инструкцией о порядке приемки продукции производственно-технического назначения и товаров народного потребления по количеству" (утв. постановлением Госарбитража СССР от 15.06.1965 N П-6) (ред. от 23.07.1975, с изм. от 22.10.1997) и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Style w:val="872"/>
              <w:widowControl w:val="false"/>
              <w:pBdr/>
              <w:spacing/>
              <w:ind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"Инструкцией о порядке приемки продукции производственно-технического назначения и товаров народного потребления по качеству" (утв. Постановлением Госарбитража СССР от 25.04.1966 N П-7) (ред. от 23.07.1975, с изм. от 22.10.1997)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Исполнителю оказания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Подача водного транспорта под погрузку по заявке «Отправителя».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Водный транспорт должен быть в исправном техническом состоянии, соответствующий всем установленным для него техническим требованиям, своевременного прохождения технического осмотра с оформлением всех установленных документов.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Возможность корректировки маршрута и графика движения водного транспорта в связи с изменениями в производственном цикле.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принятия заявки на перевозку грузов и ее рассмотрения не должен превышать 48 часов (от подачи заявки Заказчиком).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организует подачу водного транспорта в пункт погрузки на дату и в часы, указанные в заявке.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сообщить Заказчику не поз</w:t>
            </w:r>
            <w:r>
              <w:rPr>
                <w:sz w:val="24"/>
                <w:szCs w:val="24"/>
              </w:rPr>
              <w:t xml:space="preserve">днее 14:00 часов дня, текущего дня загрузки, информацию о водном транспорте, что подтверждается Исполнителем посредством отправки Заказчику факсимильной связью заявки, скрепленной печатью Исполнителя. С этого момента заявка считается принятой к исполнению.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отказа (срыва) от подтвержденной Исполнителем заявки на перевозку Исполнитель выплачивает неустойку согласно условиям Договора.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своевременными средствами связи для контроля за работой техники и перевозкой грузов, с предоставлением ежедневных сводок по движению водного транспорта на электронную почту.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ежесуточно (не позднее 10:00 часов) предоставляет Заказчику и его Представител</w:t>
            </w:r>
            <w:r>
              <w:rPr>
                <w:sz w:val="24"/>
                <w:szCs w:val="24"/>
              </w:rPr>
              <w:t xml:space="preserve">ям информацию о фактах передвижения, погрузки (выгрузки) всего водного транспорта находящихся с грузом/ без груза, на электронную почту – mail@sakhaenergo.ru копию rozhkov-so@sakhaenergo.ru, petrovas@sakhaenergo.ru., или факсимильной связи (4112) 49-72-49.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безопасности при оказании услуги: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 определяет тип и количество водного транспорта, необходимых для выполнения заявок.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своевременно обеспечивает в соответствии с заявками «Заказчика», подачу под погрузку водный транспорт.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осуществляет контроль (капитана судна): за процессом погрузки (выгрузки), внешнего состояния упаковки, порядка погрузки (выгрузки), надежности крепления и правильности размещения груза.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соблюдение и неукоснительное выполнение требований техники безопасности при перевозке грузов водным видом транспорта.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restart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restart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гарантийному сроку и (или) объему предоставления гарантий качества услуги: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отвечает за сохранность груза с момента принятия груза к перевозке от Заказчика до момента сдачи груза грузополучателю.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несет полную материальную ответственность за сохранность/порчу/утрату грузов во время перевозки согласно договору.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утраченных или поврежденных грузов определяется на основании отгрузочных документов (водная накладная ГУ-1).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диспетчерский контроль за доставкой груза, при возникновении нештатной ситуации, немедленно принять меры для устранения факторов способных повлиять на не своевременную доставку </w:t>
            </w:r>
            <w:r>
              <w:rPr>
                <w:sz w:val="24"/>
                <w:szCs w:val="24"/>
              </w:rPr>
              <w:t xml:space="preserve">груза в пункт назначения, незамедлительно информировать Заказчика обо всех случаях задержки водного транспорта, которые повлекли или могут повлечь за собой нарушение срока доставки груза, или не обеспечение его сохранности с указанием причин возникновения.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обязан обеспечить возможность оперативной замены водного транспорта другим в случае неисправности или повреждения.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5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1" w:type="dxa"/>
            <w:vAlign w:val="center"/>
            <w:vMerge w:val="continue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 также иные требования, предусмотренные действующим законодательством РФ.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93" w:type="dxa"/>
            <w:vAlign w:val="center"/>
            <w:textDirection w:val="lrTb"/>
            <w:noWrap w:val="false"/>
          </w:tcPr>
          <w:p>
            <w:pPr>
              <w:pStyle w:val="872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Согласие с требованием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7" w:type="dxa"/>
            <w:vAlign w:val="center"/>
            <w:textDirection w:val="lrTb"/>
            <w:noWrap w:val="false"/>
          </w:tcPr>
          <w:p>
            <w:pPr>
              <w:pStyle w:val="1000"/>
              <w:widowControl w:val="false"/>
              <w:pBdr/>
              <w:shd w:val="clear" w:color="auto" w:fill="ffffff"/>
              <w:spacing/>
              <w:ind/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-</w:t>
            </w:r>
            <w:r>
              <w:rPr>
                <w:sz w:val="24"/>
                <w:szCs w:val="24"/>
                <w:shd w:val="clear" w:color="auto" w:fill="ffffff"/>
              </w:rPr>
            </w:r>
            <w:r>
              <w:rPr>
                <w:sz w:val="24"/>
                <w:szCs w:val="24"/>
                <w:shd w:val="clear" w:color="auto" w:fill="ffffff"/>
              </w:rPr>
            </w:r>
          </w:p>
        </w:tc>
      </w:tr>
    </w:tbl>
    <w:p>
      <w:pPr>
        <w:pStyle w:val="873"/>
        <w:pBdr/>
        <w:tabs>
          <w:tab w:val="clear" w:leader="none" w:pos="0"/>
        </w:tabs>
        <w:spacing/>
        <w:ind w:firstLine="0" w:left="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11"/>
      <w:headerReference w:type="first" r:id="rId12"/>
      <w:footnotePr/>
      <w:endnotePr/>
      <w:type w:val="nextPage"/>
      <w:pgSz w:h="11906" w:orient="landscape" w:w="16838"/>
      <w:pgMar w:top="1134" w:right="1134" w:bottom="851" w:left="992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MingLiU">
    <w:panose1 w:val="020405030504060A0204"/>
  </w:font>
  <w:font w:name="Symbol">
    <w:panose1 w:val="05010000000000000000"/>
  </w:font>
  <w:font w:name="Garamond">
    <w:panose1 w:val="02020603050405020304"/>
  </w:font>
  <w:font w:name="Tahoma">
    <w:panose1 w:val="020B0604030504040204"/>
  </w:font>
  <w:font w:name="Verdana">
    <w:panose1 w:val="020B0604030504040204"/>
  </w:font>
  <w:font w:name="Calibri Light (Заголовки)">
    <w:panose1 w:val="020F0502020204030204"/>
  </w:font>
  <w:font w:name="Courier New">
    <w:panose1 w:val="02070309020205020404"/>
  </w:font>
  <w:font w:name="Mangal">
    <w:panose1 w:val="02040503050406030204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33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934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-207"/>
      </w:pPr>
      <w:pStyle w:val="975"/>
      <w:rPr>
        <w:rFonts w:hint="default" w:ascii="Times New Roman" w:hAnsi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513"/>
        </w:tabs>
        <w:spacing/>
        <w:ind w:hanging="360" w:left="513"/>
      </w:pPr>
      <w:pStyle w:val="976"/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233"/>
        </w:tabs>
        <w:spacing/>
        <w:ind w:hanging="360" w:left="1233"/>
      </w:pPr>
      <w:pStyle w:val="974"/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953"/>
        </w:tabs>
        <w:spacing/>
        <w:ind w:hanging="360" w:left="1953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2673"/>
        </w:tabs>
        <w:spacing/>
        <w:ind w:hanging="360" w:left="2673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393"/>
        </w:tabs>
        <w:spacing/>
        <w:ind w:hanging="360" w:left="3393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113"/>
        </w:tabs>
        <w:spacing/>
        <w:ind w:hanging="360" w:left="4113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4833"/>
        </w:tabs>
        <w:spacing/>
        <w:ind w:hanging="360" w:left="4833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5553"/>
        </w:tabs>
        <w:spacing/>
        <w:ind w:hanging="360" w:left="5553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5038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8"/>
        <w:szCs w:val="28"/>
        <w:u w:val="none"/>
        <w:vertAlign w:val="baseline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/>
        <w:bCs w:val="0"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1134" w:left="1134"/>
      </w:pPr>
      <w:rPr/>
      <w:start w:val="1"/>
      <w:suff w:val="tab"/>
    </w:lvl>
    <w:lvl w:ilvl="3">
      <w:isLgl w:val="false"/>
      <w:lvlJc w:val="left"/>
      <w:lvlText w:val="(%4)"/>
      <w:numFmt w:val="russianLower"/>
      <w:pPr>
        <w:pBdr/>
        <w:tabs>
          <w:tab w:val="num" w:leader="none" w:pos="0"/>
        </w:tabs>
        <w:spacing/>
        <w:ind w:hanging="567" w:left="1985"/>
      </w:pPr>
      <w:pStyle w:val="985"/>
      <w:rPr/>
      <w:start w:val="1"/>
      <w:suff w:val="tab"/>
    </w:lvl>
    <w:lvl w:ilvl="4">
      <w:isLgl w:val="false"/>
      <w:lvlJc w:val="left"/>
      <w:lvlText w:val="–"/>
      <w:numFmt w:val="bullet"/>
      <w:pPr>
        <w:pBdr/>
        <w:tabs>
          <w:tab w:val="num" w:leader="none" w:pos="0"/>
        </w:tabs>
        <w:spacing/>
        <w:ind w:hanging="567" w:left="2268"/>
      </w:pPr>
      <w:pStyle w:val="986"/>
      <w:rPr>
        <w:rFonts w:hint="default" w:ascii="Times New Roman" w:hAnsi="Times New Roman" w:cs="Times New Roman"/>
      </w:rPr>
      <w:start w:val="1"/>
      <w:suff w:val="tab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pStyle w:val="989"/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701"/>
      </w:pPr>
      <w:pStyle w:val="987"/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pStyle w:val="988"/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1134"/>
      </w:pPr>
      <w:rPr/>
      <w:start w:val="1"/>
      <w:suff w:val="nothing"/>
    </w:lvl>
  </w:abstractNum>
  <w:abstractNum w:abstractNumId="4">
    <w:lvl w:ilvl="0">
      <w:isLgl w:val="false"/>
      <w:lvlJc w:val="left"/>
      <w:lvlText w:val="1.%1"/>
      <w:numFmt w:val="decimal"/>
      <w:pPr>
        <w:pBdr/>
        <w:tabs>
          <w:tab w:val="num" w:leader="none" w:pos="0"/>
        </w:tabs>
        <w:spacing/>
        <w:ind w:hanging="360" w:left="1429"/>
      </w:pPr>
      <w:pStyle w:val="992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214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86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58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430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502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74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46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7189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2">
    <w:name w:val="Table Grid"/>
    <w:basedOn w:val="10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Table Grid Light"/>
    <w:basedOn w:val="10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1"/>
    <w:basedOn w:val="10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2"/>
    <w:basedOn w:val="10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1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2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3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4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5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6"/>
    <w:basedOn w:val="10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1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2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3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4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5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6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1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2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3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4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5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6"/>
    <w:basedOn w:val="10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1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2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3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4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5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6"/>
    <w:basedOn w:val="10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8">
    <w:name w:val="Heading 1 Char"/>
    <w:basedOn w:val="882"/>
    <w:link w:val="87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9">
    <w:name w:val="Heading 2 Char"/>
    <w:basedOn w:val="882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0">
    <w:name w:val="Heading 3 Char"/>
    <w:basedOn w:val="882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1">
    <w:name w:val="Heading 4 Char"/>
    <w:basedOn w:val="882"/>
    <w:link w:val="876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2">
    <w:name w:val="Heading 5 Char"/>
    <w:basedOn w:val="882"/>
    <w:link w:val="87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3">
    <w:name w:val="Heading 6 Char"/>
    <w:basedOn w:val="882"/>
    <w:link w:val="878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4">
    <w:name w:val="Heading 7 Char"/>
    <w:basedOn w:val="882"/>
    <w:link w:val="87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5">
    <w:name w:val="Heading 8 Char"/>
    <w:basedOn w:val="882"/>
    <w:link w:val="88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6">
    <w:name w:val="Heading 9 Char"/>
    <w:basedOn w:val="882"/>
    <w:link w:val="8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7">
    <w:name w:val="Title"/>
    <w:basedOn w:val="872"/>
    <w:next w:val="872"/>
    <w:link w:val="85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8">
    <w:name w:val="Title Char"/>
    <w:basedOn w:val="882"/>
    <w:link w:val="85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59">
    <w:name w:val="Subtitle Char"/>
    <w:basedOn w:val="882"/>
    <w:link w:val="96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0">
    <w:name w:val="Quote Char"/>
    <w:basedOn w:val="882"/>
    <w:link w:val="96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1">
    <w:name w:val="Intense Quote Char"/>
    <w:basedOn w:val="882"/>
    <w:link w:val="96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2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63">
    <w:name w:val="Header Char"/>
    <w:basedOn w:val="882"/>
    <w:link w:val="941"/>
    <w:uiPriority w:val="99"/>
    <w:pPr>
      <w:pBdr/>
      <w:spacing/>
      <w:ind/>
    </w:pPr>
  </w:style>
  <w:style w:type="character" w:styleId="864">
    <w:name w:val="Footer Char"/>
    <w:basedOn w:val="882"/>
    <w:link w:val="943"/>
    <w:uiPriority w:val="99"/>
    <w:pPr>
      <w:pBdr/>
      <w:spacing/>
      <w:ind/>
    </w:pPr>
  </w:style>
  <w:style w:type="character" w:styleId="865">
    <w:name w:val="Footnote Text Char"/>
    <w:basedOn w:val="882"/>
    <w:link w:val="935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7">
    <w:name w:val="Endnote Text Char"/>
    <w:basedOn w:val="882"/>
    <w:link w:val="991"/>
    <w:uiPriority w:val="99"/>
    <w:semiHidden/>
    <w:pPr>
      <w:pBdr/>
      <w:spacing/>
      <w:ind/>
    </w:pPr>
    <w:rPr>
      <w:sz w:val="20"/>
      <w:szCs w:val="20"/>
    </w:rPr>
  </w:style>
  <w:style w:type="character" w:styleId="868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9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0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1">
    <w:name w:val="table of figures"/>
    <w:basedOn w:val="872"/>
    <w:next w:val="872"/>
    <w:uiPriority w:val="99"/>
    <w:unhideWhenUsed/>
    <w:pPr>
      <w:pBdr/>
      <w:spacing w:after="0" w:afterAutospacing="0"/>
      <w:ind/>
    </w:pPr>
  </w:style>
  <w:style w:type="paragraph" w:styleId="872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873">
    <w:name w:val="Heading 1"/>
    <w:basedOn w:val="875"/>
    <w:next w:val="872"/>
    <w:link w:val="892"/>
    <w:qFormat/>
    <w:pPr>
      <w:pBdr/>
      <w:spacing/>
      <w:ind/>
      <w:outlineLvl w:val="0"/>
    </w:pPr>
    <w:rPr>
      <w:sz w:val="28"/>
      <w:szCs w:val="28"/>
    </w:rPr>
  </w:style>
  <w:style w:type="paragraph" w:styleId="874">
    <w:name w:val="Heading 2"/>
    <w:basedOn w:val="876"/>
    <w:next w:val="872"/>
    <w:link w:val="893"/>
    <w:qFormat/>
    <w:pPr>
      <w:pBdr/>
      <w:spacing/>
      <w:ind/>
      <w:outlineLvl w:val="1"/>
    </w:pPr>
  </w:style>
  <w:style w:type="paragraph" w:styleId="875">
    <w:name w:val="Heading 3"/>
    <w:basedOn w:val="872"/>
    <w:next w:val="872"/>
    <w:link w:val="894"/>
    <w:qFormat/>
    <w:pPr>
      <w:keepNext w:val="true"/>
      <w:pBdr/>
      <w:tabs>
        <w:tab w:val="left" w:leader="none" w:pos="0"/>
        <w:tab w:val="clear" w:leader="none" w:pos="708"/>
      </w:tabs>
      <w:spacing w:after="60" w:before="120"/>
      <w:ind w:hanging="504" w:left="1224"/>
      <w:outlineLvl w:val="2"/>
    </w:pPr>
    <w:rPr>
      <w:rFonts w:eastAsia="Calibri"/>
      <w:b/>
      <w:sz w:val="24"/>
      <w:szCs w:val="24"/>
    </w:rPr>
  </w:style>
  <w:style w:type="paragraph" w:styleId="876">
    <w:name w:val="Heading 4"/>
    <w:basedOn w:val="875"/>
    <w:next w:val="872"/>
    <w:link w:val="895"/>
    <w:qFormat/>
    <w:pPr>
      <w:pBdr/>
      <w:spacing/>
      <w:ind/>
      <w:outlineLvl w:val="3"/>
    </w:pPr>
    <w:rPr>
      <w:bCs/>
    </w:rPr>
  </w:style>
  <w:style w:type="paragraph" w:styleId="877">
    <w:name w:val="Heading 5"/>
    <w:basedOn w:val="872"/>
    <w:next w:val="872"/>
    <w:link w:val="896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878">
    <w:name w:val="Heading 6"/>
    <w:basedOn w:val="872"/>
    <w:next w:val="872"/>
    <w:link w:val="889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879">
    <w:name w:val="Heading 7"/>
    <w:basedOn w:val="872"/>
    <w:next w:val="872"/>
    <w:link w:val="890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80">
    <w:name w:val="Heading 8"/>
    <w:basedOn w:val="872"/>
    <w:next w:val="872"/>
    <w:link w:val="891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881">
    <w:name w:val="Heading 9"/>
    <w:basedOn w:val="872"/>
    <w:next w:val="872"/>
    <w:link w:val="897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882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883" w:customStyle="1">
    <w:name w:val="Привязка сноски"/>
    <w:pPr>
      <w:pBdr/>
      <w:spacing/>
      <w:ind/>
    </w:pPr>
    <w:rPr>
      <w:vertAlign w:val="superscript"/>
    </w:rPr>
  </w:style>
  <w:style w:type="character" w:styleId="884" w:customStyle="1">
    <w:name w:val="Footnote Characters"/>
    <w:qFormat/>
    <w:pPr>
      <w:pBdr/>
      <w:spacing/>
      <w:ind/>
    </w:pPr>
    <w:rPr>
      <w:vertAlign w:val="superscript"/>
    </w:rPr>
  </w:style>
  <w:style w:type="character" w:styleId="885">
    <w:name w:val="page number"/>
    <w:basedOn w:val="882"/>
    <w:qFormat/>
    <w:pPr>
      <w:pBdr/>
      <w:spacing/>
      <w:ind/>
    </w:pPr>
  </w:style>
  <w:style w:type="character" w:styleId="886" w:customStyle="1">
    <w:name w:val="Интернет-ссылка"/>
    <w:pPr>
      <w:pBdr/>
      <w:spacing/>
      <w:ind/>
    </w:pPr>
    <w:rPr>
      <w:color w:val="0000ff"/>
      <w:u w:val="single"/>
    </w:rPr>
  </w:style>
  <w:style w:type="character" w:styleId="887">
    <w:name w:val="annotation reference"/>
    <w:qFormat/>
    <w:pPr>
      <w:pBdr/>
      <w:spacing/>
      <w:ind/>
    </w:pPr>
    <w:rPr>
      <w:sz w:val="16"/>
      <w:szCs w:val="16"/>
    </w:rPr>
  </w:style>
  <w:style w:type="character" w:styleId="888">
    <w:name w:val="Strong"/>
    <w:qFormat/>
    <w:pPr>
      <w:pBdr/>
      <w:spacing/>
      <w:ind/>
    </w:pPr>
    <w:rPr>
      <w:b/>
      <w:bCs/>
    </w:rPr>
  </w:style>
  <w:style w:type="character" w:styleId="889" w:customStyle="1">
    <w:name w:val="Заголовок 6 Знак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890" w:customStyle="1">
    <w:name w:val="Заголовок 7 Знак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891" w:customStyle="1">
    <w:name w:val="Заголовок 8 Знак"/>
    <w:qFormat/>
    <w:pPr>
      <w:pBdr/>
      <w:spacing/>
      <w:ind/>
    </w:pPr>
    <w:rPr>
      <w:rFonts w:ascii="Cambria" w:hAnsi="Cambria"/>
      <w:color w:val="4f81bd"/>
    </w:rPr>
  </w:style>
  <w:style w:type="character" w:styleId="892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893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894" w:customStyle="1">
    <w:name w:val="Заголовок 3 Знак"/>
    <w:qFormat/>
    <w:pPr>
      <w:pBdr/>
      <w:spacing/>
      <w:ind/>
    </w:pPr>
    <w:rPr>
      <w:rFonts w:eastAsia="Calibri"/>
      <w:b/>
      <w:sz w:val="24"/>
      <w:szCs w:val="24"/>
    </w:rPr>
  </w:style>
  <w:style w:type="character" w:styleId="895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896" w:customStyle="1">
    <w:name w:val="Заголовок 5 Знак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897" w:customStyle="1">
    <w:name w:val="Заголовок 9 Знак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898" w:customStyle="1">
    <w:name w:val="Название Знак"/>
    <w:link w:val="939"/>
    <w:qFormat/>
    <w:pPr>
      <w:pBdr/>
      <w:spacing/>
      <w:ind/>
    </w:pPr>
    <w:rPr>
      <w:sz w:val="28"/>
    </w:rPr>
  </w:style>
  <w:style w:type="character" w:styleId="899" w:customStyle="1">
    <w:name w:val="Подзаголовок Знак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900">
    <w:name w:val="Выделение"/>
    <w:qFormat/>
    <w:pPr>
      <w:pBdr/>
      <w:spacing/>
      <w:ind/>
    </w:pPr>
    <w:rPr>
      <w:i/>
      <w:iCs/>
    </w:rPr>
  </w:style>
  <w:style w:type="character" w:styleId="901" w:customStyle="1">
    <w:name w:val="Цитата 2 Знак"/>
    <w:link w:val="968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902" w:customStyle="1">
    <w:name w:val="Выделенная цитата Знак"/>
    <w:link w:val="969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903">
    <w:name w:val="Subtle Emphasis"/>
    <w:qFormat/>
    <w:pPr>
      <w:pBdr/>
      <w:spacing/>
      <w:ind/>
    </w:pPr>
    <w:rPr>
      <w:i/>
      <w:iCs/>
      <w:color w:val="808080"/>
    </w:rPr>
  </w:style>
  <w:style w:type="character" w:styleId="904">
    <w:name w:val="Intense Emphasis"/>
    <w:qFormat/>
    <w:pPr>
      <w:pBdr/>
      <w:spacing/>
      <w:ind/>
    </w:pPr>
    <w:rPr>
      <w:b/>
      <w:bCs/>
      <w:i/>
      <w:iCs/>
      <w:color w:val="4f81bd"/>
    </w:rPr>
  </w:style>
  <w:style w:type="character" w:styleId="905">
    <w:name w:val="Subtle Reference"/>
    <w:qFormat/>
    <w:pPr>
      <w:pBdr/>
      <w:spacing/>
      <w:ind/>
    </w:pPr>
    <w:rPr>
      <w:smallCaps/>
      <w:color w:val="c0504d"/>
      <w:u w:val="single"/>
    </w:rPr>
  </w:style>
  <w:style w:type="character" w:styleId="906">
    <w:name w:val="Intense Reference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907">
    <w:name w:val="Book Title"/>
    <w:qFormat/>
    <w:pPr>
      <w:pBdr/>
      <w:spacing/>
      <w:ind/>
    </w:pPr>
    <w:rPr>
      <w:b/>
      <w:bCs/>
      <w:smallCaps/>
      <w:spacing w:val="5"/>
    </w:rPr>
  </w:style>
  <w:style w:type="character" w:styleId="908" w:customStyle="1">
    <w:name w:val="Электронная подпись Знак"/>
    <w:link w:val="972"/>
    <w:qFormat/>
    <w:pPr>
      <w:pBdr/>
      <w:spacing/>
      <w:ind/>
    </w:pPr>
    <w:rPr>
      <w:rFonts w:eastAsia="Calibri"/>
      <w:sz w:val="24"/>
      <w:szCs w:val="24"/>
    </w:rPr>
  </w:style>
  <w:style w:type="character" w:styleId="909" w:customStyle="1">
    <w:name w:val="Подпункт Знак1"/>
    <w:link w:val="949"/>
    <w:qFormat/>
    <w:pPr>
      <w:pBdr/>
      <w:spacing/>
      <w:ind/>
    </w:pPr>
    <w:rPr>
      <w:sz w:val="28"/>
    </w:rPr>
  </w:style>
  <w:style w:type="character" w:styleId="910" w:customStyle="1">
    <w:name w:val="Текст сноски Знак"/>
    <w:qFormat/>
    <w:pPr>
      <w:pBdr/>
      <w:spacing/>
      <w:ind/>
    </w:pPr>
  </w:style>
  <w:style w:type="character" w:styleId="911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912" w:customStyle="1">
    <w:name w:val="blk"/>
    <w:qFormat/>
    <w:pPr>
      <w:pBdr/>
      <w:spacing/>
      <w:ind/>
    </w:pPr>
  </w:style>
  <w:style w:type="character" w:styleId="913" w:customStyle="1">
    <w:name w:val="Абзац списка Знак"/>
    <w:link w:val="967"/>
    <w:qFormat/>
    <w:pPr>
      <w:pBdr/>
      <w:spacing/>
      <w:ind/>
    </w:pPr>
    <w:rPr>
      <w:rFonts w:eastAsia="Calibri"/>
      <w:sz w:val="24"/>
      <w:szCs w:val="24"/>
    </w:rPr>
  </w:style>
  <w:style w:type="character" w:styleId="914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915" w:customStyle="1">
    <w:name w:val="Подподпункт Знак"/>
    <w:link w:val="984"/>
    <w:qFormat/>
    <w:pPr>
      <w:pBdr/>
      <w:spacing/>
      <w:ind/>
    </w:pPr>
    <w:rPr>
      <w:sz w:val="26"/>
      <w:szCs w:val="26"/>
    </w:rPr>
  </w:style>
  <w:style w:type="character" w:styleId="916" w:customStyle="1">
    <w:name w:val="УРОВЕНЬ_Абзац_тип3 Знак"/>
    <w:link w:val="988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917" w:customStyle="1">
    <w:name w:val="Верхний колонтитул Знак"/>
    <w:qFormat/>
    <w:pPr>
      <w:pBdr/>
      <w:spacing/>
      <w:ind/>
    </w:pPr>
    <w:rPr>
      <w:sz w:val="24"/>
      <w:szCs w:val="24"/>
    </w:rPr>
  </w:style>
  <w:style w:type="character" w:styleId="918" w:customStyle="1">
    <w:name w:val="Текст примечания Знак"/>
    <w:link w:val="957"/>
    <w:qFormat/>
    <w:pPr>
      <w:pBdr/>
      <w:spacing/>
      <w:ind/>
    </w:pPr>
  </w:style>
  <w:style w:type="character" w:styleId="919" w:customStyle="1">
    <w:name w:val="Текст концевой сноски Знак"/>
    <w:basedOn w:val="882"/>
    <w:qFormat/>
    <w:pPr>
      <w:pBdr/>
      <w:spacing/>
      <w:ind/>
    </w:pPr>
  </w:style>
  <w:style w:type="character" w:styleId="920" w:customStyle="1">
    <w:name w:val="Привязка концевой сноски"/>
    <w:pPr>
      <w:pBdr/>
      <w:spacing/>
      <w:ind/>
    </w:pPr>
    <w:rPr>
      <w:vertAlign w:val="superscript"/>
    </w:rPr>
  </w:style>
  <w:style w:type="character" w:styleId="921" w:customStyle="1">
    <w:name w:val="Endnote Characters"/>
    <w:basedOn w:val="882"/>
    <w:qFormat/>
    <w:pPr>
      <w:pBdr/>
      <w:spacing/>
      <w:ind/>
    </w:pPr>
    <w:rPr>
      <w:vertAlign w:val="superscript"/>
    </w:rPr>
  </w:style>
  <w:style w:type="character" w:styleId="922" w:customStyle="1">
    <w:name w:val="Пункт2 Знак"/>
    <w:link w:val="950"/>
    <w:qFormat/>
    <w:pPr>
      <w:pBdr/>
      <w:spacing/>
      <w:ind/>
    </w:pPr>
    <w:rPr>
      <w:b/>
      <w:sz w:val="28"/>
    </w:rPr>
  </w:style>
  <w:style w:type="character" w:styleId="923" w:customStyle="1">
    <w:name w:val="УРОВЕНЬ_1. Знак"/>
    <w:link w:val="995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924" w:customStyle="1">
    <w:name w:val="Ссылка указателя"/>
    <w:qFormat/>
    <w:pPr>
      <w:pBdr/>
      <w:spacing/>
      <w:ind/>
    </w:pPr>
  </w:style>
  <w:style w:type="paragraph" w:styleId="925" w:customStyle="1">
    <w:name w:val="Заголовок"/>
    <w:basedOn w:val="872"/>
    <w:next w:val="926"/>
    <w:qFormat/>
    <w:pPr>
      <w:keepNext w:val="true"/>
      <w:pBdr/>
      <w:spacing w:after="120" w:before="240"/>
      <w:ind/>
    </w:pPr>
    <w:rPr>
      <w:rFonts w:ascii="Liberation Sans" w:hAnsi="Liberation Sans" w:eastAsia="Microsoft YaHei" w:cs="Mangal"/>
    </w:rPr>
  </w:style>
  <w:style w:type="paragraph" w:styleId="926">
    <w:name w:val="Body Text"/>
    <w:basedOn w:val="872"/>
    <w:link w:val="911"/>
    <w:pPr>
      <w:pBdr/>
      <w:spacing w:after="120" w:before="0"/>
      <w:ind/>
    </w:pPr>
  </w:style>
  <w:style w:type="paragraph" w:styleId="927">
    <w:name w:val="List"/>
    <w:basedOn w:val="926"/>
    <w:pPr>
      <w:pBdr/>
      <w:spacing/>
      <w:ind/>
    </w:pPr>
    <w:rPr>
      <w:rFonts w:cs="Mangal"/>
    </w:rPr>
  </w:style>
  <w:style w:type="paragraph" w:styleId="928">
    <w:name w:val="Caption"/>
    <w:basedOn w:val="872"/>
    <w:qFormat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29">
    <w:name w:val="Указатель"/>
    <w:basedOn w:val="872"/>
    <w:qFormat/>
    <w:pPr>
      <w:suppressLineNumbers w:val="true"/>
      <w:pBdr/>
      <w:spacing/>
      <w:ind/>
    </w:pPr>
    <w:rPr>
      <w:rFonts w:cs="Mangal"/>
    </w:rPr>
  </w:style>
  <w:style w:type="paragraph" w:styleId="930">
    <w:name w:val="Caption"/>
    <w:basedOn w:val="872"/>
    <w:next w:val="872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931">
    <w:name w:val="index heading"/>
    <w:basedOn w:val="925"/>
    <w:qFormat/>
    <w:pPr>
      <w:pBdr/>
      <w:spacing/>
      <w:ind/>
    </w:pPr>
  </w:style>
  <w:style w:type="paragraph" w:styleId="932" w:customStyle="1">
    <w:name w:val="Название раздела инструкции"/>
    <w:basedOn w:val="872"/>
    <w:qFormat/>
    <w:pPr>
      <w:pBdr/>
      <w:spacing/>
      <w:ind/>
      <w:jc w:val="center"/>
    </w:pPr>
    <w:rPr>
      <w:b/>
    </w:rPr>
  </w:style>
  <w:style w:type="paragraph" w:styleId="933" w:customStyle="1">
    <w:name w:val="Раздел положения"/>
    <w:basedOn w:val="872"/>
    <w:qFormat/>
    <w:pPr>
      <w:numPr>
        <w:ilvl w:val="0"/>
        <w:numId w:val="1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934" w:customStyle="1">
    <w:name w:val="Подраздел раздела положения"/>
    <w:basedOn w:val="872"/>
    <w:qFormat/>
    <w:pPr>
      <w:numPr>
        <w:ilvl w:val="1"/>
        <w:numId w:val="1"/>
      </w:numPr>
      <w:pBdr/>
      <w:spacing w:after="80" w:before="80"/>
      <w:ind/>
      <w:jc w:val="both"/>
    </w:pPr>
  </w:style>
  <w:style w:type="paragraph" w:styleId="935">
    <w:name w:val="footnote text"/>
    <w:basedOn w:val="872"/>
    <w:link w:val="910"/>
    <w:pPr>
      <w:pBdr/>
      <w:spacing/>
      <w:ind/>
    </w:pPr>
    <w:rPr>
      <w:sz w:val="20"/>
      <w:szCs w:val="20"/>
    </w:rPr>
  </w:style>
  <w:style w:type="paragraph" w:styleId="936" w:customStyle="1">
    <w:name w:val="Шапка 1"/>
    <w:basedOn w:val="872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937" w:customStyle="1">
    <w:name w:val="Шапка 2"/>
    <w:basedOn w:val="872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938" w:customStyle="1">
    <w:name w:val="Шапка 3"/>
    <w:basedOn w:val="872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939" w:customStyle="1">
    <w:name w:val="Название1"/>
    <w:basedOn w:val="872"/>
    <w:link w:val="898"/>
    <w:qFormat/>
    <w:pPr>
      <w:pBdr/>
      <w:spacing/>
      <w:ind/>
      <w:jc w:val="center"/>
    </w:pPr>
    <w:rPr>
      <w:szCs w:val="20"/>
    </w:rPr>
  </w:style>
  <w:style w:type="paragraph" w:styleId="940" w:customStyle="1">
    <w:name w:val="Колонтитул"/>
    <w:basedOn w:val="872"/>
    <w:qFormat/>
    <w:pPr>
      <w:pBdr/>
      <w:spacing/>
      <w:ind/>
    </w:pPr>
  </w:style>
  <w:style w:type="paragraph" w:styleId="941">
    <w:name w:val="Header"/>
    <w:basedOn w:val="872"/>
    <w:link w:val="917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942">
    <w:name w:val="Body Text Indent"/>
    <w:basedOn w:val="872"/>
    <w:pPr>
      <w:pBdr/>
      <w:spacing/>
      <w:ind w:firstLine="0" w:left="360"/>
    </w:pPr>
    <w:rPr>
      <w:sz w:val="24"/>
      <w:szCs w:val="24"/>
    </w:rPr>
  </w:style>
  <w:style w:type="paragraph" w:styleId="943">
    <w:name w:val="Footer"/>
    <w:basedOn w:val="872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44">
    <w:name w:val="Body Text Indent 2"/>
    <w:basedOn w:val="872"/>
    <w:qFormat/>
    <w:pPr>
      <w:pBdr/>
      <w:spacing w:after="120" w:before="0" w:line="480" w:lineRule="auto"/>
      <w:ind w:firstLine="0" w:left="283"/>
    </w:pPr>
  </w:style>
  <w:style w:type="paragraph" w:styleId="945">
    <w:name w:val="Body Text 3"/>
    <w:basedOn w:val="872"/>
    <w:qFormat/>
    <w:pPr>
      <w:pBdr/>
      <w:spacing w:after="120" w:before="0"/>
      <w:ind/>
    </w:pPr>
    <w:rPr>
      <w:sz w:val="16"/>
      <w:szCs w:val="16"/>
    </w:rPr>
  </w:style>
  <w:style w:type="paragraph" w:styleId="946">
    <w:name w:val="Body Text Indent 3"/>
    <w:basedOn w:val="872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947">
    <w:name w:val="Body Text 2"/>
    <w:basedOn w:val="872"/>
    <w:qFormat/>
    <w:pPr>
      <w:pBdr/>
      <w:spacing w:after="120" w:before="0" w:line="480" w:lineRule="auto"/>
      <w:ind/>
    </w:pPr>
  </w:style>
  <w:style w:type="paragraph" w:styleId="948">
    <w:name w:val="Block Text"/>
    <w:basedOn w:val="872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949" w:customStyle="1">
    <w:name w:val="Подпункт"/>
    <w:basedOn w:val="872"/>
    <w:link w:val="909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950" w:customStyle="1">
    <w:name w:val="Пункт2"/>
    <w:basedOn w:val="872"/>
    <w:link w:val="922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951">
    <w:name w:val="TOC 1"/>
    <w:basedOn w:val="872"/>
    <w:next w:val="872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952">
    <w:name w:val="TOC 3"/>
    <w:basedOn w:val="872"/>
    <w:next w:val="872"/>
    <w:pPr>
      <w:pBdr/>
      <w:spacing/>
      <w:ind w:firstLine="0" w:left="280"/>
    </w:pPr>
    <w:rPr>
      <w:rFonts w:cs="Calibri"/>
      <w:sz w:val="20"/>
      <w:szCs w:val="20"/>
    </w:rPr>
  </w:style>
  <w:style w:type="paragraph" w:styleId="953" w:customStyle="1">
    <w:name w:val="Раздел регламента"/>
    <w:basedOn w:val="872"/>
    <w:qFormat/>
    <w:pPr>
      <w:pBdr/>
      <w:spacing/>
      <w:ind/>
    </w:pPr>
  </w:style>
  <w:style w:type="paragraph" w:styleId="954" w:customStyle="1">
    <w:name w:val="Приложение к регламенту"/>
    <w:basedOn w:val="872"/>
    <w:qFormat/>
    <w:pPr>
      <w:pBdr/>
      <w:spacing/>
      <w:ind/>
      <w:jc w:val="right"/>
    </w:pPr>
  </w:style>
  <w:style w:type="paragraph" w:styleId="955">
    <w:name w:val="TOC 2"/>
    <w:basedOn w:val="872"/>
    <w:next w:val="872"/>
    <w:pPr>
      <w:pBdr/>
      <w:spacing w:after="0" w:before="240"/>
      <w:ind/>
    </w:pPr>
    <w:rPr>
      <w:rFonts w:cs="Calibri"/>
      <w:bCs/>
      <w:sz w:val="20"/>
      <w:szCs w:val="20"/>
    </w:rPr>
  </w:style>
  <w:style w:type="paragraph" w:styleId="956">
    <w:name w:val="Balloon Text"/>
    <w:basedOn w:val="872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57">
    <w:name w:val="annotation text"/>
    <w:basedOn w:val="872"/>
    <w:link w:val="918"/>
    <w:qFormat/>
    <w:pPr>
      <w:pBdr/>
      <w:spacing/>
      <w:ind/>
    </w:pPr>
    <w:rPr>
      <w:sz w:val="20"/>
      <w:szCs w:val="20"/>
    </w:rPr>
  </w:style>
  <w:style w:type="paragraph" w:styleId="958">
    <w:name w:val="annotation subject"/>
    <w:basedOn w:val="957"/>
    <w:next w:val="957"/>
    <w:qFormat/>
    <w:pPr>
      <w:pBdr/>
      <w:spacing/>
      <w:ind/>
    </w:pPr>
    <w:rPr>
      <w:b/>
      <w:bCs/>
    </w:rPr>
  </w:style>
  <w:style w:type="paragraph" w:styleId="959" w:customStyle="1">
    <w:name w:val="Обычный (веб)1"/>
    <w:basedOn w:val="872"/>
    <w:qFormat/>
    <w:pPr>
      <w:pBdr/>
      <w:spacing w:after="280" w:before="280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960">
    <w:name w:val="TOC 9"/>
    <w:basedOn w:val="872"/>
    <w:next w:val="872"/>
    <w:pPr>
      <w:pBdr/>
      <w:spacing/>
      <w:ind w:firstLine="0" w:left="1960"/>
    </w:pPr>
    <w:rPr>
      <w:rFonts w:ascii="Calibri" w:hAnsi="Calibri" w:cs="Calibri"/>
      <w:sz w:val="20"/>
      <w:szCs w:val="20"/>
    </w:rPr>
  </w:style>
  <w:style w:type="paragraph" w:styleId="961">
    <w:name w:val="TOC 5"/>
    <w:basedOn w:val="872"/>
    <w:next w:val="872"/>
    <w:pPr>
      <w:pBdr/>
      <w:spacing/>
      <w:ind w:firstLine="0" w:left="840"/>
    </w:pPr>
    <w:rPr>
      <w:rFonts w:ascii="Calibri" w:hAnsi="Calibri" w:cs="Calibri"/>
      <w:sz w:val="20"/>
      <w:szCs w:val="20"/>
    </w:rPr>
  </w:style>
  <w:style w:type="paragraph" w:styleId="962">
    <w:name w:val="TOC 4"/>
    <w:basedOn w:val="872"/>
    <w:next w:val="872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/>
      <w:sz w:val="20"/>
      <w:szCs w:val="20"/>
    </w:rPr>
  </w:style>
  <w:style w:type="paragraph" w:styleId="963" w:customStyle="1">
    <w:name w:val="Раздел положения 2"/>
    <w:basedOn w:val="872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964" w:customStyle="1">
    <w:name w:val="Знак Знак Знак Знак Знак Знак Знак Знак Знак"/>
    <w:basedOn w:val="872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965">
    <w:name w:val="No Spacing"/>
    <w:basedOn w:val="872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966">
    <w:name w:val="Subtitle"/>
    <w:basedOn w:val="872"/>
    <w:next w:val="872"/>
    <w:link w:val="899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967">
    <w:name w:val="List Paragraph"/>
    <w:basedOn w:val="872"/>
    <w:link w:val="913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968">
    <w:name w:val="Quote"/>
    <w:basedOn w:val="872"/>
    <w:next w:val="872"/>
    <w:link w:val="901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969">
    <w:name w:val="Intense Quote"/>
    <w:basedOn w:val="872"/>
    <w:next w:val="872"/>
    <w:link w:val="902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970">
    <w:name w:val="Index Heading"/>
    <w:basedOn w:val="925"/>
    <w:pPr>
      <w:pBdr/>
      <w:spacing/>
      <w:ind/>
    </w:pPr>
  </w:style>
  <w:style w:type="paragraph" w:styleId="971">
    <w:name w:val="TOC Heading"/>
    <w:basedOn w:val="873"/>
    <w:next w:val="872"/>
    <w:pPr>
      <w:keepLines w:val="true"/>
      <w:pBdr/>
      <w:spacing w:after="60" w:before="480"/>
      <w:ind/>
      <w:outlineLvl w:val="9"/>
    </w:pPr>
    <w:rPr>
      <w:rFonts w:ascii="Cambria" w:hAnsi="Cambria"/>
      <w:bCs/>
      <w:color w:val="365f91"/>
    </w:rPr>
  </w:style>
  <w:style w:type="paragraph" w:styleId="972">
    <w:name w:val="E-mail Signature"/>
    <w:basedOn w:val="872"/>
    <w:link w:val="908"/>
    <w:qFormat/>
    <w:pPr>
      <w:pBdr/>
      <w:spacing/>
      <w:ind/>
    </w:pPr>
    <w:rPr>
      <w:rFonts w:eastAsia="Calibri"/>
      <w:sz w:val="24"/>
      <w:szCs w:val="24"/>
    </w:rPr>
  </w:style>
  <w:style w:type="paragraph" w:styleId="973" w:customStyle="1">
    <w:name w:val="Знак"/>
    <w:basedOn w:val="872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974" w:customStyle="1">
    <w:name w:val="Нумерованный список ур3"/>
    <w:basedOn w:val="872"/>
    <w:qFormat/>
    <w:pPr>
      <w:numPr>
        <w:ilvl w:val="2"/>
        <w:numId w:val="2"/>
      </w:numPr>
      <w:pBdr/>
      <w:spacing/>
      <w:ind/>
      <w:jc w:val="both"/>
    </w:pPr>
    <w:rPr>
      <w:rFonts w:ascii="Garamond" w:hAnsi="Garamond"/>
      <w:sz w:val="24"/>
      <w:szCs w:val="20"/>
    </w:rPr>
  </w:style>
  <w:style w:type="paragraph" w:styleId="975">
    <w:name w:val="List Bullet 4"/>
    <w:basedOn w:val="872"/>
    <w:qFormat/>
    <w:pPr>
      <w:numPr>
        <w:ilvl w:val="0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976" w:customStyle="1">
    <w:name w:val="Нумерованный список ур2"/>
    <w:basedOn w:val="872"/>
    <w:qFormat/>
    <w:pPr>
      <w:numPr>
        <w:ilvl w:val="1"/>
        <w:numId w:val="2"/>
      </w:numPr>
      <w:pBdr/>
      <w:spacing w:after="0" w:before="120"/>
      <w:ind/>
      <w:jc w:val="both"/>
    </w:pPr>
    <w:rPr>
      <w:rFonts w:ascii="Garamond" w:hAnsi="Garamond"/>
      <w:sz w:val="24"/>
      <w:szCs w:val="20"/>
    </w:rPr>
  </w:style>
  <w:style w:type="paragraph" w:styleId="977">
    <w:name w:val="Revision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978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979" w:customStyle="1">
    <w:name w:val="Знак Знак3 Знак Знак"/>
    <w:basedOn w:val="872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980" w:customStyle="1">
    <w:name w:val="Пункт"/>
    <w:basedOn w:val="872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981" w:customStyle="1">
    <w:name w:val="Абзац списка1"/>
    <w:basedOn w:val="872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982" w:customStyle="1">
    <w:name w:val="Таблица"/>
    <w:basedOn w:val="872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983" w:customStyle="1">
    <w:name w:val="Таблица шапка"/>
    <w:basedOn w:val="872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984" w:customStyle="1">
    <w:name w:val="Подподпункт"/>
    <w:basedOn w:val="949"/>
    <w:link w:val="915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985" w:customStyle="1">
    <w:name w:val="УРОВЕНЬ_(а)"/>
    <w:basedOn w:val="967"/>
    <w:qFormat/>
    <w:pPr>
      <w:numPr>
        <w:ilvl w:val="3"/>
        <w:numId w:val="4"/>
      </w:numPr>
      <w:pBdr/>
      <w:spacing w:after="0" w:before="120" w:line="360" w:lineRule="exact"/>
      <w:ind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986" w:customStyle="1">
    <w:name w:val="УРОВЕНЬ_-"/>
    <w:basedOn w:val="967"/>
    <w:qFormat/>
    <w:pPr>
      <w:numPr>
        <w:ilvl w:val="4"/>
        <w:numId w:val="4"/>
      </w:numPr>
      <w:pBdr/>
      <w:spacing w:after="0" w:before="120" w:line="360" w:lineRule="exact"/>
      <w:ind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987" w:customStyle="1">
    <w:name w:val="УРОВЕНЬ_Абзац_тип2"/>
    <w:basedOn w:val="967"/>
    <w:qFormat/>
    <w:pPr>
      <w:numPr>
        <w:ilvl w:val="6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988" w:customStyle="1">
    <w:name w:val="УРОВЕНЬ_Абзац_тип3"/>
    <w:basedOn w:val="967"/>
    <w:link w:val="916"/>
    <w:qFormat/>
    <w:pPr>
      <w:numPr>
        <w:ilvl w:val="7"/>
        <w:numId w:val="4"/>
      </w:numPr>
      <w:pBdr/>
      <w:spacing w:after="0" w:before="120" w:line="360" w:lineRule="exact"/>
      <w:ind/>
      <w:contextualSpacing w:val="false"/>
      <w:jc w:val="both"/>
    </w:pPr>
    <w:rPr>
      <w:sz w:val="26"/>
      <w:szCs w:val="28"/>
      <w:lang w:eastAsia="en-US"/>
    </w:rPr>
  </w:style>
  <w:style w:type="paragraph" w:styleId="989" w:customStyle="1">
    <w:name w:val="УРОВЕНЬ_Подпись"/>
    <w:basedOn w:val="967"/>
    <w:qFormat/>
    <w:pPr>
      <w:keepNext w:val="true"/>
      <w:numPr>
        <w:ilvl w:val="5"/>
        <w:numId w:val="4"/>
      </w:numPr>
      <w:pBdr/>
      <w:spacing w:after="120" w:before="120" w:line="360" w:lineRule="exact"/>
      <w:ind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990" w:customStyle="1">
    <w:name w:val="Стиль Заголовок 1 + по ширине"/>
    <w:basedOn w:val="873"/>
    <w:qFormat/>
    <w:pPr>
      <w:keepLines w:val="true"/>
      <w:pBdr/>
      <w:tabs>
        <w:tab w:val="clear" w:leader="none" w:pos="0"/>
        <w:tab w:val="left" w:leader="none" w:pos="567"/>
      </w:tabs>
      <w:spacing w:after="240" w:before="480"/>
      <w:ind w:hanging="567" w:left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991">
    <w:name w:val="endnote text"/>
    <w:basedOn w:val="872"/>
    <w:link w:val="919"/>
    <w:pPr>
      <w:pBdr/>
      <w:spacing/>
      <w:ind/>
    </w:pPr>
    <w:rPr>
      <w:sz w:val="20"/>
      <w:szCs w:val="20"/>
    </w:rPr>
  </w:style>
  <w:style w:type="paragraph" w:styleId="992" w:customStyle="1">
    <w:name w:val="Заголовок 2 КВВ"/>
    <w:basedOn w:val="872"/>
    <w:qFormat/>
    <w:pPr>
      <w:keepNext w:val="true"/>
      <w:numPr>
        <w:ilvl w:val="0"/>
        <w:numId w:val="5"/>
      </w:numPr>
      <w:pBdr/>
      <w:spacing w:after="120" w:before="120"/>
      <w:ind/>
      <w:jc w:val="both"/>
      <w:outlineLvl w:val="0"/>
    </w:pPr>
    <w:rPr>
      <w:b/>
      <w:sz w:val="24"/>
      <w:szCs w:val="20"/>
    </w:rPr>
  </w:style>
  <w:style w:type="paragraph" w:styleId="993" w:customStyle="1">
    <w:name w:val="Таблица текст"/>
    <w:basedOn w:val="872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994">
    <w:name w:val="Normal (Web)"/>
    <w:basedOn w:val="872"/>
    <w:qFormat/>
    <w:pPr>
      <w:pBdr/>
      <w:spacing w:after="280" w:before="280"/>
      <w:ind/>
    </w:pPr>
    <w:rPr>
      <w:sz w:val="24"/>
      <w:szCs w:val="24"/>
    </w:rPr>
  </w:style>
  <w:style w:type="paragraph" w:styleId="995" w:customStyle="1">
    <w:name w:val="УРОВЕНЬ_1."/>
    <w:basedOn w:val="967"/>
    <w:link w:val="923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996">
    <w:name w:val="TOC 6"/>
    <w:basedOn w:val="872"/>
    <w:next w:val="872"/>
    <w:pPr>
      <w:pBdr/>
      <w:spacing/>
      <w:ind w:firstLine="0" w:left="1120"/>
    </w:pPr>
    <w:rPr>
      <w:rFonts w:ascii="Calibri" w:hAnsi="Calibri" w:cs="Calibri"/>
      <w:sz w:val="20"/>
      <w:szCs w:val="20"/>
    </w:rPr>
  </w:style>
  <w:style w:type="paragraph" w:styleId="997">
    <w:name w:val="TOC 7"/>
    <w:basedOn w:val="872"/>
    <w:next w:val="872"/>
    <w:pPr>
      <w:pBdr/>
      <w:spacing/>
      <w:ind w:firstLine="0" w:left="1400"/>
    </w:pPr>
    <w:rPr>
      <w:rFonts w:ascii="Calibri" w:hAnsi="Calibri" w:cs="Calibri"/>
      <w:sz w:val="20"/>
      <w:szCs w:val="20"/>
    </w:rPr>
  </w:style>
  <w:style w:type="paragraph" w:styleId="998">
    <w:name w:val="TOC 8"/>
    <w:basedOn w:val="872"/>
    <w:next w:val="872"/>
    <w:pPr>
      <w:pBdr/>
      <w:spacing/>
      <w:ind w:firstLine="0" w:left="1680"/>
    </w:pPr>
    <w:rPr>
      <w:rFonts w:ascii="Calibri" w:hAnsi="Calibri" w:cs="Calibri"/>
      <w:sz w:val="20"/>
      <w:szCs w:val="20"/>
    </w:rPr>
  </w:style>
  <w:style w:type="paragraph" w:styleId="999" w:customStyle="1">
    <w:name w:val="Содержимое врезки"/>
    <w:basedOn w:val="872"/>
    <w:qFormat/>
    <w:pPr>
      <w:pBdr/>
      <w:spacing/>
      <w:ind/>
    </w:pPr>
  </w:style>
  <w:style w:type="paragraph" w:styleId="1000" w:customStyle="1">
    <w:name w:val="Содержимое таблицы"/>
    <w:basedOn w:val="872"/>
    <w:qFormat/>
    <w:pPr>
      <w:widowControl w:val="false"/>
      <w:suppressLineNumbers w:val="true"/>
      <w:pBdr/>
      <w:spacing/>
      <w:ind/>
    </w:pPr>
  </w:style>
  <w:style w:type="paragraph" w:styleId="1001" w:customStyle="1">
    <w:name w:val="Заголовок таблицы"/>
    <w:basedOn w:val="1000"/>
    <w:qFormat/>
    <w:pPr>
      <w:pBdr/>
      <w:spacing/>
      <w:ind/>
      <w:jc w:val="center"/>
    </w:pPr>
    <w:rPr>
      <w:b/>
      <w:bCs/>
    </w:rPr>
  </w:style>
  <w:style w:type="numbering" w:styleId="1002" w:default="1">
    <w:name w:val="No List"/>
    <w:uiPriority w:val="99"/>
    <w:semiHidden/>
    <w:unhideWhenUsed/>
    <w:qFormat/>
    <w:pPr>
      <w:pBdr/>
      <w:spacing/>
      <w:ind/>
    </w:pPr>
  </w:style>
  <w:style w:type="numbering" w:styleId="1003" w:customStyle="1">
    <w:name w:val="Стиль1"/>
    <w:qFormat/>
    <w:pPr>
      <w:pBdr/>
      <w:spacing/>
      <w:ind/>
    </w:pPr>
  </w:style>
  <w:style w:type="numbering" w:styleId="1004" w:customStyle="1">
    <w:name w:val="Стиль2"/>
    <w:qFormat/>
    <w:pPr>
      <w:pBdr/>
      <w:spacing/>
      <w:ind/>
    </w:pPr>
  </w:style>
  <w:style w:type="table" w:styleId="1005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DocSecurity>4</DocSecurit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20</cp:revision>
  <dcterms:created xsi:type="dcterms:W3CDTF">2024-03-28T07:01:00Z</dcterms:created>
  <dcterms:modified xsi:type="dcterms:W3CDTF">2026-09-15T02:03:37Z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