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  <w:bookmarkStart w:id="0" w:name="_gjdgxs"/>
      <w:bookmarkStart w:id="1" w:name="_gjdgxs"/>
      <w:bookmarkEnd w:id="1"/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Times"/>
          <w:b/>
          <w:sz w:val="26"/>
          <w:szCs w:val="26"/>
        </w:rPr>
      </w:pPr>
      <w:r>
        <w:rPr>
          <w:b/>
          <w:sz w:val="26"/>
          <w:szCs w:val="26"/>
        </w:rPr>
        <w:t xml:space="preserve">Технические требования </w:t>
      </w:r>
      <w:r>
        <w:rPr>
          <w:rFonts w:eastAsia="Times"/>
          <w:b/>
          <w:sz w:val="26"/>
          <w:szCs w:val="26"/>
        </w:rPr>
        <w:t>на поставку лицензий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rFonts w:eastAsia="Calibri"/>
        </w:rPr>
      </w:pPr>
      <w:r>
        <w:rPr>
          <w:b/>
          <w:i/>
          <w:sz w:val="26"/>
          <w:szCs w:val="26"/>
        </w:rPr>
        <w:t>«ОКПД2 62.01.29.000 Простая неисключительная лицензия на право использования программы для ЭВМ "1С-Битрикс: Управление сайтом. Энтерпрайз" (на 1000 пользователей)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b/>
          <w:i/>
          <w:i/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tabs>
              <w:tab w:val="clear" w:pos="720"/>
              <w:tab w:val="left" w:pos="560" w:leader="none"/>
              <w:tab w:val="right" w:pos="9911" w:leader="none"/>
            </w:tabs>
            <w:spacing w:before="120" w:after="0"/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9"/>
              <w:sz w:val="24"/>
              <w:b/>
              <w:szCs w:val="24"/>
              <w:vanish w:val="false"/>
              <w:color w:val="000000"/>
            </w:rPr>
            <w:instrText xml:space="preserve"> TOC \z \o "1-9" \u \t "Heading 1,1,Heading 2,2,Heading 3,3,Heading 4,4" \h</w:instrText>
          </w:r>
          <w:r>
            <w:rPr>
              <w:webHidden/>
              <w:rStyle w:val="Style9"/>
              <w:sz w:val="24"/>
              <w:b/>
              <w:szCs w:val="24"/>
              <w:vanish w:val="false"/>
              <w:color w:val="000000"/>
            </w:rPr>
            <w:fldChar w:fldCharType="separate"/>
          </w:r>
          <w:hyperlink w:anchor="_30j0zll">
            <w:r>
              <w:rPr>
                <w:webHidden/>
                <w:rStyle w:val="Style9"/>
                <w:b/>
                <w:vanish w:val="false"/>
                <w:color w:val="000000"/>
                <w:sz w:val="24"/>
                <w:szCs w:val="24"/>
              </w:rPr>
              <w:t>1.</w:t>
            </w:r>
          </w:hyperlink>
          <w:hyperlink w:anchor="_30j0zll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b/>
              <w:color w:val="000000"/>
              <w:sz w:val="24"/>
              <w:szCs w:val="24"/>
            </w:rPr>
            <w:t>Общие сведения</w:t>
            <w:tab/>
            <w:t>3</w:t>
          </w:r>
        </w:p>
        <w:p>
          <w:pPr>
            <w:pStyle w:val="Normal"/>
            <w:tabs>
              <w:tab w:val="clear" w:pos="720"/>
              <w:tab w:val="left" w:pos="560" w:leader="none"/>
              <w:tab w:val="left" w:pos="1120" w:leader="none"/>
              <w:tab w:val="right" w:pos="9911" w:leader="none"/>
            </w:tabs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hyperlink w:anchor="_1fob9te">
            <w:r>
              <w:rPr>
                <w:webHidden/>
                <w:rStyle w:val="Style9"/>
                <w:vanish w:val="false"/>
                <w:color w:val="000000"/>
                <w:sz w:val="20"/>
                <w:szCs w:val="20"/>
              </w:rPr>
              <w:t>1.1.</w:t>
            </w:r>
          </w:hyperlink>
          <w:hyperlink w:anchor="_1fob9te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color w:val="000000"/>
              <w:sz w:val="20"/>
              <w:szCs w:val="20"/>
            </w:rPr>
            <w:t>Наименование закупаемой продукции</w:t>
            <w:tab/>
            <w:t>3</w:t>
          </w:r>
        </w:p>
        <w:p>
          <w:pPr>
            <w:pStyle w:val="Normal"/>
            <w:tabs>
              <w:tab w:val="clear" w:pos="720"/>
              <w:tab w:val="left" w:pos="560" w:leader="none"/>
              <w:tab w:val="left" w:pos="1120" w:leader="none"/>
              <w:tab w:val="right" w:pos="9911" w:leader="none"/>
            </w:tabs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hyperlink w:anchor="_3znysh7">
            <w:r>
              <w:rPr>
                <w:webHidden/>
                <w:rStyle w:val="Style9"/>
                <w:vanish w:val="false"/>
                <w:color w:val="000000"/>
                <w:sz w:val="20"/>
                <w:szCs w:val="20"/>
              </w:rPr>
              <w:t>1.2.</w:t>
            </w:r>
          </w:hyperlink>
          <w:hyperlink w:anchor="_3znysh7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color w:val="000000"/>
              <w:sz w:val="20"/>
              <w:szCs w:val="20"/>
            </w:rPr>
            <w:t>Цель использования закупаемой продукции</w:t>
            <w:tab/>
            <w:t>3</w:t>
          </w:r>
        </w:p>
        <w:p>
          <w:pPr>
            <w:pStyle w:val="Normal"/>
            <w:tabs>
              <w:tab w:val="clear" w:pos="720"/>
              <w:tab w:val="left" w:pos="560" w:leader="none"/>
              <w:tab w:val="left" w:pos="1120" w:leader="none"/>
              <w:tab w:val="right" w:pos="9911" w:leader="none"/>
            </w:tabs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hyperlink w:anchor="_2et92p0">
            <w:r>
              <w:rPr>
                <w:webHidden/>
                <w:rStyle w:val="Style9"/>
                <w:vanish w:val="false"/>
                <w:color w:val="000000"/>
                <w:sz w:val="20"/>
                <w:szCs w:val="20"/>
              </w:rPr>
              <w:t>1.3.</w:t>
            </w:r>
          </w:hyperlink>
          <w:hyperlink w:anchor="_2et92p0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color w:val="000000"/>
              <w:sz w:val="20"/>
              <w:szCs w:val="20"/>
            </w:rPr>
            <w:t>Существующее положение</w:t>
            <w:tab/>
            <w:t>3</w:t>
          </w:r>
        </w:p>
        <w:p>
          <w:pPr>
            <w:pStyle w:val="Normal"/>
            <w:tabs>
              <w:tab w:val="clear" w:pos="720"/>
              <w:tab w:val="left" w:pos="560" w:leader="none"/>
              <w:tab w:val="right" w:pos="9911" w:leader="none"/>
            </w:tabs>
            <w:spacing w:before="120" w:after="0"/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hyperlink w:anchor="_3dy6vkm">
            <w:r>
              <w:rPr>
                <w:webHidden/>
                <w:rStyle w:val="Style9"/>
                <w:b/>
                <w:vanish w:val="false"/>
                <w:color w:val="000000"/>
                <w:sz w:val="24"/>
                <w:szCs w:val="24"/>
              </w:rPr>
              <w:t>2.</w:t>
            </w:r>
          </w:hyperlink>
          <w:hyperlink w:anchor="_3dy6vkm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b/>
              <w:color w:val="000000"/>
              <w:sz w:val="24"/>
              <w:szCs w:val="24"/>
            </w:rPr>
            <w:t>Требования к продукции</w:t>
            <w:tab/>
            <w:t>3</w:t>
          </w:r>
        </w:p>
        <w:p>
          <w:pPr>
            <w:pStyle w:val="Normal"/>
            <w:tabs>
              <w:tab w:val="clear" w:pos="720"/>
              <w:tab w:val="left" w:pos="560" w:leader="none"/>
              <w:tab w:val="left" w:pos="1120" w:leader="none"/>
              <w:tab w:val="right" w:pos="9911" w:leader="none"/>
            </w:tabs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hyperlink w:anchor="_1t3h5sf">
            <w:r>
              <w:rPr>
                <w:webHidden/>
                <w:rStyle w:val="Style9"/>
                <w:vanish w:val="false"/>
                <w:color w:val="000000"/>
                <w:sz w:val="20"/>
                <w:szCs w:val="20"/>
              </w:rPr>
              <w:t>2.1.</w:t>
            </w:r>
          </w:hyperlink>
          <w:hyperlink w:anchor="_1t3h5sf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color w:val="000000"/>
              <w:sz w:val="20"/>
              <w:szCs w:val="20"/>
            </w:rPr>
            <w:t>Требования к объемам и срокам поставки</w:t>
            <w:tab/>
            <w:t>3</w:t>
          </w:r>
        </w:p>
        <w:p>
          <w:pPr>
            <w:pStyle w:val="Normal"/>
            <w:tabs>
              <w:tab w:val="clear" w:pos="720"/>
              <w:tab w:val="left" w:pos="560" w:leader="none"/>
              <w:tab w:val="left" w:pos="1120" w:leader="none"/>
              <w:tab w:val="right" w:pos="9911" w:leader="none"/>
            </w:tabs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hyperlink w:anchor="_4d34og8">
            <w:r>
              <w:rPr>
                <w:webHidden/>
                <w:rStyle w:val="Style9"/>
                <w:vanish w:val="false"/>
                <w:color w:val="000000"/>
                <w:sz w:val="20"/>
                <w:szCs w:val="20"/>
              </w:rPr>
              <w:t>2.1.1.</w:t>
            </w:r>
          </w:hyperlink>
          <w:hyperlink w:anchor="_4d34og8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color w:val="000000"/>
              <w:sz w:val="20"/>
              <w:szCs w:val="20"/>
            </w:rPr>
            <w:t>Перечень и объем закупаемой продукции</w:t>
            <w:tab/>
            <w:t>3</w:t>
          </w:r>
        </w:p>
        <w:p>
          <w:pPr>
            <w:pStyle w:val="Normal"/>
            <w:tabs>
              <w:tab w:val="clear" w:pos="720"/>
              <w:tab w:val="left" w:pos="560" w:leader="none"/>
              <w:tab w:val="left" w:pos="1120" w:leader="none"/>
              <w:tab w:val="right" w:pos="9911" w:leader="none"/>
            </w:tabs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hyperlink w:anchor="_17dp8vu">
            <w:r>
              <w:rPr>
                <w:webHidden/>
                <w:rStyle w:val="Style9"/>
                <w:vanish w:val="false"/>
                <w:color w:val="000000"/>
                <w:sz w:val="20"/>
                <w:szCs w:val="20"/>
              </w:rPr>
              <w:t>2.1.2.</w:t>
            </w:r>
          </w:hyperlink>
          <w:hyperlink w:anchor="_17dp8vu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color w:val="000000"/>
              <w:sz w:val="20"/>
              <w:szCs w:val="20"/>
            </w:rPr>
            <w:t>Требования к срокам поставки продукции и оказания сопутствующих услуг</w:t>
            <w:tab/>
            <w:t>3</w:t>
          </w:r>
        </w:p>
        <w:p>
          <w:pPr>
            <w:pStyle w:val="Normal"/>
            <w:tabs>
              <w:tab w:val="clear" w:pos="720"/>
              <w:tab w:val="left" w:pos="560" w:leader="none"/>
              <w:tab w:val="left" w:pos="1120" w:leader="none"/>
              <w:tab w:val="right" w:pos="9911" w:leader="none"/>
            </w:tabs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hyperlink w:anchor="_26in1rg">
            <w:r>
              <w:rPr>
                <w:webHidden/>
                <w:rStyle w:val="Style9"/>
                <w:vanish w:val="false"/>
                <w:color w:val="000000"/>
                <w:sz w:val="20"/>
                <w:szCs w:val="20"/>
              </w:rPr>
              <w:t>2.2.</w:t>
            </w:r>
          </w:hyperlink>
          <w:hyperlink w:anchor="_26in1rg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color w:val="000000"/>
              <w:sz w:val="20"/>
              <w:szCs w:val="20"/>
            </w:rPr>
            <w:t>Требования к качеству продукции</w:t>
            <w:tab/>
            <w:t>5</w:t>
          </w:r>
        </w:p>
        <w:p>
          <w:pPr>
            <w:pStyle w:val="Normal"/>
            <w:tabs>
              <w:tab w:val="clear" w:pos="720"/>
              <w:tab w:val="left" w:pos="560" w:leader="none"/>
              <w:tab w:val="right" w:pos="9911" w:leader="none"/>
            </w:tabs>
            <w:spacing w:before="120" w:after="0"/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hyperlink w:anchor="_35nkun2">
            <w:r>
              <w:rPr>
                <w:webHidden/>
                <w:rStyle w:val="Style9"/>
                <w:b/>
                <w:vanish w:val="false"/>
                <w:color w:val="000000"/>
                <w:sz w:val="24"/>
                <w:szCs w:val="24"/>
              </w:rPr>
              <w:t>3.</w:t>
            </w:r>
          </w:hyperlink>
          <w:hyperlink w:anchor="_35nkun2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b/>
              <w:color w:val="000000"/>
              <w:sz w:val="24"/>
              <w:szCs w:val="24"/>
            </w:rPr>
            <w:t>Требования к документации по ценообразованию на этапе закупки</w:t>
            <w:tab/>
            <w:t>7</w:t>
          </w:r>
        </w:p>
        <w:p>
          <w:pPr>
            <w:pStyle w:val="Normal"/>
            <w:tabs>
              <w:tab w:val="clear" w:pos="720"/>
              <w:tab w:val="left" w:pos="560" w:leader="none"/>
              <w:tab w:val="right" w:pos="9911" w:leader="none"/>
            </w:tabs>
            <w:spacing w:before="120" w:after="0"/>
            <w:rPr>
              <w:rFonts w:ascii="Calibri" w:hAnsi="Calibri" w:eastAsia="Calibri" w:cs="Calibri"/>
              <w:color w:val="000000"/>
              <w:sz w:val="22"/>
              <w:szCs w:val="22"/>
            </w:rPr>
          </w:pPr>
          <w:hyperlink w:anchor="_2jxsxqh">
            <w:r>
              <w:rPr>
                <w:webHidden/>
                <w:rStyle w:val="Style9"/>
                <w:b/>
                <w:vanish w:val="false"/>
                <w:color w:val="000000"/>
                <w:sz w:val="24"/>
                <w:szCs w:val="24"/>
              </w:rPr>
              <w:t>4.</w:t>
            </w:r>
          </w:hyperlink>
          <w:hyperlink w:anchor="_2jxsxqh">
            <w:r>
              <w:rPr>
                <w:webHidden/>
                <w:rStyle w:val="Style9"/>
                <w:rFonts w:eastAsia="Calibri" w:cs="Calibri" w:ascii="Calibri" w:hAnsi="Calibri"/>
                <w:vanish w:val="false"/>
                <w:color w:val="000000"/>
                <w:sz w:val="22"/>
                <w:szCs w:val="22"/>
              </w:rPr>
              <w:tab/>
            </w:r>
          </w:hyperlink>
          <w:r>
            <w:rPr>
              <w:b/>
              <w:color w:val="000000"/>
              <w:sz w:val="24"/>
              <w:szCs w:val="24"/>
            </w:rPr>
            <w:t>Приложения</w:t>
            <w:tab/>
            <w:t>7</w:t>
          </w:r>
          <w:r>
            <w:rPr>
              <w:sz w:val="24"/>
              <w:b/>
              <w:szCs w:val="24"/>
              <w:color w:val="000000"/>
            </w:rPr>
            <w:fldChar w:fldCharType="end"/>
          </w:r>
        </w:p>
      </w:sdtContent>
    </w:sdt>
    <w:p>
      <w:pPr>
        <w:pStyle w:val="Heading2"/>
        <w:keepNext w:val="true"/>
        <w:spacing w:before="120" w:after="60"/>
        <w:ind w:hanging="426" w:left="426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rPr>
          <w:smallCaps/>
        </w:rPr>
      </w:pPr>
      <w:bookmarkStart w:id="2" w:name="_30j0zll"/>
      <w:bookmarkEnd w:id="2"/>
      <w:r>
        <w:rPr/>
        <w:t>Общие сведения</w:t>
      </w:r>
    </w:p>
    <w:p>
      <w:pPr>
        <w:pStyle w:val="Heading4"/>
        <w:numPr>
          <w:ilvl w:val="1"/>
          <w:numId w:val="1"/>
        </w:numPr>
        <w:rPr/>
      </w:pPr>
      <w:bookmarkStart w:id="3" w:name="_1fob9te"/>
      <w:bookmarkEnd w:id="3"/>
      <w:r>
        <w:rPr/>
        <w:t>Наименование закупаемой продукции</w:t>
      </w:r>
    </w:p>
    <w:p>
      <w:pPr>
        <w:pStyle w:val="Heading4"/>
        <w:numPr>
          <w:ilvl w:val="1"/>
          <w:numId w:val="1"/>
        </w:numPr>
        <w:rPr/>
      </w:pPr>
      <w:bookmarkStart w:id="4" w:name="_3znysh7"/>
      <w:bookmarkEnd w:id="4"/>
      <w:r>
        <w:rPr>
          <w:b w:val="false"/>
          <w:i/>
        </w:rPr>
        <w:t>ОКПД2 62.01.29.00</w:t>
      </w:r>
      <w:r>
        <w:rPr>
          <w:b w:val="false"/>
          <w:i/>
          <w:sz w:val="24"/>
          <w:szCs w:val="24"/>
        </w:rPr>
        <w:t>0 Простая неисключительная лицензия на право использования программы для ЭВМ "1С-Битрикс: Управление сайтом. Энтерпрайз" (на 1000 пользователей).</w:t>
      </w:r>
    </w:p>
    <w:p>
      <w:pPr>
        <w:pStyle w:val="Heading4"/>
        <w:numPr>
          <w:ilvl w:val="1"/>
          <w:numId w:val="1"/>
        </w:numPr>
        <w:rPr/>
      </w:pPr>
      <w:r>
        <w:rPr/>
        <w:t>Цель использования закупаемой продукции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i/>
          <w:i/>
          <w:sz w:val="24"/>
          <w:szCs w:val="24"/>
        </w:rPr>
      </w:pPr>
      <w:bookmarkStart w:id="5" w:name="_2et92p0"/>
      <w:bookmarkEnd w:id="5"/>
      <w:r>
        <w:rPr>
          <w:i/>
          <w:sz w:val="24"/>
          <w:szCs w:val="24"/>
        </w:rPr>
        <w:t>Использование российского программного обеспечения</w:t>
      </w:r>
      <w:r>
        <w:rPr>
          <w:rStyle w:val="FootnoteReference"/>
          <w:i/>
          <w:sz w:val="24"/>
          <w:szCs w:val="24"/>
        </w:rPr>
        <w:footnoteReference w:id="2"/>
      </w:r>
      <w:r>
        <w:rPr>
          <w:i/>
          <w:sz w:val="24"/>
          <w:szCs w:val="24"/>
        </w:rPr>
        <w:t xml:space="preserve"> в соответствии с постановлениями Правительства РФ от 16.11.2015 № 1236 и от 23.12.2024 № 1875 в рамках выполнения директив Правительства РФ от 14.04.2021 № 3438п-П13 и от 23.04.2021 № 3853п-П7 для автоматизации рабочих процессов, повышении эффективности управления и предоставления необходимой информации в соответствии с потребностями отдельных пользователей закупаемой продукции, в том числе для организации совместной работы с ИТ-проектами всех участников проектных команд (координация работ, контроль работы на каждом этапе, коммуникация по проектам, хранение данных, отчеты эффективности проектных команд).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240"/>
        <w:ind w:firstLine="426"/>
        <w:jc w:val="both"/>
        <w:rPr>
          <w:i/>
          <w:i/>
        </w:rPr>
      </w:pPr>
      <w:r>
        <w:rPr>
          <w:i/>
          <w:sz w:val="24"/>
          <w:szCs w:val="24"/>
        </w:rPr>
        <w:t>Целью лицензирования является соответствие требованиям законодательства РФ и обеспечение условий для эффективного развития корпоративных информационных систем.</w:t>
      </w:r>
    </w:p>
    <w:p>
      <w:pPr>
        <w:pStyle w:val="Heading4"/>
        <w:numPr>
          <w:ilvl w:val="1"/>
          <w:numId w:val="1"/>
        </w:numPr>
        <w:rPr/>
      </w:pPr>
      <w:r>
        <w:rPr/>
        <w:t>Существующее положение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240"/>
        <w:ind w:firstLine="426"/>
        <w:jc w:val="both"/>
        <w:rPr>
          <w:i/>
          <w:i/>
          <w:spacing w:val="-4"/>
          <w:sz w:val="24"/>
          <w:szCs w:val="24"/>
        </w:rPr>
      </w:pPr>
      <w:bookmarkStart w:id="6" w:name="_Toc46743509"/>
      <w:bookmarkStart w:id="7" w:name="_Hlk49857604"/>
      <w:bookmarkStart w:id="8" w:name="_tyjcwt"/>
      <w:bookmarkStart w:id="9" w:name="_3dy6vkm"/>
      <w:bookmarkEnd w:id="8"/>
      <w:bookmarkEnd w:id="9"/>
      <w:r>
        <w:rPr>
          <w:i/>
          <w:spacing w:val="-4"/>
          <w:sz w:val="24"/>
          <w:szCs w:val="24"/>
        </w:rPr>
        <w:t>Таким образом, требуется продление существующих неисключительных прав на использование ПО и сертификатов активации сервисов технической поддержки, срок действия которых истек или истекает в 2026 г., и приобретение отсутствующих неисключительных прав тех же типов и правообладателей, которые уже используются в Группе РусГидро, с целью унификации и типизации элементов ИТ-инфраструктуры Группы РусГидро (для снижения общей стоимости владения) и обеспечения соответствия их целевой архитектуре.</w:t>
      </w:r>
      <w:bookmarkEnd w:id="6"/>
      <w:bookmarkEnd w:id="7"/>
    </w:p>
    <w:p>
      <w:pPr>
        <w:pStyle w:val="Heading1"/>
        <w:numPr>
          <w:ilvl w:val="0"/>
          <w:numId w:val="1"/>
        </w:numPr>
        <w:rPr>
          <w:smallCaps/>
        </w:rPr>
      </w:pPr>
      <w:r>
        <w:rPr/>
        <w:t>Требования к продукции</w:t>
      </w:r>
    </w:p>
    <w:p>
      <w:pPr>
        <w:pStyle w:val="Heading4"/>
        <w:numPr>
          <w:ilvl w:val="1"/>
          <w:numId w:val="1"/>
        </w:numPr>
        <w:rPr/>
      </w:pPr>
      <w:bookmarkStart w:id="10" w:name="_1t3h5sf"/>
      <w:bookmarkEnd w:id="10"/>
      <w:r>
        <w:rPr/>
        <w:t>Требования к объемам и срокам поставки</w:t>
      </w:r>
    </w:p>
    <w:p>
      <w:pPr>
        <w:pStyle w:val="Heading3"/>
        <w:numPr>
          <w:ilvl w:val="2"/>
          <w:numId w:val="1"/>
        </w:numPr>
        <w:rPr/>
      </w:pPr>
      <w:bookmarkStart w:id="11" w:name="_4d34og8"/>
      <w:bookmarkEnd w:id="11"/>
      <w:r>
        <w:rPr/>
        <w:t>Перечень и объем закупаемой продукции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425"/>
        <w:jc w:val="both"/>
        <w:rPr>
          <w:i/>
          <w:i/>
          <w:sz w:val="24"/>
          <w:szCs w:val="24"/>
        </w:rPr>
      </w:pPr>
      <w:bookmarkStart w:id="12" w:name="_2s8eyo1"/>
      <w:bookmarkEnd w:id="12"/>
      <w:r>
        <w:rPr>
          <w:i/>
          <w:sz w:val="24"/>
          <w:szCs w:val="24"/>
        </w:rPr>
        <w:t>Перечень и объем закупаемой продукции представлены в Спецификации согласно Приложению №1 к Техническим требованиям.</w:t>
      </w:r>
    </w:p>
    <w:p>
      <w:pPr>
        <w:pStyle w:val="Heading3"/>
        <w:numPr>
          <w:ilvl w:val="2"/>
          <w:numId w:val="1"/>
        </w:numPr>
        <w:rPr/>
      </w:pPr>
      <w:bookmarkStart w:id="13" w:name="_17dp8vu"/>
      <w:bookmarkEnd w:id="13"/>
      <w:r>
        <w:rPr/>
        <w:t>Требования к срокам поставки продукции и оказания сопутствующих услуг</w:t>
      </w:r>
    </w:p>
    <w:tbl>
      <w:tblPr>
        <w:tblStyle w:val="a5"/>
        <w:tblW w:w="9781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567"/>
        <w:gridCol w:w="3969"/>
        <w:gridCol w:w="2621"/>
        <w:gridCol w:w="2623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продукции/ партии продукции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Требования к окончанию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3"/>
              </w:numPr>
              <w:jc w:val="center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Спецификации согласно Приложению № 1 к Техническим требованиям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 дня заключения договора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</w:rPr>
              <w:t>В течение 10 (десяти) календарных дней со дня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notePr>
            <w:numFmt w:val="decimal"/>
          </w:footnotePr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"/>
        </w:numPr>
        <w:rPr/>
      </w:pPr>
      <w:bookmarkStart w:id="14" w:name="_26in1rg"/>
      <w:bookmarkEnd w:id="14"/>
      <w:r>
        <w:rPr/>
        <w:t>Требования к качеству продукции</w:t>
      </w:r>
    </w:p>
    <w:p>
      <w:pPr>
        <w:pStyle w:val="Heading1"/>
        <w:rPr>
          <w:sz w:val="24"/>
          <w:szCs w:val="24"/>
        </w:rPr>
      </w:pPr>
      <w:bookmarkStart w:id="15" w:name="_lnxbz9"/>
      <w:bookmarkEnd w:id="15"/>
      <w:r>
        <w:rPr>
          <w:sz w:val="24"/>
          <w:szCs w:val="24"/>
        </w:rPr>
        <w:t xml:space="preserve">Таблица 3. Требования к продукции </w:t>
      </w:r>
    </w:p>
    <w:p>
      <w:pPr>
        <w:pStyle w:val="Normal"/>
        <w:rPr>
          <w:i/>
          <w:i/>
          <w:shd w:fill="FFFF99" w:val="clear"/>
        </w:rPr>
      </w:pPr>
      <w:r>
        <w:rPr>
          <w:i/>
          <w:shd w:fill="FFFF99" w:val="clear"/>
        </w:rPr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Наименование продукции:</w:t>
      </w:r>
      <w:r>
        <w:rPr>
          <w:i/>
          <w:sz w:val="24"/>
          <w:szCs w:val="24"/>
        </w:rPr>
        <w:t xml:space="preserve"> все позиции согласно Приложению № 1 к Техническим требованиям.</w:t>
      </w:r>
    </w:p>
    <w:tbl>
      <w:tblPr>
        <w:tblStyle w:val="a6"/>
        <w:tblW w:w="1474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567"/>
        <w:gridCol w:w="2390"/>
        <w:gridCol w:w="19"/>
        <w:gridCol w:w="6378"/>
        <w:gridCol w:w="2552"/>
        <w:gridCol w:w="2837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 xml:space="preserve">№ </w:t>
            </w:r>
            <w:r>
              <w:rPr>
                <w:rFonts w:cs="Times New Roman"/>
                <w:b/>
              </w:rPr>
              <w:t>п/п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Times" w:cs="Times New Roman"/>
                <w:b/>
              </w:rPr>
              <w:t>Наименование</w:t>
            </w:r>
            <w:r>
              <w:rPr>
                <w:rFonts w:cs="Times New Roman"/>
                <w:b/>
              </w:rPr>
              <w:t xml:space="preserve"> параметра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Требование заказчика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63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Согласие с требованием/ указание характеристик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1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" w:cs="Times New Roman"/>
                <w:b/>
              </w:rPr>
            </w:pPr>
            <w:r>
              <w:rPr>
                <w:rFonts w:eastAsia="Times" w:cs="Times New Roman"/>
                <w:b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-//-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2"/>
              </w:numPr>
              <w:spacing w:before="60" w:after="60"/>
              <w:ind w:firstLine="142" w:left="-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i/>
              </w:rPr>
              <w:t>Согласно Приложению №1 к Техническим требованиям.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2"/>
              </w:numPr>
              <w:spacing w:before="60" w:after="60"/>
              <w:ind w:firstLine="142" w:left="-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Требования к продукции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 xml:space="preserve">Использование эквивалентов других правообладателей </w:t>
            </w:r>
            <w:r>
              <w:rPr>
                <w:rFonts w:cs="Times New Roman"/>
                <w:b/>
                <w:i/>
              </w:rPr>
              <w:t>невозможно,</w:t>
            </w:r>
            <w:r>
              <w:rPr>
                <w:rFonts w:cs="Times New Roman"/>
                <w:i/>
              </w:rPr>
              <w:t xml:space="preserve"> т.к. это не соответствует целевой архитектуре ИТ-инфраструктуры. Из-за несовместимости существующих решений, на которых размещаются другие программные продукты, и необходимости обеспечения взаимодействия таких решений с программными продуктами, используемыми Заказчиком (п. 6.5.1.3. б) Единого Положения о закупке продукции для нужд Группы РусГидро).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i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Требования к безопасности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-//-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2"/>
              </w:numPr>
              <w:spacing w:before="60" w:after="60"/>
              <w:ind w:firstLine="142" w:left="-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Информационная безопасность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  <w:spacing w:val="-8"/>
              </w:rPr>
            </w:pPr>
            <w:r>
              <w:rPr>
                <w:rFonts w:cs="Times New Roman"/>
                <w:i/>
                <w:spacing w:val="-8"/>
              </w:rPr>
              <w:t>Требования к информационной безопасности должны обеспечиваться на всех стадиях жизненного цикла систем, с учетом всех сторон, вовлеченных в процессы жизненного цикла.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i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-//-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2"/>
              </w:numPr>
              <w:spacing w:before="60" w:after="60"/>
              <w:ind w:firstLine="142" w:left="-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Место поставки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  <w:t xml:space="preserve">Продукция должна быть доставлена Поставщиком по адресам в согласно Спецификации </w:t>
            </w:r>
            <w:r>
              <w:rPr>
                <w:rFonts w:cs="Times New Roman"/>
                <w:i/>
              </w:rPr>
              <w:t>Приложению №1 к Техническим требованиям.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i/>
                <w:color w:val="000000"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60" w:after="60"/>
              <w:jc w:val="center"/>
              <w:rPr/>
            </w:pPr>
            <w:r>
              <w:rPr/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</w:rPr>
              <w:t>-//-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2"/>
              </w:numPr>
              <w:spacing w:before="60" w:after="60"/>
              <w:ind w:firstLine="142" w:left="-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Взаимодействие представителей Заказчика и Поставщика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Осуществляется через Комплекс средств автоматизации службы поддержки пользователей Заказчика, а также помимо этого может осуществляться лично, по телефону либо посредством электронной почты.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2"/>
              </w:numPr>
              <w:spacing w:before="60" w:after="60"/>
              <w:ind w:firstLine="142" w:left="-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i/>
              </w:rPr>
              <w:t>Способ поставки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Передача Лицензиаром неисключительного права на ПО осуществляется путем передачи Лицензиату одним из следующих способов:</w:t>
            </w:r>
          </w:p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>- посредством предоставления ключа доступа к ПО в сети Интернет/ в виде электронных экземпляров средствами электронной связи;</w:t>
            </w:r>
          </w:p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- путем направления уведомления о возможности самостоятельной загрузке установочных файлов ПО из сети Интернет, CD(DVD); </w:t>
            </w:r>
          </w:p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- на материальном носителе (дистрибутиве);</w:t>
            </w:r>
          </w:p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сетевым способом доставки путем передачи Лицензиаром документации Лицензиату, содержащей информацию об условиях (программных ключах, кодах, паролях, сетевых путях и т.п.) доступа к сетевому ресурсу правообладателя / производителя ПО.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2"/>
              </w:numPr>
              <w:spacing w:before="60" w:after="60"/>
              <w:ind w:firstLine="142" w:left="-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 xml:space="preserve">Подтверждение лицензиаром принадлежности исключительного/ неисключительного права на ПО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 xml:space="preserve">Лицензиар обязуется на этапе заключения договора предоставить подтверждение принадлежности </w:t>
            </w:r>
            <w:bookmarkStart w:id="16" w:name="_GoBack"/>
            <w:r>
              <w:rPr>
                <w:rFonts w:cs="Times New Roman"/>
                <w:i/>
              </w:rPr>
              <w:t xml:space="preserve">исключительного /неисключительного права на ПО (копию свидетельства о государственной регистрации ПО, копию договора, на основании которого Лицензиар приобрел </w:t>
            </w:r>
            <w:bookmarkEnd w:id="16"/>
            <w:r>
              <w:rPr>
                <w:rFonts w:cs="Times New Roman"/>
                <w:i/>
              </w:rPr>
              <w:t>право на ПО или иное основание).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2"/>
              </w:numPr>
              <w:spacing w:before="60" w:after="60"/>
              <w:ind w:firstLine="142" w:left="-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i/>
              </w:rPr>
              <w:t>Иные требования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Поставщик своими силами осуществляет поставку ПО по адресу, указанному в пункте 3.1. технических требований. Стоимость ПО должна включать все налоги, расходы по доставке, страховке и транспортировке до указанного адреса.</w:t>
            </w:r>
          </w:p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i/>
              </w:rPr>
              <w:t>-</w:t>
            </w:r>
          </w:p>
        </w:tc>
      </w:tr>
      <w:tr>
        <w:trPr>
          <w:trHeight w:val="59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</w:rPr>
              <w:t>Прочие (дополнительные) требования к продукции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</w:rPr>
              <w:t>-//-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2"/>
              </w:numPr>
              <w:spacing w:before="60" w:after="60"/>
              <w:ind w:firstLine="142" w:left="-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i/>
              </w:rPr>
              <w:t>Требования к происхождению поставляемой продукции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 xml:space="preserve">В составе заявки необходимо представить: 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 </w:t>
            </w:r>
          </w:p>
          <w:p>
            <w:pPr>
              <w:pStyle w:val="Normal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/>
                <w:i/>
              </w:rPr>
              <w:t>ПО должно быть включено в «Единый реестр российских программ для электронных вычислительных машин и баз данных», предусмотренный постановлением Правительства РФ от 16.11.2015 №1236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Федерации», наименование изменено с «01» января 2025 г. - постановление Правительства России от «23» декабря 2024 г. № 1875.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i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2.2.1 Прочие (дополнительные) требования к продукции </w:t>
      </w:r>
    </w:p>
    <w:p>
      <w:pPr>
        <w:sectPr>
          <w:headerReference w:type="default" r:id="rId5"/>
          <w:headerReference w:type="first" r:id="rId6"/>
          <w:footnotePr>
            <w:numFmt w:val="decimal"/>
          </w:footnotePr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В случае если какой-либо из указанных в настоящих Технических требованиях ГОСТ или нормативный документ был заменен/отменен в процессе проведения закупки в связи с выпуском новой редакции стандарта, то Участнику необходимо применять ГОСТ или нормативный документ, принятый в его развитие. </w:t>
      </w:r>
    </w:p>
    <w:p>
      <w:pPr>
        <w:pStyle w:val="Heading1"/>
        <w:numPr>
          <w:ilvl w:val="0"/>
          <w:numId w:val="1"/>
        </w:numPr>
        <w:rPr/>
      </w:pPr>
      <w:bookmarkStart w:id="17" w:name="_35nkun2"/>
      <w:bookmarkStart w:id="18" w:name="_2jxsxqh"/>
      <w:bookmarkEnd w:id="17"/>
      <w:bookmarkEnd w:id="18"/>
      <w:r>
        <w:rPr/>
        <w:t>Требования к документации по ценообразованию на этапе закупки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134" w:leader="none"/>
        </w:tabs>
        <w:spacing w:before="0" w:after="120"/>
        <w:jc w:val="both"/>
        <w:rPr>
          <w:i/>
          <w:i/>
          <w:sz w:val="24"/>
          <w:szCs w:val="24"/>
        </w:rPr>
      </w:pPr>
      <w:bookmarkStart w:id="19" w:name="_1ksv4uv"/>
      <w:bookmarkEnd w:id="19"/>
      <w:r>
        <w:rPr>
          <w:i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numPr>
          <w:ilvl w:val="1"/>
          <w:numId w:val="1"/>
        </w:numPr>
        <w:spacing w:before="0" w:after="12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shd w:fill="FFFFFF" w:val="clear"/>
        </w:rPr>
        <w:t>Вместе с Коммерческим предложением Участник должен предоставить в составе заявки спецификацию поставляемой продукции по форме, приведенной в Приложении №1 к настоящим Техническим требовани</w:t>
      </w:r>
      <w:r>
        <w:rPr>
          <w:i/>
          <w:sz w:val="24"/>
          <w:szCs w:val="24"/>
        </w:rPr>
        <w:t>ям</w:t>
      </w:r>
      <w:r>
        <w:rPr>
          <w:i/>
        </w:rPr>
        <w:t>.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134" w:leader="none"/>
        </w:tabs>
        <w:spacing w:before="0" w:after="120"/>
        <w:jc w:val="both"/>
        <w:rPr>
          <w:i/>
          <w:i/>
          <w:sz w:val="24"/>
          <w:szCs w:val="24"/>
        </w:rPr>
      </w:pPr>
      <w:bookmarkStart w:id="20" w:name="_44sinio"/>
      <w:bookmarkEnd w:id="20"/>
      <w:r>
        <w:rPr>
          <w:i/>
          <w:sz w:val="24"/>
          <w:szCs w:val="24"/>
        </w:rPr>
        <w:t>Дополнительные документы по ценообразованию в состав заявки не включаются.</w:t>
      </w:r>
    </w:p>
    <w:p>
      <w:pPr>
        <w:pStyle w:val="Heading1"/>
        <w:numPr>
          <w:ilvl w:val="0"/>
          <w:numId w:val="1"/>
        </w:numPr>
        <w:rPr/>
      </w:pPr>
      <w:r>
        <w:rPr/>
        <w:t>Приложения</w:t>
      </w:r>
    </w:p>
    <w:p>
      <w:pPr>
        <w:pStyle w:val="Normal"/>
        <w:tabs>
          <w:tab w:val="clear" w:pos="720"/>
          <w:tab w:val="left" w:pos="1134" w:leader="none"/>
        </w:tabs>
        <w:spacing w:before="0" w:after="120"/>
        <w:jc w:val="both"/>
        <w:rPr>
          <w:i/>
          <w:i/>
          <w:sz w:val="24"/>
          <w:szCs w:val="24"/>
        </w:rPr>
      </w:pPr>
      <w:bookmarkStart w:id="21" w:name="_z337ya"/>
      <w:bookmarkEnd w:id="21"/>
      <w:r>
        <w:rPr>
          <w:i/>
          <w:sz w:val="24"/>
          <w:szCs w:val="24"/>
        </w:rPr>
        <w:t>Приложение № 1: Спецификация.</w:t>
      </w:r>
    </w:p>
    <w:p>
      <w:pPr>
        <w:pStyle w:val="Normal"/>
        <w:tabs>
          <w:tab w:val="clear" w:pos="720"/>
          <w:tab w:val="left" w:pos="1134" w:leader="none"/>
        </w:tabs>
        <w:spacing w:before="0" w:after="12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sectPr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Calibri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5"/>
        </w:rPr>
        <w:footnoteRef/>
      </w:r>
      <w:r>
        <w:rPr/>
        <w:t> </w:t>
      </w:r>
      <w:r>
        <w:rPr/>
        <w:t>Далее - ПО.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Normal"/>
      <w:tabs>
        <w:tab w:val="clear" w:pos="720"/>
        <w:tab w:val="center" w:pos="4677" w:leader="none"/>
        <w:tab w:val="right" w:pos="9355" w:leader="none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5" w:leader="none"/>
      </w:tabs>
      <w:jc w:val="center"/>
      <w:rPr>
        <w:color w:val="000000"/>
        <w:sz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5" w:leader="none"/>
      </w:tabs>
      <w:jc w:val="center"/>
      <w:rPr>
        <w:color w:val="000000"/>
        <w:sz w:val="24"/>
      </w:rPr>
    </w:pPr>
    <w:r>
      <w:rPr>
        <w:color w:val="000000"/>
        <w:sz w:val="24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5" w:leader="none"/>
      </w:tabs>
      <w:jc w:val="center"/>
      <w:rPr>
        <w:color w:val="000000"/>
        <w:sz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5" w:leader="none"/>
      </w:tabs>
      <w:jc w:val="center"/>
      <w:rPr>
        <w:color w:val="000000"/>
        <w:sz w:val="24"/>
      </w:rPr>
    </w:pPr>
    <w:r>
      <w:rPr>
        <w:color w:val="000000"/>
        <w:sz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u w:val="none"/>
        <w:b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1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8"/>
        <w:szCs w:val="28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spacing w:before="120" w:after="60"/>
      <w:ind w:hanging="426" w:left="426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spacing w:before="120" w:after="60"/>
      <w:ind w:hanging="426" w:left="426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qFormat/>
    <w:pPr>
      <w:keepNext w:val="true"/>
      <w:spacing w:before="120" w:after="60"/>
      <w:ind w:hanging="426" w:left="426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spacing w:before="120" w:after="60"/>
      <w:ind w:hanging="426" w:left="426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0"/>
      <w:outlineLvl w:val="5"/>
    </w:pPr>
    <w:rPr>
      <w:rFonts w:ascii="Cambria" w:hAnsi="Cambria" w:eastAsia="Cambria" w:cs="Cambria"/>
      <w:i/>
      <w:color w:val="243F6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3" w:customStyle="1">
    <w:name w:val="Текст выноски Знак"/>
    <w:basedOn w:val="DefaultParagraphFont"/>
    <w:link w:val="BalloonText"/>
    <w:uiPriority w:val="99"/>
    <w:semiHidden/>
    <w:qFormat/>
    <w:rsid w:val="00673e5a"/>
    <w:rPr>
      <w:rFonts w:ascii="Segoe UI" w:hAnsi="Segoe UI" w:cs="Segoe UI"/>
      <w:sz w:val="18"/>
      <w:szCs w:val="18"/>
    </w:rPr>
  </w:style>
  <w:style w:type="character" w:styleId="Style4" w:customStyle="1">
    <w:name w:val="Текст сноски Знак"/>
    <w:basedOn w:val="DefaultParagraphFont"/>
    <w:uiPriority w:val="99"/>
    <w:qFormat/>
    <w:rsid w:val="00d01194"/>
    <w:rPr>
      <w:sz w:val="20"/>
      <w:szCs w:val="20"/>
    </w:rPr>
  </w:style>
  <w:style w:type="character" w:styleId="Style5">
    <w:name w:val="Символ сноски"/>
    <w:qFormat/>
    <w:rsid w:val="00d0119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8469c"/>
    <w:rPr>
      <w:sz w:val="16"/>
      <w:szCs w:val="16"/>
    </w:rPr>
  </w:style>
  <w:style w:type="character" w:styleId="Style6" w:customStyle="1">
    <w:name w:val="Текст примечания Знак"/>
    <w:basedOn w:val="DefaultParagraphFont"/>
    <w:link w:val="Annotationtext"/>
    <w:uiPriority w:val="99"/>
    <w:semiHidden/>
    <w:qFormat/>
    <w:rsid w:val="0008469c"/>
    <w:rPr>
      <w:sz w:val="20"/>
      <w:szCs w:val="20"/>
    </w:rPr>
  </w:style>
  <w:style w:type="character" w:styleId="Style7" w:customStyle="1">
    <w:name w:val="Тема примечания Знак"/>
    <w:basedOn w:val="Style6"/>
    <w:link w:val="Annotationsubject"/>
    <w:uiPriority w:val="99"/>
    <w:semiHidden/>
    <w:qFormat/>
    <w:rsid w:val="0008469c"/>
    <w:rPr>
      <w:b/>
      <w:bCs/>
      <w:sz w:val="20"/>
      <w:szCs w:val="20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2c99"/>
    <w:rPr/>
  </w:style>
  <w:style w:type="character" w:styleId="Hyperlink">
    <w:name w:val="Hyperlink"/>
    <w:rPr>
      <w:color w:val="000080"/>
      <w:u w:val="single"/>
    </w:rPr>
  </w:style>
  <w:style w:type="character" w:styleId="Style9">
    <w:name w:val="Ссылка указателя"/>
    <w:qFormat/>
    <w:rPr/>
  </w:style>
  <w:style w:type="character" w:styleId="Style10">
    <w:name w:val="Символ концевой сноски"/>
    <w:qFormat/>
    <w:rPr/>
  </w:style>
  <w:style w:type="character" w:styleId="EndnoteReference">
    <w:name w:val="Endnote Reference"/>
    <w:rPr>
      <w:vertAlign w:val="superscript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ind w:firstLine="709" w:left="1066"/>
    </w:pPr>
    <w:rPr>
      <w:rFonts w:ascii="Cambria" w:hAnsi="Cambria" w:eastAsia="Cambria" w:cs="Cambria"/>
      <w:i/>
      <w:color w:val="4F81BD"/>
      <w:sz w:val="24"/>
      <w:szCs w:val="24"/>
    </w:rPr>
  </w:style>
  <w:style w:type="paragraph" w:styleId="BalloonText">
    <w:name w:val="Balloon Text"/>
    <w:basedOn w:val="Normal"/>
    <w:link w:val="Style3"/>
    <w:uiPriority w:val="99"/>
    <w:semiHidden/>
    <w:unhideWhenUsed/>
    <w:qFormat/>
    <w:rsid w:val="00673e5a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4"/>
    <w:uiPriority w:val="99"/>
    <w:rsid w:val="00d01194"/>
    <w:pPr/>
    <w:rPr>
      <w:sz w:val="20"/>
      <w:szCs w:val="20"/>
    </w:rPr>
  </w:style>
  <w:style w:type="paragraph" w:styleId="Annotationtext">
    <w:name w:val="annotation text"/>
    <w:basedOn w:val="Normal"/>
    <w:link w:val="Style6"/>
    <w:uiPriority w:val="99"/>
    <w:semiHidden/>
    <w:unhideWhenUsed/>
    <w:qFormat/>
    <w:rsid w:val="0008469c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7"/>
    <w:uiPriority w:val="99"/>
    <w:semiHidden/>
    <w:unhideWhenUsed/>
    <w:qFormat/>
    <w:rsid w:val="0008469c"/>
    <w:pPr/>
    <w:rPr>
      <w:b/>
      <w:bCs/>
    </w:rPr>
  </w:style>
  <w:style w:type="paragraph" w:styleId="ListParagraph">
    <w:name w:val="List Paragraph"/>
    <w:basedOn w:val="Normal"/>
    <w:uiPriority w:val="34"/>
    <w:qFormat/>
    <w:rsid w:val="00104c31"/>
    <w:pPr>
      <w:spacing w:before="0" w:after="0"/>
      <w:ind w:left="720"/>
      <w:contextualSpacing/>
    </w:pPr>
    <w:rPr/>
  </w:style>
  <w:style w:type="paragraph" w:styleId="Revision">
    <w:name w:val="Revision"/>
    <w:uiPriority w:val="99"/>
    <w:semiHidden/>
    <w:qFormat/>
    <w:rsid w:val="0064608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2c99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8DC24-B7D5-46A3-9438-14DBE8CDE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AlterOffice/2026.2.0.0$Linux_X86_64 LibreOffice_project/bc4ef1adf80b36c7a6365f8ed6cbf29021361edd</Application>
  <AppVersion>15.0000</AppVersion>
  <Pages>8</Pages>
  <Words>1095</Words>
  <Characters>7601</Characters>
  <CharactersWithSpaces>8553</CharactersWithSpaces>
  <Paragraphs>137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2026-09-11T04:16:00Z</dcterms:created>
  <dc:creator>Савушкин Антон Владимирович</dc:creator>
  <dc:description/>
  <dc:language>ru-RU</dc:language>
  <cp:lastModifiedBy/>
  <dcterms:modified xsi:type="dcterms:W3CDTF">2026-09-15T11:43:39Z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