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header2.xml" ContentType="application/vnd.openxmlformats-officedocument.wordprocessingml.header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_rels/.rels" ContentType="application/vnd.openxmlformats-package.relationships+xml"/>
  <Override PartName="/customXml/_rels/item1.xml.rels" ContentType="application/vnd.openxmlformats-package.relationships+xml"/>
  <Override PartName="/customXml/item1.xml" ContentType="application/xml"/>
  <Override PartName="/customXml/itemProps1.xml" ContentType="application/vnd.openxmlformats-officedocument.customXml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Standard"/>
        <w:spacing w:before="60" w:after="0"/>
        <w:jc w:val="both"/>
        <w:rPr>
          <w:b/>
          <w:b/>
        </w:rPr>
      </w:pPr>
      <w:r>
        <w:rPr>
          <w:b/>
        </w:rPr>
      </w:r>
    </w:p>
    <w:p>
      <w:pPr>
        <w:pStyle w:val="Standard"/>
        <w:spacing w:before="60" w:after="0"/>
        <w:jc w:val="both"/>
        <w:rPr>
          <w:b/>
          <w:b/>
        </w:rPr>
      </w:pPr>
      <w:r>
        <w:rPr>
          <w:b/>
        </w:rPr>
      </w:r>
    </w:p>
    <w:p>
      <w:pPr>
        <w:pStyle w:val="Standard"/>
        <w:spacing w:before="60" w:after="0"/>
        <w:jc w:val="both"/>
        <w:rPr>
          <w:b/>
          <w:b/>
        </w:rPr>
      </w:pPr>
      <w:r>
        <w:rPr>
          <w:b/>
        </w:rPr>
      </w:r>
    </w:p>
    <w:p>
      <w:pPr>
        <w:pStyle w:val="Standard"/>
        <w:spacing w:before="60" w:after="0"/>
        <w:jc w:val="both"/>
        <w:rPr>
          <w:b/>
          <w:b/>
        </w:rPr>
      </w:pPr>
      <w:r>
        <w:rPr>
          <w:b/>
        </w:rPr>
      </w:r>
    </w:p>
    <w:p>
      <w:pPr>
        <w:pStyle w:val="Standard"/>
        <w:spacing w:before="60" w:after="0"/>
        <w:jc w:val="both"/>
        <w:rPr>
          <w:b/>
          <w:b/>
        </w:rPr>
      </w:pPr>
      <w:r>
        <w:rPr>
          <w:b/>
        </w:rPr>
      </w:r>
    </w:p>
    <w:p>
      <w:pPr>
        <w:pStyle w:val="Standard"/>
        <w:spacing w:before="60" w:after="0"/>
        <w:jc w:val="both"/>
        <w:rPr>
          <w:b/>
          <w:b/>
        </w:rPr>
      </w:pPr>
      <w:r>
        <w:rPr>
          <w:b/>
        </w:rPr>
      </w:r>
    </w:p>
    <w:p>
      <w:pPr>
        <w:pStyle w:val="Standard"/>
        <w:spacing w:before="60" w:after="0"/>
        <w:jc w:val="both"/>
        <w:rPr>
          <w:b/>
          <w:b/>
        </w:rPr>
      </w:pPr>
      <w:r>
        <w:rPr>
          <w:b/>
        </w:rPr>
      </w:r>
    </w:p>
    <w:p>
      <w:pPr>
        <w:pStyle w:val="Standard"/>
        <w:spacing w:before="60" w:after="0"/>
        <w:jc w:val="both"/>
        <w:rPr>
          <w:b/>
          <w:b/>
        </w:rPr>
      </w:pPr>
      <w:r>
        <w:rPr>
          <w:b/>
        </w:rPr>
      </w:r>
    </w:p>
    <w:p>
      <w:pPr>
        <w:pStyle w:val="Standard"/>
        <w:jc w:val="center"/>
        <w:rPr>
          <w:b/>
          <w:b/>
        </w:rPr>
      </w:pPr>
      <w:r>
        <w:rPr>
          <w:b/>
        </w:rPr>
      </w:r>
    </w:p>
    <w:p>
      <w:pPr>
        <w:pStyle w:val="Standard"/>
        <w:jc w:val="center"/>
        <w:rPr>
          <w:b/>
          <w:b/>
        </w:rPr>
      </w:pPr>
      <w:r>
        <w:rPr>
          <w:b/>
        </w:rPr>
      </w:r>
    </w:p>
    <w:p>
      <w:pPr>
        <w:pStyle w:val="Standard"/>
        <w:jc w:val="center"/>
        <w:rPr>
          <w:b/>
          <w:b/>
        </w:rPr>
      </w:pPr>
      <w:r>
        <w:rPr>
          <w:b/>
        </w:rPr>
        <w:t>Технические требования</w:t>
      </w:r>
    </w:p>
    <w:p>
      <w:pPr>
        <w:pStyle w:val="Standard"/>
        <w:jc w:val="center"/>
        <w:rPr>
          <w:b/>
          <w:b/>
        </w:rPr>
      </w:pPr>
      <w:r>
        <w:rPr>
          <w:b/>
        </w:rPr>
      </w:r>
    </w:p>
    <w:p>
      <w:pPr>
        <w:pStyle w:val="Standard"/>
        <w:tabs>
          <w:tab w:val="clear" w:pos="709"/>
          <w:tab w:val="left" w:pos="566" w:leader="none"/>
        </w:tabs>
        <w:spacing w:before="120" w:after="120"/>
        <w:rPr>
          <w:b/>
          <w:b/>
        </w:rPr>
      </w:pPr>
      <w:r>
        <w:rPr>
          <w:b/>
          <w:sz w:val="28"/>
        </w:rPr>
        <w:t>Выполнение проектно-изыскательских работ по модернизации РЗА 110 кВ на ПС 110 кВ Давыдовка, ПС 110 кВ Промышленная, ПС 110 кВ УКФ,                     ПС 110 кВ Междуречье на территории филиала «Приморские электрические сети» в рамках инвестиционных проектов (М_25-ПЭС-1407; М_25-ПЭС-1406, N_25-ПЭС-5040, N_25-ПЭС-5042).</w:t>
      </w:r>
    </w:p>
    <w:p>
      <w:pPr>
        <w:pStyle w:val="Standard"/>
        <w:jc w:val="center"/>
        <w:rPr>
          <w:b/>
          <w:b/>
        </w:rPr>
      </w:pPr>
      <w:r>
        <w:rPr>
          <w:b/>
        </w:rPr>
      </w:r>
    </w:p>
    <w:p>
      <w:pPr>
        <w:pStyle w:val="Standard"/>
        <w:rPr>
          <w:b/>
          <w:b/>
          <w:i/>
          <w:i/>
        </w:rPr>
      </w:pPr>
      <w:r>
        <w:rPr>
          <w:b/>
          <w:i/>
        </w:rPr>
      </w:r>
    </w:p>
    <w:p>
      <w:pPr>
        <w:pStyle w:val="Standard"/>
        <w:rPr/>
      </w:pPr>
      <w:r>
        <w:rPr/>
      </w:r>
    </w:p>
    <w:p>
      <w:pPr>
        <w:pStyle w:val="Standard"/>
        <w:rPr/>
      </w:pPr>
      <w:r>
        <w:rPr/>
      </w:r>
      <w:r>
        <w:br w:type="page"/>
      </w:r>
    </w:p>
    <w:p>
      <w:pPr>
        <w:pStyle w:val="Standard"/>
        <w:rPr>
          <w:b/>
          <w:b/>
        </w:rPr>
      </w:pPr>
      <w:r>
        <w:rPr>
          <w:b/>
        </w:rPr>
        <w:t>СОДЕРЖАНИЕ</w:t>
      </w:r>
    </w:p>
    <w:p>
      <w:pPr>
        <w:pStyle w:val="141"/>
        <w:rPr/>
      </w:pPr>
      <w:r>
        <w:rPr/>
      </w:r>
    </w:p>
    <w:p>
      <w:pPr>
        <w:pStyle w:val="141"/>
        <w:rPr/>
      </w:pPr>
      <w:r>
        <w:rPr/>
      </w:r>
    </w:p>
    <w:p>
      <w:pPr>
        <w:pStyle w:val="141"/>
        <w:rPr/>
      </w:pPr>
      <w:r>
        <w:rPr/>
      </w:r>
    </w:p>
    <w:p>
      <w:pPr>
        <w:pStyle w:val="141"/>
        <w:rPr/>
      </w:pPr>
      <w:r>
        <w:rPr/>
      </w:r>
    </w:p>
    <w:sdt>
      <w:sdtPr>
        <w:docPartObj>
          <w:docPartGallery w:val="Table of Contents"/>
          <w:docPartUnique w:val="true"/>
        </w:docPartObj>
      </w:sdtPr>
      <w:sdtContent>
        <w:p>
          <w:pPr>
            <w:pStyle w:val="141"/>
            <w:rPr/>
          </w:pPr>
          <w:r>
            <w:fldChar w:fldCharType="begin"/>
          </w:r>
          <w:r>
            <w:rPr/>
            <w:instrText> TOC \f \o "1-9" \u \h</w:instrText>
          </w:r>
          <w:r>
            <w:rPr/>
            <w:fldChar w:fldCharType="separate"/>
          </w:r>
          <w:r>
            <w:rPr/>
          </w:r>
        </w:p>
        <w:p>
          <w:pPr>
            <w:pStyle w:val="Contents1"/>
            <w:tabs>
              <w:tab w:val="clear" w:pos="709"/>
              <w:tab w:val="right" w:pos="9920" w:leader="dot"/>
            </w:tabs>
            <w:rPr/>
          </w:pPr>
          <w:hyperlink w:anchor="__RefHeading___Toc2521_3171453754" w:tgtFrame="#__RefHeading___Toc2521_3171453754">
            <w:r>
              <w:rPr/>
              <w:t>1. Общие сведения</w:t>
              <w:tab/>
              <w:t>3</w:t>
            </w:r>
          </w:hyperlink>
        </w:p>
        <w:p>
          <w:pPr>
            <w:pStyle w:val="Contents4"/>
            <w:tabs>
              <w:tab w:val="clear" w:pos="709"/>
              <w:tab w:val="right" w:pos="12725" w:leader="dot"/>
            </w:tabs>
            <w:rPr/>
          </w:pPr>
          <w:hyperlink w:anchor="__RefHeading___Toc2523_3171453754" w:tgtFrame="#__RefHeading___Toc2523_3171453754">
            <w:r>
              <w:rPr/>
              <w:t>1.1. Обозначения и сокращения в электроэнергетике</w:t>
              <w:tab/>
              <w:t>3</w:t>
            </w:r>
          </w:hyperlink>
        </w:p>
        <w:p>
          <w:pPr>
            <w:pStyle w:val="Contents4"/>
            <w:tabs>
              <w:tab w:val="clear" w:pos="709"/>
              <w:tab w:val="right" w:pos="12725" w:leader="dot"/>
            </w:tabs>
            <w:rPr/>
          </w:pPr>
          <w:hyperlink w:anchor="__RefHeading___Toc2525_3171453754" w:tgtFrame="#__RefHeading___Toc2525_3171453754">
            <w:r>
              <w:rPr/>
              <w:t>1.2. Наименование закупаемой продукции</w:t>
              <w:tab/>
              <w:t>6</w:t>
            </w:r>
          </w:hyperlink>
        </w:p>
        <w:p>
          <w:pPr>
            <w:pStyle w:val="Contents4"/>
            <w:tabs>
              <w:tab w:val="clear" w:pos="709"/>
              <w:tab w:val="right" w:pos="12725" w:leader="dot"/>
            </w:tabs>
            <w:rPr/>
          </w:pPr>
          <w:hyperlink w:anchor="__RefHeading___Toc2527_3171453754" w:tgtFrame="#__RefHeading___Toc2527_3171453754">
            <w:r>
              <w:rPr/>
              <w:t>1.3. Цель выполнения работ</w:t>
              <w:tab/>
              <w:t>6</w:t>
            </w:r>
          </w:hyperlink>
        </w:p>
        <w:p>
          <w:pPr>
            <w:pStyle w:val="Contents4"/>
            <w:tabs>
              <w:tab w:val="clear" w:pos="709"/>
              <w:tab w:val="right" w:pos="12725" w:leader="dot"/>
            </w:tabs>
            <w:rPr/>
          </w:pPr>
          <w:hyperlink w:anchor="__RefHeading___Toc2529_3171453754" w:tgtFrame="#__RefHeading___Toc2529_3171453754">
            <w:r>
              <w:rPr/>
              <w:t>1.4. Существующее положение</w:t>
              <w:tab/>
              <w:t>6</w:t>
            </w:r>
          </w:hyperlink>
        </w:p>
        <w:p>
          <w:pPr>
            <w:pStyle w:val="Contents1"/>
            <w:tabs>
              <w:tab w:val="clear" w:pos="709"/>
              <w:tab w:val="right" w:pos="9920" w:leader="dot"/>
            </w:tabs>
            <w:rPr/>
          </w:pPr>
          <w:hyperlink w:anchor="__RefHeading___Toc2531_3171453754" w:tgtFrame="#__RefHeading___Toc2531_3171453754">
            <w:r>
              <w:rPr/>
              <w:t>Таблица 1. Перечень объектов заказчика</w:t>
              <w:tab/>
              <w:t>6</w:t>
            </w:r>
          </w:hyperlink>
        </w:p>
        <w:p>
          <w:pPr>
            <w:pStyle w:val="Contents4"/>
            <w:tabs>
              <w:tab w:val="clear" w:pos="709"/>
              <w:tab w:val="right" w:pos="12725" w:leader="dot"/>
            </w:tabs>
            <w:rPr/>
          </w:pPr>
          <w:hyperlink w:anchor="__RefHeading___Toc2533_3171453754" w:tgtFrame="#__RefHeading___Toc2533_3171453754">
            <w:r>
              <w:rPr/>
              <w:t>1.5. Информация в отношении исполнения договора, которая должна быть учтена при подготовке заявки (в том числе перечень ресурсов, услуг и документов, предоставляемых заказчиком на этапе исполнения договора):</w:t>
              <w:tab/>
              <w:t>6</w:t>
            </w:r>
          </w:hyperlink>
        </w:p>
        <w:p>
          <w:pPr>
            <w:pStyle w:val="Contents4"/>
            <w:tabs>
              <w:tab w:val="clear" w:pos="709"/>
              <w:tab w:val="right" w:pos="12725" w:leader="dot"/>
            </w:tabs>
            <w:rPr/>
          </w:pPr>
          <w:hyperlink w:anchor="__RefHeading___Toc2535_3171453754" w:tgtFrame="#__RefHeading___Toc2535_3171453754">
            <w:r>
              <w:rPr/>
              <w:t>1.6. Иные требования и сведения общего характера</w:t>
              <w:tab/>
              <w:t>9</w:t>
            </w:r>
          </w:hyperlink>
        </w:p>
        <w:p>
          <w:pPr>
            <w:pStyle w:val="Contents4"/>
            <w:tabs>
              <w:tab w:val="clear" w:pos="709"/>
              <w:tab w:val="right" w:pos="12725" w:leader="dot"/>
            </w:tabs>
            <w:rPr/>
          </w:pPr>
          <w:hyperlink w:anchor="__RefHeading___Toc2537_3171453754" w:tgtFrame="#__RefHeading___Toc2537_3171453754">
            <w:r>
              <w:rPr/>
              <w:t>Подрядчик обязан во всех выпускаемых документах (локальные сметные расчёты, техническая документация, акты выполненных работ, сохранять единое наименование объекта.</w:t>
              <w:tab/>
              <w:t>9</w:t>
            </w:r>
          </w:hyperlink>
        </w:p>
        <w:p>
          <w:pPr>
            <w:pStyle w:val="Contents1"/>
            <w:tabs>
              <w:tab w:val="clear" w:pos="709"/>
              <w:tab w:val="right" w:pos="9920" w:leader="dot"/>
            </w:tabs>
            <w:rPr/>
          </w:pPr>
          <w:hyperlink w:anchor="__RefHeading___Toc2539_3171453754" w:tgtFrame="#__RefHeading___Toc2539_3171453754">
            <w:r>
              <w:rPr/>
              <w:t>2. Требования к продукции</w:t>
              <w:tab/>
              <w:t>9</w:t>
            </w:r>
          </w:hyperlink>
        </w:p>
        <w:p>
          <w:pPr>
            <w:pStyle w:val="Contents4"/>
            <w:tabs>
              <w:tab w:val="clear" w:pos="709"/>
              <w:tab w:val="right" w:pos="12725" w:leader="dot"/>
            </w:tabs>
            <w:rPr/>
          </w:pPr>
          <w:hyperlink w:anchor="__RefHeading___Toc2541_3171453754" w:tgtFrame="#__RefHeading___Toc2541_3171453754">
            <w:r>
              <w:rPr/>
              <w:t>2.1. Требования к объемам и срокам выполнения работ</w:t>
              <w:tab/>
              <w:t>9</w:t>
            </w:r>
          </w:hyperlink>
        </w:p>
        <w:p>
          <w:pPr>
            <w:pStyle w:val="Contents3"/>
            <w:tabs>
              <w:tab w:val="clear" w:pos="709"/>
              <w:tab w:val="right" w:pos="11311" w:leader="dot"/>
            </w:tabs>
            <w:rPr/>
          </w:pPr>
          <w:hyperlink w:anchor="__RefHeading___Toc2543_3171453754" w:tgtFrame="#__RefHeading___Toc2543_3171453754">
            <w:r>
              <w:rPr/>
              <w:t>2.1.1. Требования к видам и объемам работ</w:t>
              <w:tab/>
              <w:t>9</w:t>
            </w:r>
          </w:hyperlink>
        </w:p>
        <w:p>
          <w:pPr>
            <w:pStyle w:val="Contents1"/>
            <w:tabs>
              <w:tab w:val="clear" w:pos="709"/>
              <w:tab w:val="right" w:pos="9920" w:leader="dot"/>
            </w:tabs>
            <w:rPr/>
          </w:pPr>
          <w:hyperlink w:anchor="__RefHeading___Toc2545_3171453754" w:tgtFrame="#__RefHeading___Toc2545_3171453754">
            <w:r>
              <w:rPr/>
              <w:t>Таблица 3. Перечень и объем выполняемых работ</w:t>
              <w:tab/>
              <w:t>9</w:t>
            </w:r>
          </w:hyperlink>
        </w:p>
        <w:p>
          <w:pPr>
            <w:pStyle w:val="Contents3"/>
            <w:tabs>
              <w:tab w:val="clear" w:pos="709"/>
              <w:tab w:val="right" w:pos="11311" w:leader="dot"/>
            </w:tabs>
            <w:rPr/>
          </w:pPr>
          <w:hyperlink w:anchor="__RefHeading___Toc2547_3171453754" w:tgtFrame="#__RefHeading___Toc2547_3171453754">
            <w:r>
              <w:rPr/>
              <w:t>2.1.2. Требования к срокам выполнения работ</w:t>
              <w:tab/>
              <w:t>10</w:t>
            </w:r>
          </w:hyperlink>
        </w:p>
        <w:p>
          <w:pPr>
            <w:pStyle w:val="Contents1"/>
            <w:tabs>
              <w:tab w:val="clear" w:pos="709"/>
              <w:tab w:val="right" w:pos="9920" w:leader="dot"/>
            </w:tabs>
            <w:rPr/>
          </w:pPr>
          <w:hyperlink w:anchor="__RefHeading___Toc2549_3171453754" w:tgtFrame="#__RefHeading___Toc2549_3171453754">
            <w:r>
              <w:rPr/>
              <w:t>Таблица 4. Требования по срокам выполнения работ</w:t>
              <w:tab/>
              <w:t>10</w:t>
            </w:r>
          </w:hyperlink>
        </w:p>
        <w:p>
          <w:pPr>
            <w:pStyle w:val="Contents4"/>
            <w:tabs>
              <w:tab w:val="clear" w:pos="709"/>
              <w:tab w:val="right" w:pos="12725" w:leader="dot"/>
            </w:tabs>
            <w:rPr/>
          </w:pPr>
          <w:hyperlink w:anchor="__RefHeading___Toc2551_3171453754" w:tgtFrame="#__RefHeading___Toc2551_3171453754">
            <w:r>
              <w:rPr/>
              <w:t>2.2. Требования к качеству работ</w:t>
              <w:tab/>
              <w:t>11</w:t>
            </w:r>
          </w:hyperlink>
        </w:p>
        <w:p>
          <w:pPr>
            <w:pStyle w:val="Contents1"/>
            <w:tabs>
              <w:tab w:val="clear" w:pos="709"/>
              <w:tab w:val="right" w:pos="9920" w:leader="dot"/>
            </w:tabs>
            <w:rPr/>
          </w:pPr>
          <w:hyperlink w:anchor="__RefHeading___Toc2553_3171453754" w:tgtFrame="#__RefHeading___Toc2553_3171453754">
            <w:r>
              <w:rPr/>
              <w:t>Таблица 5. Требования к качеству работ</w:t>
              <w:tab/>
              <w:t>11</w:t>
            </w:r>
          </w:hyperlink>
        </w:p>
        <w:p>
          <w:pPr>
            <w:pStyle w:val="Contents1"/>
            <w:tabs>
              <w:tab w:val="clear" w:pos="709"/>
              <w:tab w:val="right" w:pos="9920" w:leader="dot"/>
            </w:tabs>
            <w:rPr/>
          </w:pPr>
          <w:hyperlink w:anchor="__RefHeading___Toc2555_3171453754" w:tgtFrame="#__RefHeading___Toc2555_3171453754">
            <w:r>
              <w:rPr/>
              <w:t>3. Требования к документации по ценообразованию на этапе закупки</w:t>
              <w:tab/>
              <w:t>15</w:t>
            </w:r>
          </w:hyperlink>
        </w:p>
        <w:p>
          <w:pPr>
            <w:pStyle w:val="Contents1"/>
            <w:tabs>
              <w:tab w:val="clear" w:pos="709"/>
              <w:tab w:val="right" w:pos="9920" w:leader="dot"/>
            </w:tabs>
            <w:rPr/>
          </w:pPr>
          <w:hyperlink w:anchor="__RefHeading___Toc2557_3171453754" w:tgtFrame="#__RefHeading___Toc2557_3171453754">
            <w:r>
              <w:rPr/>
              <w:t>4. Требования к документации по ценообразованию на этапе заключения (исполнения) договора</w:t>
              <w:tab/>
              <w:t>15</w:t>
            </w:r>
          </w:hyperlink>
        </w:p>
        <w:p>
          <w:pPr>
            <w:pStyle w:val="Contents1"/>
            <w:tabs>
              <w:tab w:val="clear" w:pos="709"/>
              <w:tab w:val="right" w:pos="9920" w:leader="dot"/>
            </w:tabs>
            <w:rPr/>
          </w:pPr>
          <w:hyperlink w:anchor="__RefHeading___Toc2559_3171453754" w:tgtFrame="#__RefHeading___Toc2559_3171453754">
            <w:r>
              <w:rPr/>
              <w:t>5. Приложения</w:t>
              <w:tab/>
              <w:t>15</w:t>
            </w:r>
          </w:hyperlink>
          <w:r>
            <w:rPr/>
            <w:fldChar w:fldCharType="end"/>
          </w:r>
        </w:p>
      </w:sdtContent>
    </w:sdt>
    <w:p>
      <w:pPr>
        <w:pStyle w:val="141"/>
        <w:rPr/>
      </w:pPr>
      <w:r>
        <w:rPr/>
      </w:r>
    </w:p>
    <w:p>
      <w:pPr>
        <w:pStyle w:val="141"/>
        <w:rPr/>
      </w:pPr>
      <w:r>
        <w:rPr/>
      </w:r>
    </w:p>
    <w:p>
      <w:pPr>
        <w:pStyle w:val="141"/>
        <w:rPr/>
      </w:pPr>
      <w:r>
        <w:rPr/>
      </w:r>
    </w:p>
    <w:p>
      <w:pPr>
        <w:pStyle w:val="141"/>
        <w:rPr/>
      </w:pPr>
      <w:r>
        <w:rPr/>
      </w:r>
    </w:p>
    <w:p>
      <w:pPr>
        <w:pStyle w:val="141"/>
        <w:rPr/>
      </w:pPr>
      <w:r>
        <w:rPr/>
      </w:r>
    </w:p>
    <w:p>
      <w:pPr>
        <w:pStyle w:val="211"/>
        <w:ind w:left="0" w:hanging="0"/>
        <w:rPr>
          <w:b w:val="false"/>
          <w:b w:val="false"/>
          <w:i/>
          <w:i/>
        </w:rPr>
      </w:pPr>
      <w:r>
        <w:rPr>
          <w:b w:val="false"/>
          <w:i/>
        </w:rPr>
      </w:r>
      <w:r>
        <w:br w:type="page"/>
      </w:r>
    </w:p>
    <w:p>
      <w:pPr>
        <w:pStyle w:val="115"/>
        <w:numPr>
          <w:ilvl w:val="0"/>
          <w:numId w:val="1"/>
        </w:numPr>
        <w:ind w:left="567" w:hanging="562"/>
        <w:rPr/>
      </w:pPr>
      <w:bookmarkStart w:id="0" w:name="__RefHeading___Toc2521_3171453754"/>
      <w:bookmarkStart w:id="1" w:name="_Toc54646395"/>
      <w:bookmarkStart w:id="2" w:name="_Toc51339692"/>
      <w:bookmarkEnd w:id="0"/>
      <w:r>
        <w:rPr/>
        <w:t>Общие сведения</w:t>
      </w:r>
      <w:bookmarkEnd w:id="1"/>
      <w:bookmarkEnd w:id="2"/>
    </w:p>
    <w:p>
      <w:pPr>
        <w:pStyle w:val="41"/>
        <w:numPr>
          <w:ilvl w:val="1"/>
          <w:numId w:val="1"/>
        </w:numPr>
        <w:ind w:left="567" w:hanging="562"/>
        <w:rPr/>
      </w:pPr>
      <w:bookmarkStart w:id="3" w:name="__RefHeading___Toc2523_3171453754"/>
      <w:bookmarkStart w:id="4" w:name="_Toc54646396"/>
      <w:bookmarkStart w:id="5" w:name="_Toc46743505"/>
      <w:bookmarkEnd w:id="3"/>
      <w:r>
        <w:rPr/>
        <w:t>Обозначения и сокращения</w:t>
      </w:r>
      <w:bookmarkEnd w:id="4"/>
      <w:bookmarkEnd w:id="5"/>
      <w:r>
        <w:rPr/>
        <w:t xml:space="preserve"> в электроэнергетике</w:t>
      </w:r>
    </w:p>
    <w:p>
      <w:pPr>
        <w:pStyle w:val="Standard"/>
        <w:rPr/>
      </w:pPr>
      <w:r>
        <w:rPr>
          <w:sz w:val="24"/>
        </w:rPr>
        <w:t>А</w:t>
      </w:r>
    </w:p>
    <w:p>
      <w:pPr>
        <w:pStyle w:val="Standard"/>
        <w:rPr/>
      </w:pPr>
      <w:r>
        <w:rPr>
          <w:sz w:val="24"/>
        </w:rPr>
        <w:t>АБ - аккумуляторная батарея</w:t>
      </w:r>
    </w:p>
    <w:p>
      <w:pPr>
        <w:pStyle w:val="Standard"/>
        <w:rPr/>
      </w:pPr>
      <w:r>
        <w:rPr>
          <w:sz w:val="24"/>
        </w:rPr>
        <w:t xml:space="preserve">АЛАР - автоматика ликвидации асинхронного режима </w:t>
      </w:r>
    </w:p>
    <w:p>
      <w:pPr>
        <w:pStyle w:val="Standard"/>
        <w:rPr/>
      </w:pPr>
      <w:r>
        <w:rPr>
          <w:sz w:val="24"/>
        </w:rPr>
        <w:t>АОСН — автоматика ограничения снижения напряжения</w:t>
      </w:r>
    </w:p>
    <w:p>
      <w:pPr>
        <w:pStyle w:val="Standard"/>
        <w:rPr/>
      </w:pPr>
      <w:r>
        <w:rPr>
          <w:sz w:val="24"/>
        </w:rPr>
        <w:t>АПВ - автоматическое повторное включение</w:t>
      </w:r>
    </w:p>
    <w:p>
      <w:pPr>
        <w:pStyle w:val="Standard"/>
        <w:rPr/>
      </w:pPr>
      <w:r>
        <w:rPr>
          <w:sz w:val="24"/>
        </w:rPr>
        <w:t>АРМ - автоматизированное рабочее место</w:t>
      </w:r>
    </w:p>
    <w:p>
      <w:pPr>
        <w:pStyle w:val="Standard"/>
        <w:rPr/>
      </w:pPr>
      <w:r>
        <w:rPr>
          <w:sz w:val="24"/>
        </w:rPr>
        <w:t>АРПН - устройства автоматического регулирования напряжения под нагрузкой</w:t>
      </w:r>
    </w:p>
    <w:p>
      <w:pPr>
        <w:pStyle w:val="Standard"/>
        <w:rPr/>
      </w:pPr>
      <w:r>
        <w:rPr>
          <w:sz w:val="24"/>
        </w:rPr>
        <w:t>АСУ - автоматизированная система управления</w:t>
      </w:r>
    </w:p>
    <w:p>
      <w:pPr>
        <w:pStyle w:val="Standard"/>
        <w:rPr/>
      </w:pPr>
      <w:r>
        <w:rPr>
          <w:sz w:val="24"/>
        </w:rPr>
        <w:t>АСУ ТП - автоматизированная система управления технологическими процессами</w:t>
      </w:r>
    </w:p>
    <w:p>
      <w:pPr>
        <w:pStyle w:val="Standard"/>
        <w:rPr/>
      </w:pPr>
      <w:r>
        <w:rPr/>
      </w:r>
    </w:p>
    <w:p>
      <w:pPr>
        <w:pStyle w:val="Standard"/>
        <w:rPr/>
      </w:pPr>
      <w:r>
        <w:rPr>
          <w:sz w:val="24"/>
        </w:rPr>
        <w:t>В</w:t>
      </w:r>
    </w:p>
    <w:p>
      <w:pPr>
        <w:pStyle w:val="Standard"/>
        <w:rPr/>
      </w:pPr>
      <w:r>
        <w:rPr>
          <w:sz w:val="24"/>
        </w:rPr>
        <w:t>ВА - вольтамперы, полная мощность</w:t>
      </w:r>
    </w:p>
    <w:p>
      <w:pPr>
        <w:pStyle w:val="Standard"/>
        <w:rPr/>
      </w:pPr>
      <w:r>
        <w:rPr>
          <w:sz w:val="24"/>
        </w:rPr>
        <w:t xml:space="preserve">ВАХ – вольтамперная характеристика </w:t>
      </w:r>
    </w:p>
    <w:p>
      <w:pPr>
        <w:pStyle w:val="Standard"/>
        <w:rPr/>
      </w:pPr>
      <w:r>
        <w:rPr>
          <w:sz w:val="24"/>
        </w:rPr>
        <w:t xml:space="preserve">ВЗГ - вторичные задающие генераторы </w:t>
      </w:r>
    </w:p>
    <w:p>
      <w:pPr>
        <w:pStyle w:val="Standard"/>
        <w:rPr/>
      </w:pPr>
      <w:r>
        <w:rPr>
          <w:sz w:val="24"/>
        </w:rPr>
        <w:t xml:space="preserve">В(ЛЭП) - воздушная линия электропередачи </w:t>
      </w:r>
    </w:p>
    <w:p>
      <w:pPr>
        <w:pStyle w:val="Standard"/>
        <w:rPr/>
      </w:pPr>
      <w:r>
        <w:rPr>
          <w:sz w:val="24"/>
        </w:rPr>
        <w:t xml:space="preserve">ВН - высшее напряжение </w:t>
      </w:r>
    </w:p>
    <w:p>
      <w:pPr>
        <w:pStyle w:val="Standard"/>
        <w:rPr/>
      </w:pPr>
      <w:r>
        <w:rPr>
          <w:sz w:val="24"/>
        </w:rPr>
        <w:t xml:space="preserve">ВОЛС - волоконно-оптическая линия связи </w:t>
      </w:r>
    </w:p>
    <w:p>
      <w:pPr>
        <w:pStyle w:val="Standard"/>
        <w:rPr/>
      </w:pPr>
      <w:r>
        <w:rPr/>
      </w:r>
    </w:p>
    <w:p>
      <w:pPr>
        <w:pStyle w:val="Standard"/>
        <w:rPr/>
      </w:pPr>
      <w:r>
        <w:rPr>
          <w:sz w:val="24"/>
        </w:rPr>
        <w:t xml:space="preserve">Д </w:t>
      </w:r>
    </w:p>
    <w:p>
      <w:pPr>
        <w:pStyle w:val="Standard"/>
        <w:rPr/>
      </w:pPr>
      <w:r>
        <w:rPr>
          <w:sz w:val="24"/>
        </w:rPr>
        <w:t>ДЗЛ - Дифференциальная защита линий</w:t>
      </w:r>
    </w:p>
    <w:p>
      <w:pPr>
        <w:pStyle w:val="Standard"/>
        <w:rPr/>
      </w:pPr>
      <w:r>
        <w:rPr>
          <w:sz w:val="24"/>
        </w:rPr>
        <w:t xml:space="preserve">ДЦ - диспетчерский центр </w:t>
      </w:r>
    </w:p>
    <w:p>
      <w:pPr>
        <w:pStyle w:val="Standard"/>
        <w:rPr/>
      </w:pPr>
      <w:r>
        <w:rPr/>
      </w:r>
    </w:p>
    <w:p>
      <w:pPr>
        <w:pStyle w:val="Standard"/>
        <w:rPr/>
      </w:pPr>
      <w:r>
        <w:rPr>
          <w:sz w:val="24"/>
        </w:rPr>
        <w:t>Е</w:t>
      </w:r>
    </w:p>
    <w:p>
      <w:pPr>
        <w:pStyle w:val="Standard"/>
        <w:rPr/>
      </w:pPr>
      <w:r>
        <w:rPr>
          <w:sz w:val="24"/>
        </w:rPr>
        <w:t xml:space="preserve">ЕЭС - Единая энергетическая система </w:t>
      </w:r>
    </w:p>
    <w:p>
      <w:pPr>
        <w:pStyle w:val="Standard"/>
        <w:rPr/>
      </w:pPr>
      <w:r>
        <w:rPr/>
      </w:r>
    </w:p>
    <w:p>
      <w:pPr>
        <w:pStyle w:val="Standard"/>
        <w:rPr/>
      </w:pPr>
      <w:r>
        <w:rPr>
          <w:sz w:val="24"/>
        </w:rPr>
        <w:t>З</w:t>
      </w:r>
    </w:p>
    <w:p>
      <w:pPr>
        <w:pStyle w:val="Standard"/>
        <w:rPr/>
      </w:pPr>
      <w:r>
        <w:rPr>
          <w:sz w:val="24"/>
        </w:rPr>
        <w:t xml:space="preserve">ЗРУ - закрытое распределительное устройство </w:t>
      </w:r>
    </w:p>
    <w:p>
      <w:pPr>
        <w:pStyle w:val="Standard"/>
        <w:rPr/>
      </w:pPr>
      <w:r>
        <w:rPr>
          <w:sz w:val="24"/>
        </w:rPr>
        <w:t xml:space="preserve">ЗТП - закрытая трансформаторная подстанция </w:t>
      </w:r>
    </w:p>
    <w:p>
      <w:pPr>
        <w:pStyle w:val="Standard"/>
        <w:rPr/>
      </w:pPr>
      <w:r>
        <w:rPr>
          <w:sz w:val="24"/>
        </w:rPr>
        <w:t xml:space="preserve">ЗУ - заземляющее устройство </w:t>
      </w:r>
    </w:p>
    <w:p>
      <w:pPr>
        <w:pStyle w:val="Standard"/>
        <w:rPr/>
      </w:pPr>
      <w:r>
        <w:rPr/>
      </w:r>
    </w:p>
    <w:p>
      <w:pPr>
        <w:pStyle w:val="Standard"/>
        <w:rPr/>
      </w:pPr>
      <w:r>
        <w:rPr>
          <w:sz w:val="24"/>
        </w:rPr>
        <w:t>И</w:t>
      </w:r>
    </w:p>
    <w:p>
      <w:pPr>
        <w:pStyle w:val="Standard"/>
        <w:rPr/>
      </w:pPr>
      <w:r>
        <w:rPr>
          <w:sz w:val="24"/>
        </w:rPr>
        <w:t xml:space="preserve">ИБП - источник бесперебойного электропитания </w:t>
      </w:r>
    </w:p>
    <w:p>
      <w:pPr>
        <w:pStyle w:val="Standard"/>
        <w:rPr/>
      </w:pPr>
      <w:r>
        <w:rPr/>
      </w:r>
    </w:p>
    <w:p>
      <w:pPr>
        <w:pStyle w:val="Standard"/>
        <w:rPr/>
      </w:pPr>
      <w:r>
        <w:rPr>
          <w:sz w:val="24"/>
        </w:rPr>
        <w:t>К</w:t>
      </w:r>
    </w:p>
    <w:p>
      <w:pPr>
        <w:pStyle w:val="Standard"/>
        <w:rPr/>
      </w:pPr>
      <w:r>
        <w:rPr>
          <w:sz w:val="24"/>
        </w:rPr>
        <w:t xml:space="preserve">КА - коммутационный аппарат </w:t>
      </w:r>
    </w:p>
    <w:p>
      <w:pPr>
        <w:pStyle w:val="Standard"/>
        <w:rPr/>
      </w:pPr>
      <w:r>
        <w:rPr>
          <w:sz w:val="24"/>
        </w:rPr>
        <w:t>КВЛ - кабельно-воздушная линия / капитальные вложения</w:t>
      </w:r>
    </w:p>
    <w:p>
      <w:pPr>
        <w:pStyle w:val="Standard"/>
        <w:rPr/>
      </w:pPr>
      <w:r>
        <w:rPr>
          <w:sz w:val="24"/>
        </w:rPr>
        <w:t>кВ – киловольт</w:t>
      </w:r>
    </w:p>
    <w:p>
      <w:pPr>
        <w:pStyle w:val="Standard"/>
        <w:rPr/>
      </w:pPr>
      <w:r>
        <w:rPr>
          <w:sz w:val="24"/>
        </w:rPr>
        <w:t>кВА – киловольт-ампер (полная мощность активная + реактивная составляющие)</w:t>
      </w:r>
    </w:p>
    <w:p>
      <w:pPr>
        <w:pStyle w:val="Standard"/>
        <w:rPr/>
      </w:pPr>
      <w:r>
        <w:rPr>
          <w:sz w:val="24"/>
        </w:rPr>
        <w:t xml:space="preserve">КЗ - короткое замыкание </w:t>
      </w:r>
    </w:p>
    <w:p>
      <w:pPr>
        <w:pStyle w:val="Standard"/>
        <w:rPr/>
      </w:pPr>
      <w:r>
        <w:rPr>
          <w:sz w:val="24"/>
        </w:rPr>
        <w:t>КЛ - кабельная линия</w:t>
      </w:r>
    </w:p>
    <w:p>
      <w:pPr>
        <w:pStyle w:val="Standard"/>
        <w:rPr/>
      </w:pPr>
      <w:r>
        <w:rPr>
          <w:sz w:val="24"/>
        </w:rPr>
        <w:t xml:space="preserve">КРУ - комплектное распределительное устройство </w:t>
      </w:r>
    </w:p>
    <w:p>
      <w:pPr>
        <w:pStyle w:val="Standard"/>
        <w:rPr/>
      </w:pPr>
      <w:r>
        <w:rPr>
          <w:sz w:val="24"/>
        </w:rPr>
        <w:t xml:space="preserve">КСО - комплектные стационарные распределительные устройства одностороннего обслуживания </w:t>
      </w:r>
    </w:p>
    <w:p>
      <w:pPr>
        <w:pStyle w:val="Standard"/>
        <w:rPr/>
      </w:pPr>
      <w:r>
        <w:rPr>
          <w:sz w:val="24"/>
        </w:rPr>
        <w:t>КТП - комплектная трансформаторная подстанция</w:t>
      </w:r>
    </w:p>
    <w:p>
      <w:pPr>
        <w:pStyle w:val="Standard"/>
        <w:rPr/>
      </w:pPr>
      <w:r>
        <w:rPr>
          <w:sz w:val="24"/>
        </w:rPr>
        <w:t>КТПН - Комплектная трансформаторная подстанция наружной установки</w:t>
      </w:r>
    </w:p>
    <w:p>
      <w:pPr>
        <w:pStyle w:val="Standard"/>
        <w:rPr/>
      </w:pPr>
      <w:r>
        <w:rPr>
          <w:sz w:val="24"/>
        </w:rPr>
        <w:t>КТПБ - Комплектные трансформаторные подстанции блочного типа</w:t>
      </w:r>
    </w:p>
    <w:p>
      <w:pPr>
        <w:pStyle w:val="Standard"/>
        <w:rPr/>
      </w:pPr>
      <w:r>
        <w:rPr/>
      </w:r>
    </w:p>
    <w:p>
      <w:pPr>
        <w:pStyle w:val="Standard"/>
        <w:rPr/>
      </w:pPr>
      <w:r>
        <w:rPr>
          <w:sz w:val="24"/>
        </w:rPr>
        <w:t>Л</w:t>
      </w:r>
    </w:p>
    <w:p>
      <w:pPr>
        <w:pStyle w:val="Standard"/>
        <w:rPr/>
      </w:pPr>
      <w:r>
        <w:rPr>
          <w:sz w:val="24"/>
        </w:rPr>
        <w:t xml:space="preserve">ЛВС - локально-вычислительная сеть </w:t>
      </w:r>
    </w:p>
    <w:p>
      <w:pPr>
        <w:pStyle w:val="Standard"/>
        <w:rPr/>
      </w:pPr>
      <w:r>
        <w:rPr>
          <w:sz w:val="24"/>
        </w:rPr>
        <w:t xml:space="preserve">ЛЭП - линия электропередачи </w:t>
      </w:r>
    </w:p>
    <w:p>
      <w:pPr>
        <w:pStyle w:val="Standard"/>
        <w:rPr/>
      </w:pPr>
      <w:r>
        <w:rPr>
          <w:sz w:val="24"/>
        </w:rPr>
        <w:t>М</w:t>
      </w:r>
    </w:p>
    <w:p>
      <w:pPr>
        <w:pStyle w:val="Standard"/>
        <w:rPr/>
      </w:pPr>
      <w:r>
        <w:rPr>
          <w:sz w:val="24"/>
        </w:rPr>
        <w:t xml:space="preserve">МТР - материально-технические ресурсы </w:t>
      </w:r>
    </w:p>
    <w:p>
      <w:pPr>
        <w:pStyle w:val="Standard"/>
        <w:rPr/>
      </w:pPr>
      <w:r>
        <w:rPr>
          <w:sz w:val="24"/>
        </w:rPr>
        <w:t xml:space="preserve">МФК - многофункциональные микропроцессорные контроллеры </w:t>
      </w:r>
    </w:p>
    <w:p>
      <w:pPr>
        <w:pStyle w:val="Standard"/>
        <w:rPr/>
      </w:pPr>
      <w:r>
        <w:rPr>
          <w:sz w:val="24"/>
        </w:rPr>
        <w:t>МВА – мегавольтамперы</w:t>
      </w:r>
    </w:p>
    <w:p>
      <w:pPr>
        <w:pStyle w:val="Standard"/>
        <w:rPr/>
      </w:pPr>
      <w:r>
        <w:rPr>
          <w:sz w:val="24"/>
        </w:rPr>
        <w:t>МПТ - микропроцессорная техника</w:t>
      </w:r>
    </w:p>
    <w:p>
      <w:pPr>
        <w:pStyle w:val="Standard"/>
        <w:rPr/>
      </w:pPr>
      <w:r>
        <w:rPr/>
      </w:r>
    </w:p>
    <w:p>
      <w:pPr>
        <w:pStyle w:val="Standard"/>
        <w:rPr/>
      </w:pPr>
      <w:r>
        <w:rPr>
          <w:sz w:val="24"/>
        </w:rPr>
        <w:t>Н</w:t>
      </w:r>
    </w:p>
    <w:p>
      <w:pPr>
        <w:pStyle w:val="Standard"/>
        <w:rPr/>
      </w:pPr>
      <w:r>
        <w:rPr>
          <w:sz w:val="24"/>
        </w:rPr>
        <w:t>НН - низшее напряжение</w:t>
      </w:r>
    </w:p>
    <w:p>
      <w:pPr>
        <w:pStyle w:val="Standard"/>
        <w:rPr/>
      </w:pPr>
      <w:r>
        <w:rPr>
          <w:sz w:val="24"/>
        </w:rPr>
        <w:t>НТД - Нормативно-техническая документация</w:t>
      </w:r>
    </w:p>
    <w:p>
      <w:pPr>
        <w:pStyle w:val="Standard"/>
        <w:rPr/>
      </w:pPr>
      <w:r>
        <w:rPr/>
      </w:r>
    </w:p>
    <w:p>
      <w:pPr>
        <w:pStyle w:val="Standard"/>
        <w:rPr/>
      </w:pPr>
      <w:r>
        <w:rPr>
          <w:sz w:val="24"/>
        </w:rPr>
        <w:t>О</w:t>
      </w:r>
    </w:p>
    <w:p>
      <w:pPr>
        <w:pStyle w:val="Standard"/>
        <w:rPr/>
      </w:pPr>
      <w:r>
        <w:rPr>
          <w:sz w:val="24"/>
        </w:rPr>
        <w:t>ОАПВ - однократное автоматическое повторное включение</w:t>
      </w:r>
    </w:p>
    <w:p>
      <w:pPr>
        <w:pStyle w:val="Standard"/>
        <w:rPr/>
      </w:pPr>
      <w:r>
        <w:rPr>
          <w:sz w:val="24"/>
        </w:rPr>
        <w:t xml:space="preserve">ОЗЗ - однофазное замыкание на землю </w:t>
      </w:r>
    </w:p>
    <w:p>
      <w:pPr>
        <w:pStyle w:val="Standard"/>
        <w:rPr/>
      </w:pPr>
      <w:r>
        <w:rPr>
          <w:sz w:val="24"/>
        </w:rPr>
        <w:t xml:space="preserve">ОРУ - открытое распределительное устройство </w:t>
      </w:r>
    </w:p>
    <w:p>
      <w:pPr>
        <w:pStyle w:val="Standard"/>
        <w:rPr/>
      </w:pPr>
      <w:r>
        <w:rPr>
          <w:sz w:val="24"/>
        </w:rPr>
        <w:t xml:space="preserve">ОЭС - объединенная энергетическая система </w:t>
      </w:r>
    </w:p>
    <w:p>
      <w:pPr>
        <w:pStyle w:val="Standard"/>
        <w:rPr/>
      </w:pPr>
      <w:r>
        <w:rPr/>
      </w:r>
    </w:p>
    <w:p>
      <w:pPr>
        <w:pStyle w:val="Standard"/>
        <w:rPr/>
      </w:pPr>
      <w:r>
        <w:rPr>
          <w:sz w:val="24"/>
        </w:rPr>
        <w:t xml:space="preserve">П </w:t>
      </w:r>
    </w:p>
    <w:p>
      <w:pPr>
        <w:pStyle w:val="Standard"/>
        <w:rPr/>
      </w:pPr>
      <w:r>
        <w:rPr>
          <w:sz w:val="24"/>
        </w:rPr>
        <w:t xml:space="preserve">ПА - противоаварийная автоматика  </w:t>
      </w:r>
    </w:p>
    <w:p>
      <w:pPr>
        <w:pStyle w:val="Standard"/>
        <w:rPr/>
      </w:pPr>
      <w:r>
        <w:rPr>
          <w:sz w:val="24"/>
        </w:rPr>
        <w:t>ПИР - Проектно-изыскательные работы</w:t>
      </w:r>
    </w:p>
    <w:p>
      <w:pPr>
        <w:pStyle w:val="Standard"/>
        <w:rPr/>
      </w:pPr>
      <w:r>
        <w:rPr>
          <w:sz w:val="24"/>
        </w:rPr>
        <w:t>ПНР - Пусконаладочные работы</w:t>
      </w:r>
    </w:p>
    <w:p>
      <w:pPr>
        <w:pStyle w:val="Standard"/>
        <w:rPr/>
      </w:pPr>
      <w:r>
        <w:rPr>
          <w:sz w:val="24"/>
        </w:rPr>
        <w:t>ПТЭЭУП - правила технической эксплуатации электроустановок потребителей</w:t>
      </w:r>
    </w:p>
    <w:p>
      <w:pPr>
        <w:pStyle w:val="Standard"/>
        <w:rPr/>
      </w:pPr>
      <w:r>
        <w:rPr>
          <w:sz w:val="24"/>
        </w:rPr>
        <w:t>ПТЭЭСС - правила технической эксплуатации электрических станций и сетей</w:t>
      </w:r>
    </w:p>
    <w:p>
      <w:pPr>
        <w:pStyle w:val="Standard"/>
        <w:rPr/>
      </w:pPr>
      <w:r>
        <w:rPr>
          <w:sz w:val="24"/>
        </w:rPr>
        <w:t xml:space="preserve">ПС - подстанция </w:t>
      </w:r>
    </w:p>
    <w:p>
      <w:pPr>
        <w:pStyle w:val="Standard"/>
        <w:rPr/>
      </w:pPr>
      <w:r>
        <w:rPr>
          <w:sz w:val="24"/>
        </w:rPr>
        <w:t xml:space="preserve">ПТК - программно-технический комплекс </w:t>
      </w:r>
    </w:p>
    <w:p>
      <w:pPr>
        <w:pStyle w:val="Standard"/>
        <w:rPr/>
      </w:pPr>
      <w:r>
        <w:rPr>
          <w:sz w:val="24"/>
        </w:rPr>
        <w:t>ПСД - Проектно-сметная документация</w:t>
      </w:r>
    </w:p>
    <w:p>
      <w:pPr>
        <w:pStyle w:val="Standard"/>
        <w:rPr/>
      </w:pPr>
      <w:r>
        <w:rPr/>
      </w:r>
    </w:p>
    <w:p>
      <w:pPr>
        <w:pStyle w:val="Standard"/>
        <w:rPr/>
      </w:pPr>
      <w:r>
        <w:rPr>
          <w:sz w:val="24"/>
        </w:rPr>
        <w:t>Р</w:t>
      </w:r>
    </w:p>
    <w:p>
      <w:pPr>
        <w:pStyle w:val="Standard"/>
        <w:rPr/>
      </w:pPr>
      <w:r>
        <w:rPr>
          <w:sz w:val="24"/>
        </w:rPr>
        <w:t>РАС - регистраторы аварийных событий</w:t>
      </w:r>
    </w:p>
    <w:p>
      <w:pPr>
        <w:pStyle w:val="Standard"/>
        <w:rPr/>
      </w:pPr>
      <w:r>
        <w:rPr>
          <w:sz w:val="24"/>
        </w:rPr>
        <w:t>РАСП - регистрация аварийных событий и процессов</w:t>
      </w:r>
    </w:p>
    <w:p>
      <w:pPr>
        <w:pStyle w:val="Standard"/>
        <w:rPr/>
      </w:pPr>
      <w:r>
        <w:rPr>
          <w:sz w:val="24"/>
        </w:rPr>
        <w:t>РД - руководящий документ</w:t>
      </w:r>
    </w:p>
    <w:p>
      <w:pPr>
        <w:pStyle w:val="Standard"/>
        <w:rPr/>
      </w:pPr>
      <w:r>
        <w:rPr>
          <w:sz w:val="24"/>
        </w:rPr>
        <w:t>РЗА - релейная защита и автоматика</w:t>
      </w:r>
    </w:p>
    <w:p>
      <w:pPr>
        <w:pStyle w:val="Standard"/>
        <w:rPr/>
      </w:pPr>
      <w:r>
        <w:rPr>
          <w:sz w:val="24"/>
        </w:rPr>
        <w:t>РПН - регулирование напряжения под нагрузкой</w:t>
      </w:r>
    </w:p>
    <w:p>
      <w:pPr>
        <w:pStyle w:val="Standard"/>
        <w:rPr/>
      </w:pPr>
      <w:r>
        <w:rPr>
          <w:sz w:val="24"/>
        </w:rPr>
        <w:t>РСК - распределительная сетевая компания</w:t>
      </w:r>
    </w:p>
    <w:p>
      <w:pPr>
        <w:pStyle w:val="Standard"/>
        <w:rPr/>
      </w:pPr>
      <w:r>
        <w:rPr>
          <w:sz w:val="24"/>
        </w:rPr>
        <w:t>РТН — Ростехнадзор</w:t>
      </w:r>
    </w:p>
    <w:p>
      <w:pPr>
        <w:pStyle w:val="Standard"/>
        <w:rPr/>
      </w:pPr>
      <w:r>
        <w:rPr>
          <w:sz w:val="24"/>
        </w:rPr>
        <w:t>РТП - распределительная трансформаторная подстанция</w:t>
      </w:r>
    </w:p>
    <w:p>
      <w:pPr>
        <w:pStyle w:val="Standard"/>
        <w:rPr/>
      </w:pPr>
      <w:r>
        <w:rPr>
          <w:sz w:val="24"/>
        </w:rPr>
        <w:t>РУ - распределительное устройство</w:t>
      </w:r>
    </w:p>
    <w:p>
      <w:pPr>
        <w:pStyle w:val="Standard"/>
        <w:rPr/>
      </w:pPr>
      <w:r>
        <w:rPr>
          <w:sz w:val="24"/>
        </w:rPr>
        <w:t>РЭС - район электрических сетей</w:t>
      </w:r>
    </w:p>
    <w:p>
      <w:pPr>
        <w:pStyle w:val="Standard"/>
        <w:rPr/>
      </w:pPr>
      <w:r>
        <w:rPr/>
      </w:r>
    </w:p>
    <w:p>
      <w:pPr>
        <w:pStyle w:val="Standard"/>
        <w:rPr/>
      </w:pPr>
      <w:r>
        <w:rPr>
          <w:sz w:val="24"/>
        </w:rPr>
        <w:t>С</w:t>
      </w:r>
    </w:p>
    <w:p>
      <w:pPr>
        <w:pStyle w:val="Standard"/>
        <w:rPr/>
      </w:pPr>
      <w:r>
        <w:rPr>
          <w:sz w:val="24"/>
        </w:rPr>
        <w:t>САЦ - ситуационно-аналитический центр</w:t>
      </w:r>
    </w:p>
    <w:p>
      <w:pPr>
        <w:pStyle w:val="Standard"/>
        <w:rPr/>
      </w:pPr>
      <w:r>
        <w:rPr>
          <w:sz w:val="24"/>
        </w:rPr>
        <w:t>СМР - Строительно-монтажные работы</w:t>
      </w:r>
    </w:p>
    <w:p>
      <w:pPr>
        <w:pStyle w:val="Standard"/>
        <w:rPr/>
      </w:pPr>
      <w:r>
        <w:rPr>
          <w:sz w:val="24"/>
        </w:rPr>
        <w:t>СН - среднее напряжение / собственные нужды</w:t>
      </w:r>
    </w:p>
    <w:p>
      <w:pPr>
        <w:pStyle w:val="Standard"/>
        <w:rPr/>
      </w:pPr>
      <w:r>
        <w:rPr>
          <w:sz w:val="24"/>
        </w:rPr>
        <w:t>СОПТ - система оперативного постоянного тока</w:t>
      </w:r>
    </w:p>
    <w:p>
      <w:pPr>
        <w:pStyle w:val="Standard"/>
        <w:rPr/>
      </w:pPr>
      <w:r>
        <w:rPr>
          <w:sz w:val="24"/>
        </w:rPr>
        <w:t>СТО - стандарт организации</w:t>
      </w:r>
    </w:p>
    <w:p>
      <w:pPr>
        <w:pStyle w:val="Standard"/>
        <w:rPr/>
      </w:pPr>
      <w:r>
        <w:rPr/>
      </w:r>
    </w:p>
    <w:p>
      <w:pPr>
        <w:pStyle w:val="Standard"/>
        <w:rPr/>
      </w:pPr>
      <w:r>
        <w:rPr>
          <w:sz w:val="24"/>
        </w:rPr>
        <w:t>Т</w:t>
      </w:r>
    </w:p>
    <w:p>
      <w:pPr>
        <w:pStyle w:val="Standard"/>
        <w:rPr/>
      </w:pPr>
      <w:r>
        <w:rPr>
          <w:sz w:val="24"/>
        </w:rPr>
        <w:t>ТАПВ - трехфазное автоматическое повторное включение</w:t>
      </w:r>
    </w:p>
    <w:p>
      <w:pPr>
        <w:pStyle w:val="Standard"/>
        <w:rPr/>
      </w:pPr>
      <w:r>
        <w:rPr>
          <w:sz w:val="24"/>
        </w:rPr>
        <w:t>Т/АТ — трансформатор/автотрансформатор</w:t>
      </w:r>
    </w:p>
    <w:p>
      <w:pPr>
        <w:pStyle w:val="Standard"/>
        <w:rPr/>
      </w:pPr>
      <w:r>
        <w:rPr>
          <w:sz w:val="24"/>
        </w:rPr>
        <w:t>ТН - трансформатор напряжения</w:t>
      </w:r>
    </w:p>
    <w:p>
      <w:pPr>
        <w:pStyle w:val="Standard"/>
        <w:rPr/>
      </w:pPr>
      <w:r>
        <w:rPr>
          <w:sz w:val="24"/>
        </w:rPr>
        <w:t>ТСН - трансформатор собственных нужд</w:t>
      </w:r>
    </w:p>
    <w:p>
      <w:pPr>
        <w:pStyle w:val="Standard"/>
        <w:rPr/>
      </w:pPr>
      <w:r>
        <w:rPr>
          <w:sz w:val="24"/>
        </w:rPr>
        <w:t>ТТ - трансформатор тока</w:t>
      </w:r>
    </w:p>
    <w:p>
      <w:pPr>
        <w:pStyle w:val="Standard"/>
        <w:rPr/>
      </w:pPr>
      <w:r>
        <w:rPr/>
      </w:r>
    </w:p>
    <w:p>
      <w:pPr>
        <w:pStyle w:val="Standard"/>
        <w:rPr/>
      </w:pPr>
      <w:r>
        <w:rPr>
          <w:sz w:val="24"/>
        </w:rPr>
        <w:t>У</w:t>
      </w:r>
    </w:p>
    <w:p>
      <w:pPr>
        <w:pStyle w:val="Standard"/>
        <w:rPr/>
      </w:pPr>
      <w:r>
        <w:rPr>
          <w:sz w:val="24"/>
        </w:rPr>
        <w:t>УЗИП - устройство защиты от импульсных перенапряжений</w:t>
      </w:r>
    </w:p>
    <w:p>
      <w:pPr>
        <w:pStyle w:val="Standard"/>
        <w:rPr/>
      </w:pPr>
      <w:r>
        <w:rPr>
          <w:sz w:val="24"/>
        </w:rPr>
        <w:t xml:space="preserve">УКРМ - установка компенсации реактивной мощности </w:t>
      </w:r>
    </w:p>
    <w:p>
      <w:pPr>
        <w:pStyle w:val="Standard"/>
        <w:rPr/>
      </w:pPr>
      <w:r>
        <w:rPr>
          <w:sz w:val="24"/>
        </w:rPr>
        <w:t>УРОВ - устройство резервирования при отказе выключателя</w:t>
      </w:r>
    </w:p>
    <w:p>
      <w:pPr>
        <w:pStyle w:val="Standard"/>
        <w:rPr/>
      </w:pPr>
      <w:r>
        <w:rPr>
          <w:sz w:val="24"/>
        </w:rPr>
        <w:t>УСПД - устройств сбора и передачи данных</w:t>
      </w:r>
    </w:p>
    <w:p>
      <w:pPr>
        <w:pStyle w:val="Standard"/>
        <w:rPr/>
      </w:pPr>
      <w:r>
        <w:rPr/>
      </w:r>
    </w:p>
    <w:p>
      <w:pPr>
        <w:pStyle w:val="Standard"/>
        <w:rPr/>
      </w:pPr>
      <w:r>
        <w:rPr>
          <w:sz w:val="24"/>
        </w:rPr>
        <w:t>Ц</w:t>
      </w:r>
    </w:p>
    <w:p>
      <w:pPr>
        <w:pStyle w:val="Standard"/>
        <w:rPr/>
      </w:pPr>
      <w:r>
        <w:rPr>
          <w:sz w:val="24"/>
        </w:rPr>
        <w:t>ЦП - центр питания (понижающая подстанция)</w:t>
      </w:r>
    </w:p>
    <w:p>
      <w:pPr>
        <w:pStyle w:val="Standard"/>
        <w:rPr/>
      </w:pPr>
      <w:r>
        <w:rPr/>
      </w:r>
    </w:p>
    <w:p>
      <w:pPr>
        <w:pStyle w:val="Standard"/>
        <w:rPr/>
      </w:pPr>
      <w:r>
        <w:rPr>
          <w:sz w:val="24"/>
        </w:rPr>
        <w:t>Щ</w:t>
      </w:r>
    </w:p>
    <w:p>
      <w:pPr>
        <w:pStyle w:val="Standard"/>
        <w:rPr/>
      </w:pPr>
      <w:r>
        <w:rPr>
          <w:sz w:val="24"/>
        </w:rPr>
        <w:t>ЩР щит распределительный</w:t>
      </w:r>
    </w:p>
    <w:p>
      <w:pPr>
        <w:pStyle w:val="Standard"/>
        <w:rPr/>
      </w:pPr>
      <w:r>
        <w:rPr>
          <w:sz w:val="24"/>
        </w:rPr>
        <w:t xml:space="preserve">ЩПТ - щит постоянного тока </w:t>
      </w:r>
    </w:p>
    <w:p>
      <w:pPr>
        <w:pStyle w:val="Standard"/>
        <w:rPr/>
      </w:pPr>
      <w:r>
        <w:rPr>
          <w:sz w:val="24"/>
        </w:rPr>
        <w:t xml:space="preserve">ЩСН - щит собственных нужд </w:t>
      </w:r>
    </w:p>
    <w:p>
      <w:pPr>
        <w:pStyle w:val="Standard"/>
        <w:rPr/>
      </w:pPr>
      <w:r>
        <w:rPr/>
      </w:r>
    </w:p>
    <w:p>
      <w:pPr>
        <w:pStyle w:val="Standard"/>
        <w:rPr/>
      </w:pPr>
      <w:r>
        <w:rPr>
          <w:sz w:val="24"/>
        </w:rPr>
        <w:t>Э</w:t>
      </w:r>
    </w:p>
    <w:p>
      <w:pPr>
        <w:pStyle w:val="Standard"/>
        <w:rPr/>
      </w:pPr>
      <w:r>
        <w:rPr>
          <w:sz w:val="24"/>
        </w:rPr>
        <w:t>ЭД - эксплуатационная документация</w:t>
      </w:r>
    </w:p>
    <w:p>
      <w:pPr>
        <w:pStyle w:val="Standard"/>
        <w:rPr/>
      </w:pPr>
      <w:r>
        <w:rPr>
          <w:sz w:val="24"/>
        </w:rPr>
        <w:t xml:space="preserve">ЭМС - электромагнитная совместимость </w:t>
      </w:r>
    </w:p>
    <w:p>
      <w:pPr>
        <w:pStyle w:val="Standard"/>
        <w:rPr/>
      </w:pPr>
      <w:r>
        <w:rPr>
          <w:sz w:val="24"/>
        </w:rPr>
        <w:t>ЭСК - электросетевой комплекс</w:t>
      </w:r>
    </w:p>
    <w:p>
      <w:pPr>
        <w:pStyle w:val="Standard"/>
        <w:rPr/>
      </w:pPr>
      <w:r>
        <w:rPr/>
      </w:r>
    </w:p>
    <w:p>
      <w:pPr>
        <w:pStyle w:val="Standard"/>
        <w:rPr/>
      </w:pPr>
      <w:r>
        <w:rPr/>
      </w:r>
    </w:p>
    <w:p>
      <w:pPr>
        <w:pStyle w:val="Standard"/>
        <w:rPr/>
      </w:pPr>
      <w:r>
        <w:rPr/>
      </w:r>
    </w:p>
    <w:p>
      <w:pPr>
        <w:pStyle w:val="Standard"/>
        <w:rPr/>
      </w:pPr>
      <w:r>
        <w:rPr/>
      </w:r>
    </w:p>
    <w:p>
      <w:pPr>
        <w:pStyle w:val="Standard"/>
        <w:rPr/>
      </w:pPr>
      <w:r>
        <w:rPr/>
      </w:r>
    </w:p>
    <w:p>
      <w:pPr>
        <w:pStyle w:val="Standard"/>
        <w:rPr/>
      </w:pPr>
      <w:r>
        <w:rPr/>
      </w:r>
    </w:p>
    <w:p>
      <w:pPr>
        <w:pStyle w:val="Standard"/>
        <w:rPr/>
      </w:pPr>
      <w:r>
        <w:rPr/>
      </w:r>
    </w:p>
    <w:p>
      <w:pPr>
        <w:pStyle w:val="41"/>
        <w:numPr>
          <w:ilvl w:val="1"/>
          <w:numId w:val="1"/>
        </w:numPr>
        <w:ind w:left="567" w:hanging="562"/>
        <w:rPr/>
      </w:pPr>
      <w:bookmarkStart w:id="6" w:name="__RefHeading___Toc2525_3171453754"/>
      <w:bookmarkStart w:id="7" w:name="_Toc54646397"/>
      <w:bookmarkStart w:id="8" w:name="_Toc46743506"/>
      <w:bookmarkEnd w:id="6"/>
      <w:r>
        <w:rPr>
          <w:rFonts w:eastAsia="Times New Roman"/>
        </w:rPr>
        <w:t>Наименование закупаемой продукции</w:t>
      </w:r>
      <w:bookmarkEnd w:id="7"/>
      <w:bookmarkEnd w:id="8"/>
    </w:p>
    <w:p>
      <w:pPr>
        <w:pStyle w:val="Standard"/>
        <w:tabs>
          <w:tab w:val="clear" w:pos="709"/>
          <w:tab w:val="left" w:pos="566" w:leader="none"/>
        </w:tabs>
        <w:spacing w:before="120" w:after="120"/>
        <w:rPr>
          <w:i/>
          <w:i/>
        </w:rPr>
      </w:pPr>
      <w:r>
        <w:rPr>
          <w:rFonts w:eastAsia="Times New Roman"/>
          <w:i/>
          <w:sz w:val="24"/>
        </w:rPr>
        <w:t>ОКПД2 42.22.12.121. Выполнение проектно-изыскательских работ</w:t>
      </w:r>
      <w:r>
        <w:rPr>
          <w:rFonts w:eastAsia="Times New Roman"/>
          <w:i/>
          <w:sz w:val="28"/>
        </w:rPr>
        <w:t xml:space="preserve"> </w:t>
      </w:r>
      <w:r>
        <w:rPr>
          <w:rFonts w:eastAsia="Times New Roman"/>
          <w:i/>
          <w:sz w:val="24"/>
        </w:rPr>
        <w:t xml:space="preserve">по модернизации                     РЗА 110 кВ на ПС 110 кВ Давыдовка, ПС 110 кВ Промышленная, ПС 110 кВ УКФ,                            ПС 110 кВ </w:t>
      </w:r>
      <w:bookmarkStart w:id="9" w:name="_GoBack"/>
      <w:bookmarkEnd w:id="9"/>
      <w:r>
        <w:rPr>
          <w:rFonts w:eastAsia="Times New Roman"/>
          <w:i/>
          <w:sz w:val="24"/>
        </w:rPr>
        <w:t>Междуречье на территории филиала «Приморские электрические сети» в рамках инвестиционных проектов (М_25-ПЭС-1407; М_25-ПЭС-1406, N_25-ПЭС-5040, N_25-ПЭС-5042).</w:t>
      </w:r>
    </w:p>
    <w:p>
      <w:pPr>
        <w:pStyle w:val="41"/>
        <w:numPr>
          <w:ilvl w:val="1"/>
          <w:numId w:val="1"/>
        </w:numPr>
        <w:ind w:left="567" w:hanging="562"/>
        <w:rPr/>
      </w:pPr>
      <w:bookmarkStart w:id="10" w:name="__RefHeading___Toc2527_3171453754"/>
      <w:bookmarkStart w:id="11" w:name="_Toc54646398"/>
      <w:bookmarkStart w:id="12" w:name="_Toc46743507"/>
      <w:bookmarkEnd w:id="10"/>
      <w:r>
        <w:rPr>
          <w:rFonts w:eastAsia="Times New Roman"/>
        </w:rPr>
        <w:t xml:space="preserve">Цель </w:t>
      </w:r>
      <w:bookmarkEnd w:id="12"/>
      <w:r>
        <w:rPr>
          <w:rFonts w:eastAsia="Times New Roman"/>
        </w:rPr>
        <w:t>выполнения работ</w:t>
      </w:r>
      <w:bookmarkEnd w:id="11"/>
    </w:p>
    <w:p>
      <w:pPr>
        <w:pStyle w:val="Standard"/>
        <w:rPr>
          <w:i/>
          <w:i/>
        </w:rPr>
      </w:pPr>
      <w:r>
        <w:rPr>
          <w:rFonts w:eastAsia="Times New Roman"/>
          <w:i/>
          <w:sz w:val="24"/>
        </w:rPr>
        <w:t>1.3.1. Выполнение проектно-изыскательских работ по модернизации РЗА 110 кВ на                       ПС 110 кВ Давыдовка, ПС 110 кВ Промышленная, ПС 110 кВ УКФ, ПС 110 кВ Междуречье на территории филиала «Приморские электрические сети» в рамках инвестиционных проектов (М_25-ПЭС-1407; М_25-ПЭС-1406, N_25-ПЭС-5040, N_25-ПЭС-5042).</w:t>
      </w:r>
    </w:p>
    <w:p>
      <w:pPr>
        <w:pStyle w:val="41"/>
        <w:numPr>
          <w:ilvl w:val="1"/>
          <w:numId w:val="1"/>
        </w:numPr>
        <w:ind w:left="567" w:hanging="562"/>
        <w:rPr/>
      </w:pPr>
      <w:bookmarkStart w:id="13" w:name="__RefHeading___Toc2529_3171453754"/>
      <w:bookmarkStart w:id="14" w:name="_Toc46743508"/>
      <w:bookmarkStart w:id="15" w:name="_Toc54646399"/>
      <w:bookmarkEnd w:id="13"/>
      <w:r>
        <w:rPr>
          <w:rFonts w:eastAsia="Times New Roman"/>
        </w:rPr>
        <w:t>Существующее положение</w:t>
      </w:r>
      <w:bookmarkEnd w:id="14"/>
      <w:bookmarkEnd w:id="15"/>
    </w:p>
    <w:p>
      <w:pPr>
        <w:pStyle w:val="Standard"/>
        <w:tabs>
          <w:tab w:val="clear" w:pos="709"/>
          <w:tab w:val="left" w:pos="566" w:leader="none"/>
        </w:tabs>
        <w:rPr>
          <w:i/>
          <w:i/>
        </w:rPr>
      </w:pPr>
      <w:r>
        <w:rPr>
          <w:rFonts w:eastAsia="Times New Roman"/>
          <w:i/>
          <w:sz w:val="24"/>
        </w:rPr>
        <w:t>1.4.1.  Выполнение проектно-изыскательских работ по модернизации РЗА 110 кВ на                    ПС 110 кВ Давыдовка, ПС 110 кВ Промышленная, ПС 110 кВ УКФ, ПС 110 кВ Междуречье на территории филиала «Приморские электрические сети» в рамках инвестиционных проектов (М_25-ПЭС-1407; М_25-ПЭС-1406, N_25-ПЭС- 5040, N_25-ПЭС-5042).</w:t>
      </w:r>
      <w:bookmarkStart w:id="16" w:name="_Toc54646400"/>
    </w:p>
    <w:p>
      <w:pPr>
        <w:pStyle w:val="115"/>
        <w:ind w:left="0" w:hanging="0"/>
        <w:jc w:val="right"/>
        <w:rPr/>
      </w:pPr>
      <w:bookmarkStart w:id="17" w:name="__RefHeading___Toc2531_3171453754"/>
      <w:bookmarkEnd w:id="17"/>
      <w:r>
        <w:rPr>
          <w:rFonts w:eastAsia="Times New Roman"/>
          <w:sz w:val="24"/>
        </w:rPr>
        <w:t>Таблица 1. Перечень объектов заказчика</w:t>
      </w:r>
      <w:bookmarkEnd w:id="16"/>
    </w:p>
    <w:tbl>
      <w:tblPr>
        <w:tblW w:w="10176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 w:noHBand="0" w:noVBand="1" w:firstColumn="1" w:lastRow="0" w:lastColumn="0" w:firstRow="1"/>
      </w:tblPr>
      <w:tblGrid>
        <w:gridCol w:w="1300"/>
        <w:gridCol w:w="4438"/>
        <w:gridCol w:w="4438"/>
      </w:tblGrid>
      <w:tr>
        <w:trPr>
          <w:trHeight w:val="53" w:hRule="atLeast"/>
        </w:trPr>
        <w:tc>
          <w:tcPr>
            <w:tcW w:w="1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andard"/>
              <w:widowControl w:val="false"/>
              <w:spacing w:before="60" w:after="0"/>
              <w:rPr/>
            </w:pPr>
            <w:r>
              <w:rPr>
                <w:rFonts w:eastAsia="Times New Roman"/>
                <w:sz w:val="24"/>
              </w:rPr>
              <w:t>№</w:t>
            </w:r>
          </w:p>
        </w:tc>
        <w:tc>
          <w:tcPr>
            <w:tcW w:w="443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andard"/>
              <w:widowControl w:val="false"/>
              <w:spacing w:before="60" w:after="0"/>
              <w:jc w:val="center"/>
              <w:rPr/>
            </w:pPr>
            <w:r>
              <w:rPr>
                <w:rFonts w:eastAsia="Times New Roman"/>
                <w:sz w:val="24"/>
              </w:rPr>
              <w:t>Наименование объекта</w:t>
            </w:r>
          </w:p>
        </w:tc>
        <w:tc>
          <w:tcPr>
            <w:tcW w:w="443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andard"/>
              <w:widowControl w:val="false"/>
              <w:spacing w:before="60" w:after="0"/>
              <w:jc w:val="center"/>
              <w:rPr/>
            </w:pPr>
            <w:r>
              <w:rPr>
                <w:rFonts w:eastAsia="Times New Roman"/>
                <w:sz w:val="24"/>
              </w:rPr>
              <w:t>Расположение объекта</w:t>
            </w:r>
          </w:p>
        </w:tc>
      </w:tr>
      <w:tr>
        <w:trPr>
          <w:trHeight w:val="109" w:hRule="atLeast"/>
        </w:trPr>
        <w:tc>
          <w:tcPr>
            <w:tcW w:w="13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andard"/>
              <w:widowControl w:val="false"/>
              <w:spacing w:before="60" w:after="0"/>
              <w:rPr/>
            </w:pPr>
            <w:r>
              <w:rPr>
                <w:rFonts w:eastAsia="Times New Roman"/>
                <w:sz w:val="24"/>
              </w:rPr>
              <w:t>п/п</w:t>
            </w:r>
          </w:p>
        </w:tc>
        <w:tc>
          <w:tcPr>
            <w:tcW w:w="4438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141"/>
              <w:widowControl w:val="false"/>
              <w:rPr/>
            </w:pPr>
            <w:r>
              <w:rPr/>
            </w:r>
          </w:p>
        </w:tc>
        <w:tc>
          <w:tcPr>
            <w:tcW w:w="4438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141"/>
              <w:widowControl w:val="false"/>
              <w:rPr/>
            </w:pPr>
            <w:r>
              <w:rPr/>
            </w:r>
          </w:p>
        </w:tc>
      </w:tr>
      <w:tr>
        <w:trPr>
          <w:trHeight w:val="53" w:hRule="atLeast"/>
        </w:trPr>
        <w:tc>
          <w:tcPr>
            <w:tcW w:w="13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andard"/>
              <w:widowControl w:val="false"/>
              <w:spacing w:before="60" w:after="0"/>
              <w:jc w:val="center"/>
              <w:rPr>
                <w:b/>
                <w:b/>
              </w:rPr>
            </w:pPr>
            <w:r>
              <w:rPr>
                <w:rFonts w:eastAsia="Times New Roman"/>
                <w:b/>
                <w:sz w:val="24"/>
              </w:rPr>
              <w:t>1</w:t>
            </w:r>
          </w:p>
        </w:tc>
        <w:tc>
          <w:tcPr>
            <w:tcW w:w="4438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andard"/>
              <w:widowControl w:val="false"/>
              <w:spacing w:before="60" w:after="0"/>
              <w:jc w:val="center"/>
              <w:rPr>
                <w:b/>
                <w:b/>
              </w:rPr>
            </w:pPr>
            <w:r>
              <w:rPr>
                <w:rFonts w:eastAsia="Times New Roman"/>
                <w:b/>
                <w:sz w:val="24"/>
              </w:rPr>
              <w:t>2</w:t>
            </w:r>
          </w:p>
        </w:tc>
        <w:tc>
          <w:tcPr>
            <w:tcW w:w="4438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andard"/>
              <w:widowControl w:val="false"/>
              <w:spacing w:before="60" w:after="0"/>
              <w:jc w:val="center"/>
              <w:rPr>
                <w:b/>
                <w:b/>
              </w:rPr>
            </w:pPr>
            <w:r>
              <w:rPr>
                <w:rFonts w:eastAsia="Times New Roman"/>
                <w:b/>
                <w:sz w:val="24"/>
              </w:rPr>
              <w:t>3</w:t>
            </w:r>
          </w:p>
        </w:tc>
      </w:tr>
      <w:tr>
        <w:trPr>
          <w:trHeight w:val="162" w:hRule="atLeast"/>
        </w:trPr>
        <w:tc>
          <w:tcPr>
            <w:tcW w:w="13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andard"/>
              <w:widowControl w:val="false"/>
              <w:spacing w:before="60" w:after="0"/>
              <w:jc w:val="center"/>
              <w:rPr/>
            </w:pPr>
            <w:r>
              <w:rPr>
                <w:rFonts w:eastAsia="Times New Roman"/>
                <w:sz w:val="24"/>
              </w:rPr>
              <w:t>1</w:t>
            </w:r>
          </w:p>
        </w:tc>
        <w:tc>
          <w:tcPr>
            <w:tcW w:w="4438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andard"/>
              <w:widowControl w:val="false"/>
              <w:spacing w:before="60" w:after="0"/>
              <w:rPr/>
            </w:pPr>
            <w:r>
              <w:rPr>
                <w:rFonts w:eastAsia="Times New Roman"/>
                <w:sz w:val="24"/>
              </w:rPr>
              <w:t>ПС 110 кВ Давыдовка</w:t>
            </w:r>
          </w:p>
        </w:tc>
        <w:tc>
          <w:tcPr>
            <w:tcW w:w="4438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andard"/>
              <w:widowControl w:val="false"/>
              <w:spacing w:before="60" w:after="0"/>
              <w:rPr/>
            </w:pPr>
            <w:r>
              <w:rPr>
                <w:rFonts w:eastAsia="Times New Roman"/>
                <w:sz w:val="24"/>
              </w:rPr>
              <w:t>Надеждинский район, пос. Тавричанка, РВС</w:t>
            </w:r>
          </w:p>
        </w:tc>
      </w:tr>
      <w:tr>
        <w:trPr>
          <w:trHeight w:val="53" w:hRule="atLeast"/>
        </w:trPr>
        <w:tc>
          <w:tcPr>
            <w:tcW w:w="13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andard"/>
              <w:widowControl w:val="false"/>
              <w:spacing w:before="60" w:after="0"/>
              <w:jc w:val="center"/>
              <w:rPr/>
            </w:pPr>
            <w:r>
              <w:rPr>
                <w:rFonts w:eastAsia="Times New Roman"/>
                <w:sz w:val="24"/>
              </w:rPr>
              <w:t>2</w:t>
            </w:r>
          </w:p>
        </w:tc>
        <w:tc>
          <w:tcPr>
            <w:tcW w:w="4438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andard"/>
              <w:widowControl w:val="false"/>
              <w:spacing w:before="60" w:after="0"/>
              <w:rPr/>
            </w:pPr>
            <w:r>
              <w:rPr>
                <w:rFonts w:eastAsia="Times New Roman"/>
                <w:sz w:val="24"/>
              </w:rPr>
              <w:t>ПС 110 кВ Промышленная</w:t>
            </w:r>
          </w:p>
        </w:tc>
        <w:tc>
          <w:tcPr>
            <w:tcW w:w="4438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andard"/>
              <w:widowControl w:val="false"/>
              <w:spacing w:before="60" w:after="0"/>
              <w:rPr/>
            </w:pPr>
            <w:r>
              <w:rPr>
                <w:rFonts w:eastAsia="Times New Roman"/>
                <w:sz w:val="24"/>
              </w:rPr>
              <w:t>г. Уссурийск, ул. Коммунальная, 5Г</w:t>
            </w:r>
          </w:p>
        </w:tc>
      </w:tr>
      <w:tr>
        <w:trPr>
          <w:trHeight w:val="162" w:hRule="atLeast"/>
        </w:trPr>
        <w:tc>
          <w:tcPr>
            <w:tcW w:w="13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andard"/>
              <w:widowControl w:val="false"/>
              <w:spacing w:before="60" w:after="0"/>
              <w:jc w:val="center"/>
              <w:rPr/>
            </w:pPr>
            <w:r>
              <w:rPr>
                <w:rFonts w:eastAsia="Times New Roman"/>
                <w:sz w:val="24"/>
              </w:rPr>
              <w:t>3</w:t>
            </w:r>
          </w:p>
        </w:tc>
        <w:tc>
          <w:tcPr>
            <w:tcW w:w="4438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andard"/>
              <w:widowControl w:val="false"/>
              <w:spacing w:before="60" w:after="0"/>
              <w:rPr/>
            </w:pPr>
            <w:r>
              <w:rPr>
                <w:rFonts w:eastAsia="Times New Roman"/>
                <w:sz w:val="24"/>
              </w:rPr>
              <w:t>ПС 110 кВ УКФ</w:t>
            </w:r>
          </w:p>
        </w:tc>
        <w:tc>
          <w:tcPr>
            <w:tcW w:w="4438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andard"/>
              <w:widowControl w:val="false"/>
              <w:spacing w:before="60" w:after="0"/>
              <w:rPr/>
            </w:pPr>
            <w:r>
              <w:rPr>
                <w:rFonts w:eastAsia="Times New Roman"/>
                <w:sz w:val="24"/>
              </w:rPr>
              <w:t>г. Уссурийск</w:t>
            </w:r>
          </w:p>
        </w:tc>
      </w:tr>
      <w:tr>
        <w:trPr>
          <w:trHeight w:val="162" w:hRule="atLeast"/>
        </w:trPr>
        <w:tc>
          <w:tcPr>
            <w:tcW w:w="13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andard"/>
              <w:widowControl w:val="false"/>
              <w:spacing w:before="60" w:after="0"/>
              <w:jc w:val="center"/>
              <w:rPr/>
            </w:pPr>
            <w:r>
              <w:rPr>
                <w:rFonts w:eastAsia="Times New Roman"/>
                <w:sz w:val="24"/>
              </w:rPr>
              <w:t>4</w:t>
            </w:r>
          </w:p>
        </w:tc>
        <w:tc>
          <w:tcPr>
            <w:tcW w:w="4438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andard"/>
              <w:widowControl w:val="false"/>
              <w:spacing w:before="60" w:after="0"/>
              <w:rPr/>
            </w:pPr>
            <w:r>
              <w:rPr>
                <w:rFonts w:eastAsia="Times New Roman"/>
                <w:sz w:val="24"/>
              </w:rPr>
              <w:t>ПС 110 кВ Междуречье</w:t>
            </w:r>
          </w:p>
        </w:tc>
        <w:tc>
          <w:tcPr>
            <w:tcW w:w="4438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andard"/>
              <w:widowControl w:val="false"/>
              <w:spacing w:before="60" w:after="0"/>
              <w:rPr/>
            </w:pPr>
            <w:r>
              <w:rPr>
                <w:rFonts w:eastAsia="Times New Roman"/>
                <w:sz w:val="24"/>
              </w:rPr>
              <w:t>г. Уссурийск, ул. Бородинская,27</w:t>
            </w:r>
          </w:p>
        </w:tc>
      </w:tr>
      <w:tr>
        <w:trPr>
          <w:trHeight w:val="162" w:hRule="atLeast"/>
        </w:trPr>
        <w:tc>
          <w:tcPr>
            <w:tcW w:w="13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andard"/>
              <w:widowControl w:val="false"/>
              <w:spacing w:before="60" w:after="0"/>
              <w:jc w:val="center"/>
              <w:rPr/>
            </w:pPr>
            <w:r>
              <w:rPr>
                <w:rFonts w:eastAsia="Times New Roman"/>
                <w:sz w:val="24"/>
                <w:lang w:val="en-US"/>
              </w:rPr>
              <w:t>5</w:t>
            </w:r>
          </w:p>
        </w:tc>
        <w:tc>
          <w:tcPr>
            <w:tcW w:w="4438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andard"/>
              <w:widowControl w:val="false"/>
              <w:spacing w:before="60" w:after="0"/>
              <w:rPr/>
            </w:pPr>
            <w:r>
              <w:rPr>
                <w:rFonts w:eastAsia="Times New Roman"/>
                <w:sz w:val="24"/>
              </w:rPr>
              <w:t>ПС 110 кВ Славянка</w:t>
            </w:r>
          </w:p>
        </w:tc>
        <w:tc>
          <w:tcPr>
            <w:tcW w:w="4438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andard"/>
              <w:widowControl w:val="false"/>
              <w:spacing w:before="60" w:after="0"/>
              <w:rPr/>
            </w:pPr>
            <w:r>
              <w:rPr>
                <w:rFonts w:eastAsia="Times New Roman"/>
                <w:sz w:val="24"/>
              </w:rPr>
              <w:t>пгт. Славянка</w:t>
            </w:r>
          </w:p>
        </w:tc>
      </w:tr>
      <w:tr>
        <w:trPr>
          <w:trHeight w:val="162" w:hRule="atLeast"/>
        </w:trPr>
        <w:tc>
          <w:tcPr>
            <w:tcW w:w="13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andard"/>
              <w:widowControl w:val="false"/>
              <w:spacing w:before="60" w:after="0"/>
              <w:jc w:val="center"/>
              <w:rPr/>
            </w:pPr>
            <w:r>
              <w:rPr>
                <w:rFonts w:eastAsia="Times New Roman"/>
                <w:sz w:val="24"/>
              </w:rPr>
              <w:t xml:space="preserve">6 </w:t>
            </w:r>
          </w:p>
        </w:tc>
        <w:tc>
          <w:tcPr>
            <w:tcW w:w="4438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andard"/>
              <w:widowControl w:val="false"/>
              <w:spacing w:before="60" w:after="0"/>
              <w:rPr/>
            </w:pPr>
            <w:r>
              <w:rPr>
                <w:rFonts w:eastAsia="Times New Roman"/>
                <w:sz w:val="24"/>
              </w:rPr>
              <w:t>ПС 110 кВ Пушкинская</w:t>
            </w:r>
          </w:p>
        </w:tc>
        <w:tc>
          <w:tcPr>
            <w:tcW w:w="4438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andard"/>
              <w:widowControl w:val="false"/>
              <w:spacing w:before="60" w:after="0"/>
              <w:rPr/>
            </w:pPr>
            <w:r>
              <w:rPr>
                <w:rFonts w:eastAsia="Times New Roman"/>
                <w:sz w:val="24"/>
              </w:rPr>
              <w:t>Надеждинский район</w:t>
            </w:r>
          </w:p>
        </w:tc>
      </w:tr>
      <w:tr>
        <w:trPr>
          <w:trHeight w:val="162" w:hRule="atLeast"/>
        </w:trPr>
        <w:tc>
          <w:tcPr>
            <w:tcW w:w="13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andard"/>
              <w:widowControl w:val="false"/>
              <w:spacing w:before="60" w:after="0"/>
              <w:jc w:val="center"/>
              <w:rPr/>
            </w:pPr>
            <w:r>
              <w:rPr>
                <w:rFonts w:eastAsia="Times New Roman"/>
                <w:sz w:val="24"/>
              </w:rPr>
              <w:t>7</w:t>
            </w:r>
          </w:p>
        </w:tc>
        <w:tc>
          <w:tcPr>
            <w:tcW w:w="4438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andard"/>
              <w:widowControl w:val="false"/>
              <w:spacing w:before="60" w:after="0"/>
              <w:rPr/>
            </w:pPr>
            <w:r>
              <w:rPr>
                <w:rFonts w:eastAsia="Times New Roman"/>
                <w:sz w:val="24"/>
              </w:rPr>
              <w:t>ПС 110 кВ Полевая</w:t>
            </w:r>
          </w:p>
        </w:tc>
        <w:tc>
          <w:tcPr>
            <w:tcW w:w="4438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andard"/>
              <w:widowControl w:val="false"/>
              <w:spacing w:before="60" w:after="0"/>
              <w:rPr/>
            </w:pPr>
            <w:r>
              <w:rPr>
                <w:rFonts w:eastAsia="Times New Roman"/>
                <w:sz w:val="24"/>
              </w:rPr>
              <w:t>Октябрьский район, с. Струговка</w:t>
            </w:r>
          </w:p>
        </w:tc>
      </w:tr>
    </w:tbl>
    <w:p>
      <w:pPr>
        <w:pStyle w:val="Standard"/>
        <w:rPr/>
      </w:pPr>
      <w:r>
        <w:rPr/>
      </w:r>
    </w:p>
    <w:p>
      <w:pPr>
        <w:pStyle w:val="41"/>
        <w:numPr>
          <w:ilvl w:val="1"/>
          <w:numId w:val="1"/>
        </w:numPr>
        <w:ind w:left="0" w:hanging="0"/>
        <w:rPr/>
      </w:pPr>
      <w:bookmarkStart w:id="18" w:name="__RefHeading___Toc2533_3171453754"/>
      <w:bookmarkStart w:id="19" w:name="_Toc46743509"/>
      <w:bookmarkStart w:id="20" w:name="_Toc54646401"/>
      <w:bookmarkStart w:id="21" w:name="_Hlk49857604"/>
      <w:bookmarkEnd w:id="18"/>
      <w:r>
        <w:rPr>
          <w:rFonts w:eastAsia="Times New Roman"/>
        </w:rPr>
        <w:t xml:space="preserve">Информация в отношении исполнения договора, </w:t>
      </w:r>
      <w:bookmarkStart w:id="22" w:name="_Hlk46492347"/>
      <w:r>
        <w:rPr>
          <w:rFonts w:eastAsia="Times New Roman"/>
        </w:rPr>
        <w:t xml:space="preserve">которая должна быть учтена при подготовке заявки </w:t>
      </w:r>
      <w:bookmarkEnd w:id="22"/>
      <w:r>
        <w:rPr>
          <w:rFonts w:eastAsia="Times New Roman"/>
        </w:rPr>
        <w:t>(в том числе перечень ресурсов, услуг и документов, предоставляемых заказчиком на этапе исполнения договора)</w:t>
      </w:r>
      <w:bookmarkEnd w:id="19"/>
      <w:bookmarkEnd w:id="20"/>
      <w:bookmarkEnd w:id="21"/>
      <w:r>
        <w:rPr>
          <w:rFonts w:eastAsia="Times New Roman"/>
        </w:rPr>
        <w:t>:</w:t>
      </w:r>
    </w:p>
    <w:p>
      <w:pPr>
        <w:pStyle w:val="Standard"/>
        <w:spacing w:before="0" w:after="0"/>
        <w:ind w:firstLine="720"/>
        <w:jc w:val="right"/>
        <w:rPr>
          <w:b/>
          <w:b/>
        </w:rPr>
      </w:pPr>
      <w:r>
        <w:rPr>
          <w:rFonts w:eastAsia="Times New Roman"/>
          <w:b/>
          <w:sz w:val="24"/>
        </w:rPr>
        <w:t>Таблица 2. Основные характеристики проектируемого объекта</w:t>
      </w:r>
      <w:bookmarkStart w:id="23" w:name="_Hlk48209761"/>
    </w:p>
    <w:tbl>
      <w:tblPr>
        <w:tblW w:w="10152" w:type="dxa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 w:noHBand="0" w:noVBand="1" w:firstColumn="1" w:lastRow="0" w:lastColumn="0" w:firstRow="1"/>
      </w:tblPr>
      <w:tblGrid>
        <w:gridCol w:w="4059"/>
        <w:gridCol w:w="6092"/>
      </w:tblGrid>
      <w:tr>
        <w:trPr>
          <w:trHeight w:val="152" w:hRule="atLeast"/>
        </w:trPr>
        <w:tc>
          <w:tcPr>
            <w:tcW w:w="40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andard"/>
              <w:widowControl w:val="false"/>
              <w:spacing w:before="0" w:after="0"/>
              <w:jc w:val="center"/>
              <w:rPr/>
            </w:pPr>
            <w:r>
              <w:rPr>
                <w:rFonts w:eastAsia="Times New Roman"/>
                <w:sz w:val="24"/>
              </w:rPr>
              <w:t>Объект</w:t>
            </w:r>
          </w:p>
        </w:tc>
        <w:tc>
          <w:tcPr>
            <w:tcW w:w="6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andard"/>
              <w:widowControl w:val="false"/>
              <w:spacing w:before="0" w:after="0"/>
              <w:jc w:val="center"/>
              <w:rPr/>
            </w:pPr>
            <w:r>
              <w:rPr>
                <w:rFonts w:eastAsia="Times New Roman"/>
                <w:sz w:val="24"/>
              </w:rPr>
              <w:t>Оборудование, подлежащее модернизации  РЗА</w:t>
            </w:r>
          </w:p>
        </w:tc>
      </w:tr>
      <w:tr>
        <w:trPr>
          <w:trHeight w:val="152" w:hRule="atLeast"/>
        </w:trPr>
        <w:tc>
          <w:tcPr>
            <w:tcW w:w="40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andard"/>
              <w:widowControl w:val="false"/>
              <w:spacing w:before="0" w:after="0"/>
              <w:rPr/>
            </w:pPr>
            <w:r>
              <w:rPr>
                <w:rFonts w:eastAsia="Times New Roman"/>
                <w:sz w:val="24"/>
              </w:rPr>
              <w:t>ПС 110 кВ Давыдовка</w:t>
            </w:r>
          </w:p>
        </w:tc>
        <w:tc>
          <w:tcPr>
            <w:tcW w:w="6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andard"/>
              <w:widowControl w:val="false"/>
              <w:spacing w:before="0" w:after="0"/>
              <w:rPr/>
            </w:pPr>
            <w:r>
              <w:rPr>
                <w:rFonts w:eastAsia="Times New Roman"/>
                <w:sz w:val="24"/>
              </w:rPr>
              <w:t xml:space="preserve">ЛЭП 110 кВ — 4 линии (ВЛ 110 кВ Давыдовка — Барабаш — Славянка №1,2, ВЛ 110 кВ Пушкинская — Давыдовка, ВЛ 110 кВ Западная — Давыдовка), СВ 110. </w:t>
            </w:r>
          </w:p>
        </w:tc>
      </w:tr>
      <w:tr>
        <w:trPr>
          <w:trHeight w:val="152" w:hRule="atLeast"/>
        </w:trPr>
        <w:tc>
          <w:tcPr>
            <w:tcW w:w="405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andard"/>
              <w:widowControl w:val="false"/>
              <w:spacing w:before="0" w:after="0"/>
              <w:rPr/>
            </w:pPr>
            <w:r>
              <w:rPr>
                <w:rFonts w:eastAsia="Times New Roman"/>
                <w:sz w:val="24"/>
              </w:rPr>
              <w:t>ПС 110 кВ Промышленная</w:t>
            </w:r>
          </w:p>
        </w:tc>
        <w:tc>
          <w:tcPr>
            <w:tcW w:w="609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andard"/>
              <w:widowControl w:val="false"/>
              <w:spacing w:before="0" w:after="0"/>
              <w:rPr/>
            </w:pPr>
            <w:r>
              <w:rPr>
                <w:rFonts w:eastAsia="Times New Roman"/>
                <w:sz w:val="24"/>
              </w:rPr>
              <w:t>ЛЭП 110 кВ — 3 линии (ВЛ 110 кВ Уссурийск-1 — Студгородок — Промышленная, ВЛ 110 кВ Уссурийск-2 — Гранит — Промышленная,  ВЛ 110 кВ Промышленная - Полевая, СОВ 110 кВ,</w:t>
            </w:r>
          </w:p>
        </w:tc>
      </w:tr>
      <w:tr>
        <w:trPr>
          <w:trHeight w:val="152" w:hRule="atLeast"/>
        </w:trPr>
        <w:tc>
          <w:tcPr>
            <w:tcW w:w="405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andard"/>
              <w:widowControl w:val="false"/>
              <w:spacing w:before="0" w:after="0"/>
              <w:rPr/>
            </w:pPr>
            <w:r>
              <w:rPr>
                <w:rFonts w:eastAsia="Times New Roman"/>
                <w:sz w:val="24"/>
              </w:rPr>
              <w:t>ПС 110 кВ УКФ</w:t>
            </w:r>
          </w:p>
        </w:tc>
        <w:tc>
          <w:tcPr>
            <w:tcW w:w="609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andard"/>
              <w:widowControl w:val="false"/>
              <w:spacing w:before="0" w:after="0"/>
              <w:rPr/>
            </w:pPr>
            <w:r>
              <w:rPr>
                <w:rFonts w:eastAsia="Times New Roman"/>
                <w:sz w:val="24"/>
              </w:rPr>
              <w:t>ЛЭП 110 кВ — 2 линии, СВ 110 кВ, трансформатор 110/10 кВ — 2 шт.</w:t>
            </w:r>
          </w:p>
        </w:tc>
      </w:tr>
      <w:tr>
        <w:trPr>
          <w:trHeight w:val="152" w:hRule="atLeast"/>
        </w:trPr>
        <w:tc>
          <w:tcPr>
            <w:tcW w:w="405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andard"/>
              <w:widowControl w:val="false"/>
              <w:spacing w:before="0" w:after="0"/>
              <w:rPr/>
            </w:pPr>
            <w:r>
              <w:rPr>
                <w:rFonts w:eastAsia="Times New Roman"/>
                <w:sz w:val="24"/>
              </w:rPr>
              <w:t>ПС 110 кВ Междуречье</w:t>
            </w:r>
          </w:p>
        </w:tc>
        <w:tc>
          <w:tcPr>
            <w:tcW w:w="609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andard"/>
              <w:widowControl w:val="false"/>
              <w:spacing w:before="0" w:after="0"/>
              <w:rPr/>
            </w:pPr>
            <w:r>
              <w:rPr>
                <w:rFonts w:eastAsia="Times New Roman"/>
                <w:sz w:val="24"/>
              </w:rPr>
              <w:t>ЛЭП 110 кВ — 2 линии, СВ 110 кВ</w:t>
            </w:r>
          </w:p>
        </w:tc>
      </w:tr>
      <w:tr>
        <w:trPr>
          <w:trHeight w:val="152" w:hRule="atLeast"/>
        </w:trPr>
        <w:tc>
          <w:tcPr>
            <w:tcW w:w="405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andard"/>
              <w:widowControl w:val="false"/>
              <w:spacing w:before="0" w:after="0"/>
              <w:rPr/>
            </w:pPr>
            <w:r>
              <w:rPr>
                <w:rFonts w:eastAsia="Times New Roman"/>
                <w:sz w:val="24"/>
              </w:rPr>
              <w:t>Основные технические требования к выполнению работ по разработке проектной документации .</w:t>
            </w:r>
          </w:p>
        </w:tc>
        <w:tc>
          <w:tcPr>
            <w:tcW w:w="609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141"/>
              <w:widowControl w:val="false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 xml:space="preserve">1. Выполнить обследование подстанций, на которых намечается установка устройств РЗА. </w:t>
            </w:r>
            <w:bookmarkStart w:id="24" w:name="undefined"/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При предпроектном обследовании определить наличие на объектах проектирования существующих ССПИ и каналов связи в направлении Филиала АО «СО ЕЭС» Приморское РДУ.</w:t>
            </w:r>
            <w:bookmarkEnd w:id="24"/>
          </w:p>
          <w:p>
            <w:pPr>
              <w:pStyle w:val="135"/>
              <w:widowControl w:val="false"/>
              <w:ind w:left="0" w:hanging="0"/>
              <w:rPr/>
            </w:pPr>
            <w:r>
              <w:rPr>
                <w:rFonts w:eastAsia="Times New Roman" w:ascii="Times New Roman" w:hAnsi="Times New Roman"/>
                <w:sz w:val="24"/>
                <w:szCs w:val="24"/>
              </w:rPr>
              <w:t xml:space="preserve">По результатам обследования предоставить заключение. </w:t>
            </w:r>
            <w:r>
              <w:rPr>
                <w:rStyle w:val="33"/>
                <w:rFonts w:eastAsia="Times New Roman" w:cs="Times New Roman" w:ascii="Times New Roman" w:hAnsi="Times New Roman"/>
                <w:sz w:val="24"/>
                <w:szCs w:val="24"/>
              </w:rPr>
              <w:t xml:space="preserve">Отчет с результатами предпроектного обследования оформить отдельным томом и согласовать с Филиалом АО «ДРСК» «Приморские электрические сети» и Филиалом АО «СО ЕЭС» Приморское РДУ </w:t>
            </w:r>
            <w:r>
              <w:rPr>
                <w:rFonts w:eastAsia="Times New Roman" w:ascii="Times New Roman" w:hAnsi="Times New Roman"/>
                <w:sz w:val="24"/>
                <w:szCs w:val="24"/>
              </w:rPr>
              <w:t>(далее –Приморское РДУ).</w:t>
            </w:r>
          </w:p>
          <w:p>
            <w:pPr>
              <w:pStyle w:val="135"/>
              <w:widowControl w:val="false"/>
              <w:ind w:left="0" w:hanging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</w:rPr>
              <w:t>2. Разработать и выдать проектную документацию в объеме, достаточном для организации закупок подрядных работ и оборудования, разработки рабочей документации в части модернизации защит ВЛ 110 кВ, СВ 110 кВ и силовых трансформаторов. Разработанные тома должны быть выполнены отдельными томами для каждого объекта, в том числе для смежных объектов.</w:t>
            </w:r>
          </w:p>
          <w:p>
            <w:pPr>
              <w:pStyle w:val="135"/>
              <w:widowControl w:val="false"/>
              <w:ind w:left="0" w:hanging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</w:rPr>
              <w:t xml:space="preserve">3. Разработать раздел </w:t>
            </w:r>
            <w:r>
              <w:rPr>
                <w:rFonts w:ascii="Times New Roman" w:hAnsi="Times New Roman"/>
                <w:sz w:val="24"/>
                <w:szCs w:val="24"/>
              </w:rPr>
              <w:t>«Расчет токов короткого замыкания».</w:t>
            </w:r>
          </w:p>
          <w:p>
            <w:pPr>
              <w:pStyle w:val="135"/>
              <w:widowControl w:val="false"/>
              <w:ind w:left="0" w:hanging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</w:rPr>
              <w:t>В составе раздела должны быть выполнены расчеты токов КЗ на шинах объектов проектирования, а также на шинах энергообъектов прилегающей электрической сети 110 кВ и выше на год ввода объекта в эксплуатацию (окончания реконструкции) и Расчетный период.</w:t>
            </w:r>
          </w:p>
          <w:p>
            <w:pPr>
              <w:pStyle w:val="135"/>
              <w:widowControl w:val="false"/>
              <w:ind w:left="0" w:hanging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</w:rPr>
              <w:t>По результатам расчетов должны быть определены требования к отключающей способности устанавливаемых выключателей (в том числе с учетом параметров восстанавливающегося напряжения на контактах выключателя), термической и динамической стойкости выключателей и иного оборудования, выполнена проверка соответствия существующего оборудования расчетным токам КЗ (в том числе оборудования кабельных систем 110 кВ и выше по термической стойкости и напряжению на экране кабеля), обеспечения требуемой погрешности измерительных трансформаторов тока по условиям надежной работы устройств РЗ и СИ и, при необходимости, разработаны рекомендации по замене оборудования на объектах проектирования и объектах прилегающей электрической сети 110 кВ и выше и/или разработаны мероприятия по ограничению токов КЗ (секционирование, применение токоограничивающих реакторов, разземление нейтрали части трансформаторов, опережающее деление сети и т.д.).</w:t>
            </w:r>
          </w:p>
          <w:p>
            <w:pPr>
              <w:pStyle w:val="135"/>
              <w:widowControl w:val="false"/>
              <w:ind w:left="0" w:hanging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</w:rPr>
              <w:t>4. Расчеты токов короткого замыкания, выполняемые в соответствии с требованиями пункта 3 настоящих технических требований, должны осуществляться с использованием перспективных расчетных моделей (далее – расчетные модели) электроэнергетической системы для расчетов установившихся электроэнергетических режимов и действующего значения основной гармоники периодической составляющей тока в начальный момент короткого замыкания в сети напряжением 110 кВ и выше, представленных Филиалом АО «СО ЕЭС» ОДУ Востока в соответствии с Порядком раскрытия цифровых информационных моделей электроэнергетических систем и предоставления системным оператором иным субъектам электроэнергетики, потребителям электрической энергии и проектным организациям перспективных расчетных моделей электроэнергетических систем или фрагментов таких моделей для целей перспективного развития электроэнергетики, утвержденным приказом Минэнерго России от 17.02.2023 № 82.</w:t>
            </w:r>
          </w:p>
          <w:p>
            <w:pPr>
              <w:pStyle w:val="135"/>
              <w:widowControl w:val="false"/>
              <w:ind w:left="0" w:hanging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</w:rPr>
              <w:t>Расчетные модели, используемые при проведении соответствующих расчетов, формируются Заказчиком либо привлеченной им проектной организацией на год ввода объекта в эксплуатацию и на Расчетный период.</w:t>
            </w:r>
          </w:p>
          <w:p>
            <w:pPr>
              <w:pStyle w:val="135"/>
              <w:widowControl w:val="false"/>
              <w:ind w:left="0" w:hanging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</w:rPr>
              <w:t>При направлении материалов с результатами расчетов установившихся электроэнергетических режимов, действующего значения основной гармоники периодической составляющей тока в начальный момент короткого замыкания в сети напряжением 110 кВ и выше на согласование в адрес Филиала АО «СО ЕЭС» Приморское РДУ и АО «ДРСК», должны быть приложены расчетные модели с учетом определенных в работе технических решений по строительству (реконструкции) объекта и технических решений по развитию электрических сетей (при первичном направлении результатов расчетов и при внесении изменений в направленные ранее расчетные модели).</w:t>
            </w:r>
          </w:p>
          <w:p>
            <w:pPr>
              <w:pStyle w:val="135"/>
              <w:widowControl w:val="false"/>
              <w:ind w:left="0" w:hanging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</w:rPr>
              <w:t>5. Разработать решения по замене устройств релейной защиты и автоматики с указанием мест их установки, в том числе для смежных объектов.</w:t>
            </w:r>
          </w:p>
          <w:p>
            <w:pPr>
              <w:pStyle w:val="135"/>
              <w:widowControl w:val="false"/>
              <w:ind w:left="0" w:hanging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</w:rPr>
              <w:t>6. В проектной документации определить состав и объем основного и дополнительного оборудования, разработать схемы привязки вновь устанавливаемого оборудования к существующим цепям РЗА, обеспечить включение вторичных цепей новых устройств РЗА в схемы существующих устройств РЗА (АУВ, ДЗШ, УРОВ), СОПТ, ЦС, РАС и силового оборудования.</w:t>
            </w:r>
          </w:p>
          <w:p>
            <w:pPr>
              <w:pStyle w:val="135"/>
              <w:widowControl w:val="false"/>
              <w:ind w:left="0" w:hanging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</w:rPr>
              <w:t>7.Технические решения по релейной защите и автоматике выполнить с использованием микропроцессорных устройств, выполнить расчет токов КЗ.</w:t>
            </w:r>
          </w:p>
          <w:p>
            <w:pPr>
              <w:pStyle w:val="141"/>
              <w:widowControl w:val="false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8. При наличии ССПИ на объектах выполнить интеграцию вновь установленных терминалов РЗА в существующую ССПИ с последующей передачей телеметрической информации в Приморское РДУ. Состав передаваемой телеметрической информации от вновь устанавливаемого оборудования и устройств, решения по её сбору согласовать с Приморским РДУ.</w:t>
            </w:r>
          </w:p>
          <w:p>
            <w:pPr>
              <w:pStyle w:val="135"/>
              <w:widowControl w:val="false"/>
              <w:ind w:left="0" w:hanging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</w:rPr>
              <w:t>9. Проектную документацию согласовать с Филиалом АО «СО ЕЭС» Приморское РДУ и собственниками объектов, технологически связанных с объектом проектирования.</w:t>
            </w:r>
          </w:p>
          <w:p>
            <w:pPr>
              <w:pStyle w:val="135"/>
              <w:widowControl w:val="false"/>
              <w:ind w:left="0" w:hanging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</w:rPr>
              <w:t>10. Все технические решения выполнить с учетом ранее реализованных, реализуемых в настоящее время титулов:</w:t>
            </w:r>
          </w:p>
          <w:p>
            <w:pPr>
              <w:pStyle w:val="135"/>
              <w:widowControl w:val="false"/>
              <w:ind w:left="0" w:hanging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</w:rPr>
              <w:t>- Реконструкция ПС 110/35/6 кВ Западная (МИРЭК);</w:t>
            </w:r>
          </w:p>
          <w:p>
            <w:pPr>
              <w:pStyle w:val="135"/>
              <w:widowControl w:val="false"/>
              <w:ind w:left="0" w:hanging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</w:rPr>
              <w:t>- Реконструкция ПС 110 кВ Междуречье с заменой защит трансформаторов;</w:t>
            </w:r>
          </w:p>
          <w:p>
            <w:pPr>
              <w:pStyle w:val="135"/>
              <w:widowControl w:val="false"/>
              <w:ind w:left="0" w:hanging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</w:rPr>
              <w:t>- Реконструкция ПС 110 кВ Уссурйиск-1 с заменой защит ВЛ 110 кВ.</w:t>
            </w:r>
          </w:p>
          <w:p>
            <w:pPr>
              <w:pStyle w:val="135"/>
              <w:widowControl w:val="false"/>
              <w:ind w:left="0" w:hanging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</w:rPr>
              <w:t>- Реконструкция ПС 220 кВ Уссурийск-2 с установкой КРУЭ 110 кВ.</w:t>
            </w:r>
          </w:p>
          <w:p>
            <w:pPr>
              <w:pStyle w:val="135"/>
              <w:widowControl w:val="false"/>
              <w:ind w:left="0" w:hanging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</w:rPr>
              <w:t>- Реконструкция ПС 110 кВ Ярославка с заменой защит ВЛ 110 кВ.</w:t>
            </w:r>
          </w:p>
          <w:p>
            <w:pPr>
              <w:pStyle w:val="135"/>
              <w:widowControl w:val="false"/>
              <w:spacing w:before="0" w:after="200"/>
              <w:ind w:left="0" w:hanging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</w:rPr>
              <w:t>- Модернизация ПС 110 кВ Промышленная с установкой шкафа защит ВЛ 110кВ  Уссурийск-1 — Студгородок — Промышленная.</w:t>
            </w:r>
          </w:p>
        </w:tc>
      </w:tr>
      <w:tr>
        <w:trPr>
          <w:trHeight w:val="152" w:hRule="atLeast"/>
        </w:trPr>
        <w:tc>
          <w:tcPr>
            <w:tcW w:w="405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andard"/>
              <w:widowControl w:val="false"/>
              <w:spacing w:before="0" w:after="0"/>
              <w:rPr/>
            </w:pPr>
            <w:r>
              <w:rPr/>
            </w:r>
          </w:p>
          <w:p>
            <w:pPr>
              <w:pStyle w:val="Standard"/>
              <w:widowControl w:val="false"/>
              <w:spacing w:before="0" w:after="0"/>
              <w:rPr/>
            </w:pPr>
            <w:r>
              <w:rPr>
                <w:rFonts w:eastAsia="Times New Roman"/>
                <w:sz w:val="24"/>
              </w:rPr>
              <w:t>Основные технические требования к выполнению работ по разработке рабочей документации.</w:t>
            </w:r>
          </w:p>
        </w:tc>
        <w:tc>
          <w:tcPr>
            <w:tcW w:w="609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135"/>
              <w:widowControl w:val="false"/>
              <w:ind w:left="0" w:hanging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</w:rPr>
              <w:t>1. Разработать рабочую документацию, обеспечивающую реализацию принятых в утвержденной проектной документации технических решений по объектам, необходимых для производства строительно-монтажных и пусконаладочных работ.</w:t>
            </w:r>
          </w:p>
          <w:p>
            <w:pPr>
              <w:pStyle w:val="135"/>
              <w:widowControl w:val="false"/>
              <w:ind w:left="0" w:hanging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</w:rPr>
              <w:t>2. Разработанные тома рабочей документации выполнить отдельными томами для каждого объекта, в том числе для смежных объектов, на которых планируется модернизация защит.</w:t>
            </w:r>
          </w:p>
          <w:p>
            <w:pPr>
              <w:pStyle w:val="135"/>
              <w:widowControl w:val="false"/>
              <w:ind w:left="0" w:hanging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</w:rPr>
              <w:t>3. Разработанную рабочую документацию от лица Заказчика согласовать с Филиалом АО «СО ЕЭС» Приморское РДУ и собственниками объектов, технологически связанных с объектом проектирования.</w:t>
            </w:r>
          </w:p>
          <w:p>
            <w:pPr>
              <w:pStyle w:val="135"/>
              <w:widowControl w:val="false"/>
              <w:ind w:left="0" w:hanging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</w:rPr>
              <w:t xml:space="preserve">4. В качестве основных защит транзитных ЛЭП 110 кВ применить МП комплекты (ДЗЛ+КСЗ) с организацией каналов связи по ВОЛС с учетом оборудования на обратных концах смежных объектов. В качестве резервных защит и АУВ ЛЭП 110 кВ, СВ 110 кВ, ОВ 110 кВ применить МП комплекты ступенчатых защит (КСЗ+АУВ). В качестве РЗА трансформаторов применить МП комплекты основных и резервных защит трансформаторов 110 кВ. Учесть оборудование, закупленное АО «ДРСК» по программе ИПР: для ПС 110 кВ Давыдовка — шкаф РЗА ЛЭП 110 кВ типа ШЭ2607 011021 — 2 шт., для ПС 110 кВ Промышленная — шкаф РЗА ЛЭП 110 кВ типа ШЭ2607 011021 — 3 шт., для ПС 110 кВ УКФ — шкаф РЗА трансформатора 110 кВ типа ШЭ2607 151 — 2 шт., все производства НПП «ЭКРА». </w:t>
            </w:r>
          </w:p>
          <w:p>
            <w:pPr>
              <w:pStyle w:val="135"/>
              <w:widowControl w:val="false"/>
              <w:ind w:left="0" w:hanging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</w:rPr>
              <w:t xml:space="preserve">5. В рабочей документации определить состав и объем основного и дополнительного оборудования, разработать схемы привязки вновь устанавливаемого оборудования к существующим цепям РЗА, обеспечить включение вторичных цепей новых устройств РЗ в схемы существующих устройств РЗА (АУВ, ДЗШ, УРОВ, СОПТ, ЦС, РАС) и силового оборудования, в том числе для смежных объектов. </w:t>
            </w:r>
          </w:p>
          <w:p>
            <w:pPr>
              <w:pStyle w:val="135"/>
              <w:widowControl w:val="false"/>
              <w:ind w:left="0" w:hanging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</w:rPr>
              <w:t>6. Шкафы новых устройств РЗА установить на ОПУ ПС 110 кВ в помещении релейных панелей. Место установки определить проектом, в том числе для смежных объектов.</w:t>
            </w:r>
          </w:p>
          <w:p>
            <w:pPr>
              <w:pStyle w:val="135"/>
              <w:widowControl w:val="false"/>
              <w:ind w:left="0" w:hanging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</w:rPr>
              <w:t>7. Разработать решения по установке систем микроклимата в помещениях, в которых будут установлены устройства РЗА.</w:t>
            </w:r>
          </w:p>
          <w:p>
            <w:pPr>
              <w:pStyle w:val="135"/>
              <w:widowControl w:val="false"/>
              <w:ind w:left="0" w:hanging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</w:rPr>
              <w:t>8. Питание токовых цепей и цепей напряжения новых устройств РЗА определить проектом согласно первичной схеме ПС и требованиям к защитам.</w:t>
            </w:r>
          </w:p>
          <w:p>
            <w:pPr>
              <w:pStyle w:val="135"/>
              <w:widowControl w:val="false"/>
              <w:ind w:left="0" w:hanging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</w:rPr>
              <w:t>9. Выполнить расчет параметров (уставок) устройств РЗ ЛЭП 110 кВ, СВ 110 кВ, ОВ 110 кВ, трансформаторов 110 кВ, в том числе для смежных объектов, с оформлением на бланках завода - изготовителя.</w:t>
            </w:r>
          </w:p>
          <w:p>
            <w:pPr>
              <w:pStyle w:val="135"/>
              <w:widowControl w:val="false"/>
              <w:ind w:left="0" w:hanging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</w:rPr>
              <w:t>10. Выполнить расчет трансформаторов тока согласно ГОСТ Р 71879-2024.</w:t>
            </w:r>
          </w:p>
          <w:p>
            <w:pPr>
              <w:pStyle w:val="135"/>
              <w:widowControl w:val="false"/>
              <w:ind w:left="0" w:hanging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</w:rPr>
              <w:t>11. При наличии ССПИ на объектах выполнить интеграцию вновь установленных терминалов РЗА в существующую ССПИ с последующей передачей телеметрической информации в Филиал АО «СО ЕЭС» Приморское РДУ. Состав передаваемой телеметрической информации от вновь устанавливаемого оборудования и устройств, решения по её сбору согласовать с Приморским РДУ.</w:t>
            </w:r>
          </w:p>
          <w:p>
            <w:pPr>
              <w:pStyle w:val="135"/>
              <w:widowControl w:val="false"/>
              <w:ind w:left="0" w:hanging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</w:rPr>
              <w:t>12. Предусмотреть установку приборов ОМП ВЛ 110 кВ.</w:t>
            </w:r>
          </w:p>
          <w:p>
            <w:pPr>
              <w:pStyle w:val="135"/>
              <w:widowControl w:val="false"/>
              <w:ind w:left="0" w:hanging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</w:rPr>
              <w:t>13. В связи с установкой оборудования РЗА на базе микропроцессорных терминалов необходимость модернизации системы оперативного тока на ПС 110 кВ УКФ, ПС 110 кВ Междуречье (выпрямленный оперативный ток 220 В) определить проектом.</w:t>
            </w:r>
          </w:p>
          <w:p>
            <w:pPr>
              <w:pStyle w:val="141"/>
              <w:widowControl w:val="false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</w:tbl>
    <w:p>
      <w:pPr>
        <w:pStyle w:val="Standard"/>
        <w:tabs>
          <w:tab w:val="clear" w:pos="709"/>
          <w:tab w:val="left" w:pos="566" w:leader="none"/>
        </w:tabs>
        <w:rPr/>
      </w:pPr>
      <w:r>
        <w:rPr>
          <w:rFonts w:eastAsia="Times New Roman"/>
          <w:sz w:val="24"/>
        </w:rPr>
        <w:t>.</w:t>
      </w:r>
    </w:p>
    <w:p>
      <w:pPr>
        <w:pStyle w:val="Standard"/>
        <w:tabs>
          <w:tab w:val="clear" w:pos="709"/>
          <w:tab w:val="left" w:pos="566" w:leader="none"/>
        </w:tabs>
        <w:ind w:firstLine="426"/>
        <w:rPr/>
      </w:pPr>
      <w:r>
        <w:rPr/>
      </w:r>
    </w:p>
    <w:p>
      <w:pPr>
        <w:pStyle w:val="41"/>
        <w:numPr>
          <w:ilvl w:val="1"/>
          <w:numId w:val="1"/>
        </w:numPr>
        <w:ind w:left="567" w:hanging="562"/>
        <w:rPr/>
      </w:pPr>
      <w:bookmarkStart w:id="25" w:name="__RefHeading___Toc2535_3171453754"/>
      <w:bookmarkStart w:id="26" w:name="_Toc54646402"/>
      <w:bookmarkStart w:id="27" w:name="_Toc50125126"/>
      <w:bookmarkEnd w:id="23"/>
      <w:bookmarkEnd w:id="25"/>
      <w:bookmarkEnd w:id="27"/>
      <w:r>
        <w:rPr>
          <w:rFonts w:eastAsia="Times New Roman"/>
        </w:rPr>
        <w:t xml:space="preserve">Иные требования и сведения общего характера </w:t>
      </w:r>
      <w:bookmarkEnd w:id="26"/>
    </w:p>
    <w:p>
      <w:pPr>
        <w:pStyle w:val="41"/>
        <w:ind w:left="0" w:firstLine="426"/>
        <w:rPr>
          <w:b w:val="false"/>
          <w:b w:val="false"/>
        </w:rPr>
      </w:pPr>
      <w:bookmarkStart w:id="28" w:name="__RefHeading___Toc2537_3171453754"/>
      <w:bookmarkEnd w:id="28"/>
      <w:r>
        <w:rPr>
          <w:rFonts w:eastAsia="Times New Roman"/>
          <w:b w:val="false"/>
        </w:rPr>
        <w:t>Подрядчик обязан во всех выпускаемых документах (локальные сметные расчёты, техническая документация, акты выполненных работ, сохранять единое наименование объекта.</w:t>
      </w:r>
    </w:p>
    <w:p>
      <w:pPr>
        <w:pStyle w:val="41"/>
        <w:ind w:left="0" w:firstLine="426"/>
        <w:rPr>
          <w:b w:val="false"/>
          <w:b w:val="false"/>
        </w:rPr>
      </w:pPr>
      <w:r>
        <w:rPr>
          <w:b w:val="false"/>
        </w:rPr>
      </w:r>
    </w:p>
    <w:p>
      <w:pPr>
        <w:pStyle w:val="115"/>
        <w:numPr>
          <w:ilvl w:val="0"/>
          <w:numId w:val="1"/>
        </w:numPr>
        <w:ind w:left="0" w:hanging="0"/>
        <w:rPr/>
      </w:pPr>
      <w:bookmarkStart w:id="29" w:name="__RefHeading___Toc2539_3171453754"/>
      <w:bookmarkStart w:id="30" w:name="_Toc51339693"/>
      <w:bookmarkStart w:id="31" w:name="_Toc54646403"/>
      <w:bookmarkEnd w:id="29"/>
      <w:r>
        <w:rPr>
          <w:rFonts w:eastAsia="Times New Roman"/>
        </w:rPr>
        <w:t>Требования к продукции</w:t>
      </w:r>
      <w:bookmarkEnd w:id="30"/>
      <w:bookmarkEnd w:id="31"/>
    </w:p>
    <w:p>
      <w:pPr>
        <w:pStyle w:val="41"/>
        <w:numPr>
          <w:ilvl w:val="1"/>
          <w:numId w:val="1"/>
        </w:numPr>
        <w:ind w:left="567" w:hanging="562"/>
        <w:rPr/>
      </w:pPr>
      <w:bookmarkStart w:id="32" w:name="__RefHeading___Toc2541_3171453754"/>
      <w:bookmarkStart w:id="33" w:name="_Toc54646404"/>
      <w:bookmarkEnd w:id="32"/>
      <w:r>
        <w:rPr>
          <w:rFonts w:eastAsia="Times New Roman"/>
        </w:rPr>
        <w:t>Требования к объемам и срокам выполнения работ</w:t>
      </w:r>
      <w:bookmarkEnd w:id="33"/>
    </w:p>
    <w:p>
      <w:pPr>
        <w:pStyle w:val="311"/>
        <w:numPr>
          <w:ilvl w:val="2"/>
          <w:numId w:val="1"/>
        </w:numPr>
        <w:ind w:left="567" w:hanging="562"/>
        <w:rPr/>
      </w:pPr>
      <w:bookmarkStart w:id="34" w:name="__RefHeading___Toc2543_3171453754"/>
      <w:bookmarkStart w:id="35" w:name="_Toc54646405"/>
      <w:bookmarkEnd w:id="34"/>
      <w:r>
        <w:rPr>
          <w:rFonts w:eastAsia="Times New Roman"/>
        </w:rPr>
        <w:t>Требования к видам и объемам работ</w:t>
      </w:r>
      <w:bookmarkEnd w:id="35"/>
    </w:p>
    <w:p>
      <w:pPr>
        <w:pStyle w:val="115"/>
        <w:ind w:left="0" w:hanging="0"/>
        <w:jc w:val="right"/>
        <w:rPr/>
      </w:pPr>
      <w:bookmarkStart w:id="36" w:name="__RefHeading___Toc2545_3171453754"/>
      <w:bookmarkStart w:id="37" w:name="_Toc54646406"/>
      <w:bookmarkStart w:id="38" w:name="_Toc51339695"/>
      <w:bookmarkEnd w:id="36"/>
      <w:r>
        <w:rPr>
          <w:rFonts w:eastAsia="Times New Roman"/>
          <w:sz w:val="24"/>
        </w:rPr>
        <w:t xml:space="preserve">Таблица 3. Перечень </w:t>
      </w:r>
      <w:bookmarkEnd w:id="38"/>
      <w:r>
        <w:rPr>
          <w:rFonts w:eastAsia="Times New Roman"/>
          <w:sz w:val="24"/>
        </w:rPr>
        <w:t>и объем выполняемых работ</w:t>
      </w:r>
      <w:bookmarkEnd w:id="37"/>
    </w:p>
    <w:tbl>
      <w:tblPr>
        <w:tblW w:w="10346" w:type="dxa"/>
        <w:jc w:val="left"/>
        <w:tblInd w:w="-14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 w:noHBand="0" w:noVBand="1" w:firstColumn="1" w:lastRow="0" w:lastColumn="0" w:firstRow="1"/>
      </w:tblPr>
      <w:tblGrid>
        <w:gridCol w:w="562"/>
        <w:gridCol w:w="4392"/>
        <w:gridCol w:w="5392"/>
      </w:tblGrid>
      <w:tr>
        <w:trPr/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andard"/>
              <w:widowControl w:val="false"/>
              <w:spacing w:before="60" w:after="0"/>
              <w:jc w:val="center"/>
              <w:rPr/>
            </w:pPr>
            <w:r>
              <w:rPr>
                <w:rFonts w:eastAsia="Times New Roman"/>
                <w:sz w:val="24"/>
              </w:rPr>
              <w:t>№</w:t>
            </w:r>
          </w:p>
          <w:p>
            <w:pPr>
              <w:pStyle w:val="Standard"/>
              <w:widowControl w:val="false"/>
              <w:jc w:val="center"/>
              <w:rPr/>
            </w:pPr>
            <w:r>
              <w:rPr>
                <w:rFonts w:eastAsia="Times New Roman"/>
                <w:sz w:val="24"/>
              </w:rPr>
              <w:t>п/п</w:t>
            </w:r>
          </w:p>
        </w:tc>
        <w:tc>
          <w:tcPr>
            <w:tcW w:w="4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andard"/>
              <w:widowControl w:val="false"/>
              <w:spacing w:before="60" w:after="0"/>
              <w:jc w:val="center"/>
              <w:rPr/>
            </w:pPr>
            <w:r>
              <w:rPr>
                <w:rFonts w:eastAsia="Times New Roman"/>
                <w:sz w:val="24"/>
              </w:rPr>
              <w:t>Наименование работ / этапа работ</w:t>
            </w:r>
          </w:p>
        </w:tc>
        <w:tc>
          <w:tcPr>
            <w:tcW w:w="5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andard"/>
              <w:widowControl w:val="false"/>
              <w:spacing w:before="60" w:after="0"/>
              <w:jc w:val="center"/>
              <w:rPr/>
            </w:pPr>
            <w:r>
              <w:rPr>
                <w:rFonts w:eastAsia="Times New Roman"/>
                <w:sz w:val="24"/>
              </w:rPr>
              <w:t>Перечень работ</w:t>
            </w:r>
          </w:p>
        </w:tc>
      </w:tr>
      <w:tr>
        <w:trPr/>
        <w:tc>
          <w:tcPr>
            <w:tcW w:w="56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andard"/>
              <w:widowControl w:val="false"/>
              <w:spacing w:before="60" w:after="0"/>
              <w:rPr/>
            </w:pPr>
            <w:r>
              <w:rPr>
                <w:rFonts w:eastAsia="Times New Roman"/>
                <w:sz w:val="24"/>
              </w:rPr>
              <w:t>1.</w:t>
            </w:r>
          </w:p>
        </w:tc>
        <w:tc>
          <w:tcPr>
            <w:tcW w:w="439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andard"/>
              <w:widowControl w:val="false"/>
              <w:spacing w:before="60" w:after="0"/>
              <w:rPr/>
            </w:pPr>
            <w:r>
              <w:rPr>
                <w:rFonts w:eastAsia="Times New Roman"/>
                <w:sz w:val="24"/>
              </w:rPr>
              <w:t>Обследование технического состояния ПС, сбор исходных данных.</w:t>
            </w:r>
          </w:p>
        </w:tc>
        <w:tc>
          <w:tcPr>
            <w:tcW w:w="539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andard"/>
              <w:widowControl w:val="false"/>
              <w:spacing w:before="60" w:after="0"/>
              <w:rPr/>
            </w:pPr>
            <w:r>
              <w:rPr>
                <w:rFonts w:eastAsia="Times New Roman"/>
                <w:sz w:val="24"/>
              </w:rPr>
              <w:t>Выполнить обследование подстанций, на которых намечается установка новых устройств РЗА. По результатам обследования предоставить заключение.</w:t>
            </w:r>
          </w:p>
        </w:tc>
      </w:tr>
      <w:tr>
        <w:trPr/>
        <w:tc>
          <w:tcPr>
            <w:tcW w:w="56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andard"/>
              <w:widowControl w:val="false"/>
              <w:spacing w:before="60" w:after="0"/>
              <w:rPr/>
            </w:pPr>
            <w:r>
              <w:rPr>
                <w:rFonts w:eastAsia="Times New Roman"/>
                <w:sz w:val="24"/>
              </w:rPr>
              <w:t>2.</w:t>
            </w:r>
          </w:p>
        </w:tc>
        <w:tc>
          <w:tcPr>
            <w:tcW w:w="439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andard"/>
              <w:widowControl w:val="false"/>
              <w:spacing w:before="60" w:after="0"/>
              <w:rPr/>
            </w:pPr>
            <w:r>
              <w:rPr>
                <w:rFonts w:eastAsia="Times New Roman"/>
                <w:sz w:val="24"/>
              </w:rPr>
              <w:t>Разработка проектной документации (ПД).</w:t>
            </w:r>
          </w:p>
        </w:tc>
        <w:tc>
          <w:tcPr>
            <w:tcW w:w="539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andard"/>
              <w:widowControl w:val="false"/>
              <w:spacing w:before="60" w:after="0"/>
              <w:rPr/>
            </w:pPr>
            <w:r>
              <w:rPr>
                <w:rFonts w:eastAsia="Times New Roman"/>
                <w:sz w:val="24"/>
              </w:rPr>
              <w:t>Выполнить разработку проектной документации в объеме, достаточном для организации закупок подрядных работ и оборудования, разработки рабочей документации в части модернизации защит ВЛ 110 кВ, СВ 110 кВ, ОВ 110 кВ и силовых трансформаторов, ССПИ. ПД разработать в соответствии с основными нормативно-техническими документами (НТД) (действующие редакции) (приложение №3 к настоящим техническим требованиям).</w:t>
            </w:r>
          </w:p>
        </w:tc>
      </w:tr>
      <w:tr>
        <w:trPr>
          <w:trHeight w:val="1043" w:hRule="atLeast"/>
        </w:trPr>
        <w:tc>
          <w:tcPr>
            <w:tcW w:w="56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135"/>
              <w:widowControl w:val="false"/>
              <w:ind w:left="0" w:hanging="0"/>
              <w:rPr/>
            </w:pPr>
            <w:r>
              <w:rPr>
                <w:rFonts w:eastAsia="Times New Roman"/>
              </w:rPr>
              <w:t xml:space="preserve">3. </w:t>
            </w:r>
          </w:p>
          <w:p>
            <w:pPr>
              <w:pStyle w:val="141"/>
              <w:widowControl w:val="false"/>
              <w:jc w:val="both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  <w:tc>
          <w:tcPr>
            <w:tcW w:w="439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andard"/>
              <w:widowControl w:val="false"/>
              <w:spacing w:before="60" w:after="0"/>
              <w:rPr/>
            </w:pPr>
            <w:r>
              <w:rPr>
                <w:rFonts w:eastAsia="Times New Roman"/>
                <w:sz w:val="24"/>
              </w:rPr>
              <w:t>Разработка  рабочей документации (РД).</w:t>
            </w:r>
          </w:p>
        </w:tc>
        <w:tc>
          <w:tcPr>
            <w:tcW w:w="539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andard"/>
              <w:widowControl w:val="false"/>
              <w:spacing w:before="60" w:after="0"/>
              <w:rPr/>
            </w:pPr>
            <w:r>
              <w:rPr>
                <w:rFonts w:eastAsia="Times New Roman"/>
                <w:sz w:val="24"/>
              </w:rPr>
              <w:t>Выполнить разработку рабочей документации (РД) в объеме, достаточном для выполнения строительно-монтажных и пусконаладочных работ. РД разработать в соответствии с основными нормативно-техническими документами (НТД) (действующие редакции) (приложение №3 к настоящим техническим требованиям). При выполнении работ в части реконструкции ПС необходимо учитывать требования приказа № 101 Минэнерго РФ, требования технической политики группы РусГидро 2020 к оснащению защитами ЛЭП 110 кВ, силовых трансформаторов 35 кВ и выше, СТО 56947007-29.240.10.248-2017 «Нормы технологического проектирования подстанций переменного тока с высшим напряжением 35-750 кВ». Учесть необходимость интеграции в сеть РЗА ПЭС и выполнения синхронизации времени с сервером ПК «EKRASCADA». При разработке рабочей документации основные решения, тип и марку устройств РЗА согласовать с собственником объекта.</w:t>
            </w:r>
          </w:p>
        </w:tc>
      </w:tr>
    </w:tbl>
    <w:p>
      <w:pPr>
        <w:pStyle w:val="311"/>
        <w:numPr>
          <w:ilvl w:val="2"/>
          <w:numId w:val="1"/>
        </w:numPr>
        <w:ind w:left="567" w:hanging="562"/>
        <w:rPr/>
      </w:pPr>
      <w:bookmarkStart w:id="39" w:name="__RefHeading___Toc2547_3171453754"/>
      <w:bookmarkStart w:id="40" w:name="_Toc54646407"/>
      <w:bookmarkStart w:id="41" w:name="_Toc51339696"/>
      <w:bookmarkEnd w:id="39"/>
      <w:r>
        <w:rPr>
          <w:rFonts w:eastAsia="Times New Roman"/>
        </w:rPr>
        <w:t xml:space="preserve">Требования </w:t>
      </w:r>
      <w:bookmarkEnd w:id="41"/>
      <w:r>
        <w:rPr>
          <w:rFonts w:eastAsia="Times New Roman"/>
        </w:rPr>
        <w:t>к срокам выполнения работ</w:t>
      </w:r>
      <w:bookmarkEnd w:id="40"/>
    </w:p>
    <w:p>
      <w:pPr>
        <w:pStyle w:val="115"/>
        <w:ind w:left="0" w:hanging="0"/>
        <w:jc w:val="right"/>
        <w:rPr/>
      </w:pPr>
      <w:bookmarkStart w:id="42" w:name="__RefHeading___Toc2549_3171453754"/>
      <w:bookmarkStart w:id="43" w:name="_Toc54646408"/>
      <w:bookmarkStart w:id="44" w:name="_Toc51339697"/>
      <w:bookmarkStart w:id="45" w:name="_Toc50125127"/>
      <w:bookmarkStart w:id="46" w:name="_Toc50125126_Копия_1"/>
      <w:bookmarkEnd w:id="42"/>
      <w:bookmarkEnd w:id="46"/>
      <w:r>
        <w:rPr>
          <w:rFonts w:eastAsia="Times New Roman"/>
          <w:sz w:val="24"/>
        </w:rPr>
        <w:t xml:space="preserve">Таблица 4. </w:t>
      </w:r>
      <w:bookmarkStart w:id="47" w:name="_Hlk50465284"/>
      <w:r>
        <w:rPr>
          <w:rFonts w:eastAsia="Times New Roman"/>
          <w:sz w:val="24"/>
        </w:rPr>
        <w:t xml:space="preserve">Требования по срокам </w:t>
      </w:r>
      <w:bookmarkEnd w:id="44"/>
      <w:bookmarkEnd w:id="45"/>
      <w:bookmarkEnd w:id="47"/>
      <w:r>
        <w:rPr>
          <w:rFonts w:eastAsia="Times New Roman"/>
          <w:sz w:val="24"/>
        </w:rPr>
        <w:t>выполнения работ</w:t>
      </w:r>
      <w:bookmarkEnd w:id="43"/>
    </w:p>
    <w:tbl>
      <w:tblPr>
        <w:tblW w:w="10057" w:type="dxa"/>
        <w:jc w:val="left"/>
        <w:tblInd w:w="5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 w:noHBand="0" w:noVBand="1" w:firstColumn="1" w:lastRow="0" w:lastColumn="0" w:firstRow="1"/>
      </w:tblPr>
      <w:tblGrid>
        <w:gridCol w:w="563"/>
        <w:gridCol w:w="4251"/>
        <w:gridCol w:w="2270"/>
        <w:gridCol w:w="2972"/>
      </w:tblGrid>
      <w:tr>
        <w:trPr/>
        <w:tc>
          <w:tcPr>
            <w:tcW w:w="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andard"/>
              <w:widowControl w:val="false"/>
              <w:spacing w:before="60" w:after="0"/>
              <w:jc w:val="center"/>
              <w:rPr/>
            </w:pPr>
            <w:r>
              <w:rPr>
                <w:rFonts w:eastAsia="Times New Roman"/>
                <w:sz w:val="24"/>
              </w:rPr>
              <w:t xml:space="preserve">№ </w:t>
            </w:r>
            <w:r>
              <w:rPr>
                <w:rFonts w:eastAsia="Times New Roman"/>
                <w:sz w:val="24"/>
              </w:rPr>
              <w:t>п/п</w:t>
            </w:r>
          </w:p>
        </w:tc>
        <w:tc>
          <w:tcPr>
            <w:tcW w:w="4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andard"/>
              <w:widowControl w:val="false"/>
              <w:spacing w:before="60" w:after="0"/>
              <w:jc w:val="center"/>
              <w:rPr/>
            </w:pPr>
            <w:r>
              <w:rPr>
                <w:rFonts w:eastAsia="Times New Roman"/>
                <w:sz w:val="24"/>
              </w:rPr>
              <w:t>Наименование работ/ этапа работ</w:t>
            </w:r>
          </w:p>
        </w:tc>
        <w:tc>
          <w:tcPr>
            <w:tcW w:w="2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andard"/>
              <w:widowControl w:val="false"/>
              <w:spacing w:before="60" w:after="0"/>
              <w:jc w:val="center"/>
              <w:rPr/>
            </w:pPr>
            <w:r>
              <w:rPr>
                <w:rFonts w:eastAsia="Times New Roman"/>
                <w:sz w:val="24"/>
              </w:rPr>
              <w:t>Требования к началу срока выполнения работ/ этапа работ</w:t>
            </w:r>
          </w:p>
        </w:tc>
        <w:tc>
          <w:tcPr>
            <w:tcW w:w="2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andard"/>
              <w:widowControl w:val="false"/>
              <w:spacing w:before="60" w:after="0"/>
              <w:jc w:val="center"/>
              <w:rPr/>
            </w:pPr>
            <w:r>
              <w:rPr>
                <w:rFonts w:eastAsia="Times New Roman"/>
                <w:sz w:val="24"/>
              </w:rPr>
              <w:t>Требования к окончанию срока выполнения работ / этапа работ</w:t>
            </w:r>
          </w:p>
        </w:tc>
      </w:tr>
      <w:tr>
        <w:trPr>
          <w:trHeight w:val="218" w:hRule="atLeast"/>
        </w:trPr>
        <w:tc>
          <w:tcPr>
            <w:tcW w:w="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>
            <w:pPr>
              <w:pStyle w:val="Standard"/>
              <w:widowControl w:val="false"/>
              <w:spacing w:before="60" w:after="0"/>
              <w:jc w:val="center"/>
              <w:rPr>
                <w:b/>
                <w:b/>
              </w:rPr>
            </w:pPr>
            <w:r>
              <w:rPr>
                <w:rFonts w:eastAsia="Times New Roman"/>
                <w:b/>
                <w:sz w:val="24"/>
              </w:rPr>
              <w:t>1</w:t>
            </w:r>
          </w:p>
        </w:tc>
        <w:tc>
          <w:tcPr>
            <w:tcW w:w="4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>
            <w:pPr>
              <w:pStyle w:val="Standard"/>
              <w:widowControl w:val="false"/>
              <w:spacing w:before="60" w:after="0"/>
              <w:jc w:val="center"/>
              <w:rPr>
                <w:b/>
                <w:b/>
              </w:rPr>
            </w:pPr>
            <w:r>
              <w:rPr>
                <w:rFonts w:eastAsia="Times New Roman"/>
                <w:b/>
                <w:sz w:val="24"/>
              </w:rPr>
              <w:t>2</w:t>
            </w:r>
          </w:p>
        </w:tc>
        <w:tc>
          <w:tcPr>
            <w:tcW w:w="2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>
            <w:pPr>
              <w:pStyle w:val="Style53"/>
              <w:widowControl w:val="false"/>
              <w:spacing w:before="40" w:after="40"/>
              <w:jc w:val="center"/>
              <w:rPr>
                <w:b/>
                <w:b/>
              </w:rPr>
            </w:pPr>
            <w:r>
              <w:rPr>
                <w:rFonts w:eastAsia="Times New Roman"/>
                <w:b/>
                <w:sz w:val="24"/>
              </w:rPr>
              <w:t>3</w:t>
            </w:r>
          </w:p>
        </w:tc>
        <w:tc>
          <w:tcPr>
            <w:tcW w:w="2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>
            <w:pPr>
              <w:pStyle w:val="Style53"/>
              <w:widowControl w:val="false"/>
              <w:spacing w:before="40" w:after="40"/>
              <w:jc w:val="center"/>
              <w:rPr>
                <w:b/>
                <w:b/>
              </w:rPr>
            </w:pPr>
            <w:r>
              <w:rPr>
                <w:rFonts w:eastAsia="Times New Roman"/>
                <w:b/>
                <w:sz w:val="24"/>
              </w:rPr>
              <w:t>4</w:t>
            </w:r>
          </w:p>
        </w:tc>
      </w:tr>
      <w:tr>
        <w:trPr/>
        <w:tc>
          <w:tcPr>
            <w:tcW w:w="56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andard"/>
              <w:widowControl w:val="false"/>
              <w:spacing w:before="60" w:after="0"/>
              <w:rPr/>
            </w:pPr>
            <w:r>
              <w:rPr>
                <w:rFonts w:eastAsia="Times New Roman"/>
                <w:sz w:val="24"/>
              </w:rPr>
              <w:t>1</w:t>
            </w:r>
            <w:r>
              <w:rPr>
                <w:rFonts w:eastAsia="Times New Roman"/>
                <w:sz w:val="24"/>
                <w:lang w:val="en-US"/>
              </w:rPr>
              <w:t>.</w:t>
            </w:r>
          </w:p>
        </w:tc>
        <w:tc>
          <w:tcPr>
            <w:tcW w:w="42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andard"/>
              <w:widowControl w:val="false"/>
              <w:tabs>
                <w:tab w:val="clear" w:pos="709"/>
                <w:tab w:val="left" w:pos="566" w:leader="none"/>
              </w:tabs>
              <w:spacing w:before="120" w:after="120"/>
              <w:rPr/>
            </w:pPr>
            <w:r>
              <w:rPr>
                <w:rFonts w:eastAsia="Times New Roman"/>
                <w:sz w:val="24"/>
              </w:rPr>
              <w:t>Выполнение проектно-изыскательских работ по модернизации устройств РЗА на ПС 110 кВ Давыдовка, ПС 110 кВ Промышленная, ПС 110 кВ УКФ, ПС 110 кВ Междуречье в рамках инвестиционных проектов М_25-ПЭС-1406, М_25-ПЭС-1407, N_-25-ПЭС-5040, N_25-ПЭС-5042 на  территории  филиала «Приморские электрические сети».</w:t>
            </w:r>
          </w:p>
        </w:tc>
        <w:tc>
          <w:tcPr>
            <w:tcW w:w="227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andard"/>
              <w:widowControl w:val="false"/>
              <w:spacing w:before="60" w:after="0"/>
              <w:rPr/>
            </w:pPr>
            <w:r>
              <w:rPr>
                <w:rFonts w:eastAsia="Times New Roman"/>
                <w:sz w:val="24"/>
              </w:rPr>
              <w:t>с даты заключения договора</w:t>
            </w:r>
          </w:p>
        </w:tc>
        <w:tc>
          <w:tcPr>
            <w:tcW w:w="29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andard"/>
              <w:widowControl w:val="false"/>
              <w:spacing w:before="60" w:after="0"/>
              <w:rPr/>
            </w:pPr>
            <w:r>
              <w:rPr>
                <w:rFonts w:eastAsia="Times New Roman"/>
                <w:sz w:val="24"/>
              </w:rPr>
              <w:t>1. Обследование технического состояния ПС, сбор исходных данных: 30 дней с даты заключения договора.</w:t>
            </w:r>
          </w:p>
          <w:p>
            <w:pPr>
              <w:pStyle w:val="Standard"/>
              <w:widowControl w:val="false"/>
              <w:tabs>
                <w:tab w:val="clear" w:pos="709"/>
                <w:tab w:val="left" w:pos="879" w:leader="none"/>
              </w:tabs>
              <w:rPr/>
            </w:pPr>
            <w:r>
              <w:rPr>
                <w:rFonts w:eastAsia="Times New Roman"/>
                <w:sz w:val="24"/>
              </w:rPr>
              <w:t>2. Разработка проектной документации: 60 дней с момента заключения договора.</w:t>
            </w:r>
          </w:p>
          <w:p>
            <w:pPr>
              <w:pStyle w:val="Standard"/>
              <w:widowControl w:val="false"/>
              <w:tabs>
                <w:tab w:val="clear" w:pos="709"/>
                <w:tab w:val="left" w:pos="879" w:leader="none"/>
              </w:tabs>
              <w:rPr/>
            </w:pPr>
            <w:r>
              <w:rPr>
                <w:rFonts w:eastAsia="Times New Roman"/>
                <w:sz w:val="24"/>
              </w:rPr>
              <w:t>3. Разработка рабочей документации: 120 дней с даты заключения договора.</w:t>
            </w:r>
          </w:p>
        </w:tc>
      </w:tr>
    </w:tbl>
    <w:p>
      <w:pPr>
        <w:pStyle w:val="41"/>
        <w:numPr>
          <w:ilvl w:val="1"/>
          <w:numId w:val="1"/>
        </w:numPr>
        <w:ind w:left="567" w:hanging="562"/>
        <w:rPr/>
      </w:pPr>
      <w:bookmarkStart w:id="48" w:name="__RefHeading___Toc2551_3171453754"/>
      <w:bookmarkEnd w:id="48"/>
      <w:r>
        <w:rPr>
          <w:rFonts w:eastAsia="Times New Roman"/>
        </w:rPr>
        <w:t>Требования к качеству работ</w:t>
      </w:r>
    </w:p>
    <w:p>
      <w:pPr>
        <w:pStyle w:val="Standard"/>
        <w:rPr>
          <w:b/>
          <w:b/>
        </w:rPr>
      </w:pPr>
      <w:bookmarkStart w:id="49" w:name="__RefHeading___Toc2553_3171453754"/>
      <w:bookmarkEnd w:id="49"/>
      <w:r>
        <w:rPr>
          <w:rFonts w:eastAsia="Times New Roman"/>
          <w:b/>
          <w:sz w:val="24"/>
        </w:rPr>
        <w:t>Наименование работ/этапа работ:</w:t>
      </w:r>
    </w:p>
    <w:p>
      <w:pPr>
        <w:sectPr>
          <w:headerReference w:type="default" r:id="rId2"/>
          <w:type w:val="nextPage"/>
          <w:pgSz w:w="11906" w:h="16838"/>
          <w:pgMar w:left="1134" w:right="851" w:header="818" w:top="924" w:footer="0" w:bottom="992" w:gutter="0"/>
          <w:pgNumType w:fmt="decimal"/>
          <w:formProt w:val="false"/>
          <w:textDirection w:val="lrTb"/>
          <w:docGrid w:type="default" w:linePitch="360" w:charSpace="16384"/>
        </w:sectPr>
        <w:pStyle w:val="115"/>
        <w:ind w:left="0" w:hanging="0"/>
        <w:rPr>
          <w:rFonts w:eastAsia="Times New Roman"/>
          <w:b w:val="false"/>
          <w:b w:val="false"/>
          <w:sz w:val="24"/>
        </w:rPr>
      </w:pPr>
      <w:r>
        <w:rPr>
          <w:rFonts w:eastAsia="Times New Roman"/>
          <w:b w:val="false"/>
          <w:sz w:val="24"/>
        </w:rPr>
        <w:t xml:space="preserve">Выполнение проектно-изыскательских работ по модернизации устройств РЗА на ПС 110 кВ Давыдовка, ПС 110 кВ Промышленная, ПС 110 кВ УКФ, ПС 110 кВ Междуречье в рамках инвестиционных проектов М_25-ПЭС-1406, М_25-ПЭС-1407, N_-25-ПЭС-5040, N_25-ПЭС-5042 на территории филиала «Приморские электрические сети». </w:t>
      </w:r>
    </w:p>
    <w:p>
      <w:pPr>
        <w:pStyle w:val="Standard"/>
        <w:rPr/>
      </w:pPr>
      <w:r>
        <w:rPr/>
      </w:r>
    </w:p>
    <w:tbl>
      <w:tblPr>
        <w:tblW w:w="15402" w:type="dxa"/>
        <w:jc w:val="left"/>
        <w:tblInd w:w="0" w:type="dxa"/>
        <w:tblLayout w:type="fixed"/>
        <w:tblCellMar>
          <w:top w:w="0" w:type="dxa"/>
          <w:left w:w="28" w:type="dxa"/>
          <w:bottom w:w="0" w:type="dxa"/>
          <w:right w:w="28" w:type="dxa"/>
        </w:tblCellMar>
        <w:tblLook w:val="04a0" w:noHBand="0" w:noVBand="1" w:firstColumn="1" w:lastRow="0" w:lastColumn="0" w:firstRow="1"/>
      </w:tblPr>
      <w:tblGrid>
        <w:gridCol w:w="993"/>
        <w:gridCol w:w="3204"/>
        <w:gridCol w:w="9971"/>
        <w:gridCol w:w="1233"/>
      </w:tblGrid>
      <w:tr>
        <w:trPr>
          <w:trHeight w:val="1629" w:hRule="atLeast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andard"/>
              <w:widowControl w:val="false"/>
              <w:spacing w:before="0" w:after="0"/>
              <w:rPr>
                <w:b/>
                <w:b/>
              </w:rPr>
            </w:pPr>
            <w:r>
              <w:rPr>
                <w:b/>
                <w:sz w:val="24"/>
              </w:rPr>
              <w:t xml:space="preserve">№ </w:t>
            </w:r>
            <w:r>
              <w:rPr>
                <w:b/>
                <w:sz w:val="24"/>
              </w:rPr>
              <w:t>п/п</w:t>
            </w:r>
          </w:p>
        </w:tc>
        <w:tc>
          <w:tcPr>
            <w:tcW w:w="3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pStyle w:val="Standard"/>
              <w:widowControl w:val="false"/>
              <w:spacing w:before="0" w:after="0"/>
              <w:rPr>
                <w:b/>
                <w:b/>
              </w:rPr>
            </w:pPr>
            <w:r>
              <w:rPr>
                <w:b/>
                <w:sz w:val="24"/>
              </w:rPr>
              <w:t>Наименование параметра</w:t>
            </w:r>
          </w:p>
        </w:tc>
        <w:tc>
          <w:tcPr>
            <w:tcW w:w="9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pStyle w:val="Standard"/>
              <w:widowControl w:val="false"/>
              <w:spacing w:before="0" w:after="0"/>
              <w:jc w:val="center"/>
              <w:rPr>
                <w:b/>
                <w:b/>
              </w:rPr>
            </w:pPr>
            <w:r>
              <w:rPr>
                <w:b/>
                <w:sz w:val="24"/>
              </w:rPr>
              <w:t>Требование заказчика</w:t>
            </w:r>
          </w:p>
        </w:tc>
        <w:tc>
          <w:tcPr>
            <w:tcW w:w="1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andard"/>
              <w:widowControl w:val="false"/>
              <w:spacing w:before="0" w:after="0"/>
              <w:rPr>
                <w:sz w:val="20"/>
              </w:rPr>
            </w:pPr>
            <w:r>
              <w:rPr>
                <w:b/>
                <w:sz w:val="20"/>
              </w:rPr>
              <w:t>Подтверждение участником соответствия в виде</w:t>
            </w:r>
          </w:p>
          <w:p>
            <w:pPr>
              <w:pStyle w:val="Standard"/>
              <w:widowControl w:val="false"/>
              <w:spacing w:before="0" w:after="0"/>
              <w:rPr>
                <w:sz w:val="20"/>
              </w:rPr>
            </w:pPr>
            <w:r>
              <w:rPr>
                <w:b/>
                <w:sz w:val="20"/>
              </w:rPr>
              <w:t>согласия с требованием</w:t>
            </w:r>
          </w:p>
        </w:tc>
      </w:tr>
      <w:tr>
        <w:trPr>
          <w:trHeight w:val="70" w:hRule="atLeast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andard"/>
              <w:widowControl w:val="false"/>
              <w:spacing w:before="60" w:after="60"/>
              <w:jc w:val="center"/>
              <w:rPr>
                <w:b/>
                <w:b/>
              </w:rPr>
            </w:pPr>
            <w:r>
              <w:rPr>
                <w:b/>
                <w:sz w:val="24"/>
              </w:rPr>
              <w:t>1</w:t>
            </w:r>
          </w:p>
        </w:tc>
        <w:tc>
          <w:tcPr>
            <w:tcW w:w="3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pStyle w:val="Standard"/>
              <w:widowControl w:val="false"/>
              <w:spacing w:before="0" w:after="0"/>
              <w:jc w:val="center"/>
              <w:rPr>
                <w:b/>
                <w:b/>
              </w:rPr>
            </w:pPr>
            <w:r>
              <w:rPr>
                <w:b/>
                <w:sz w:val="24"/>
              </w:rPr>
              <w:t>2</w:t>
            </w:r>
          </w:p>
        </w:tc>
        <w:tc>
          <w:tcPr>
            <w:tcW w:w="9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pStyle w:val="Standard"/>
              <w:widowControl w:val="false"/>
              <w:spacing w:before="0" w:after="0"/>
              <w:jc w:val="center"/>
              <w:rPr>
                <w:b/>
                <w:b/>
              </w:rPr>
            </w:pPr>
            <w:r>
              <w:rPr>
                <w:b/>
                <w:sz w:val="24"/>
              </w:rPr>
              <w:t>3</w:t>
            </w:r>
          </w:p>
        </w:tc>
        <w:tc>
          <w:tcPr>
            <w:tcW w:w="1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pStyle w:val="Standard"/>
              <w:widowControl w:val="false"/>
              <w:spacing w:before="0" w:after="0"/>
              <w:jc w:val="center"/>
              <w:rPr>
                <w:b/>
                <w:b/>
              </w:rPr>
            </w:pPr>
            <w:r>
              <w:rPr>
                <w:b/>
                <w:sz w:val="24"/>
              </w:rPr>
              <w:t>4</w:t>
            </w:r>
          </w:p>
        </w:tc>
      </w:tr>
      <w:tr>
        <w:trPr>
          <w:trHeight w:val="70" w:hRule="atLeast"/>
        </w:trPr>
        <w:tc>
          <w:tcPr>
            <w:tcW w:w="9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andard"/>
              <w:widowControl w:val="false"/>
              <w:spacing w:before="60" w:after="60"/>
              <w:jc w:val="center"/>
              <w:rPr>
                <w:b/>
                <w:b/>
              </w:rPr>
            </w:pPr>
            <w:r>
              <w:rPr>
                <w:b/>
                <w:sz w:val="24"/>
              </w:rPr>
              <w:t>1</w:t>
            </w:r>
          </w:p>
        </w:tc>
        <w:tc>
          <w:tcPr>
            <w:tcW w:w="1317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pStyle w:val="Standard"/>
              <w:widowControl w:val="false"/>
              <w:spacing w:before="0" w:after="0"/>
              <w:jc w:val="left"/>
              <w:rPr>
                <w:b/>
                <w:b/>
              </w:rPr>
            </w:pPr>
            <w:r>
              <w:rPr>
                <w:b/>
                <w:sz w:val="24"/>
              </w:rPr>
              <w:t>Требования к выполнению работ</w:t>
            </w:r>
          </w:p>
        </w:tc>
        <w:tc>
          <w:tcPr>
            <w:tcW w:w="1233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pStyle w:val="Standard"/>
              <w:widowControl w:val="false"/>
              <w:spacing w:before="0" w:after="0"/>
              <w:rPr>
                <w:i/>
                <w:i/>
              </w:rPr>
            </w:pPr>
            <w:r>
              <w:rPr>
                <w:i/>
                <w:sz w:val="24"/>
              </w:rPr>
              <w:t>Согласие с требованием</w:t>
            </w:r>
          </w:p>
          <w:p>
            <w:pPr>
              <w:pStyle w:val="Standard"/>
              <w:widowControl w:val="false"/>
              <w:spacing w:before="0" w:after="0"/>
              <w:jc w:val="center"/>
              <w:rPr>
                <w:b/>
                <w:b/>
              </w:rPr>
            </w:pPr>
            <w:r>
              <w:rPr>
                <w:b/>
              </w:rPr>
            </w:r>
          </w:p>
          <w:p>
            <w:pPr>
              <w:pStyle w:val="Standard"/>
              <w:widowControl w:val="false"/>
              <w:spacing w:before="0" w:after="0"/>
              <w:rPr>
                <w:i/>
                <w:i/>
              </w:rPr>
            </w:pPr>
            <w:r>
              <w:rPr>
                <w:i/>
              </w:rPr>
            </w:r>
          </w:p>
        </w:tc>
      </w:tr>
      <w:tr>
        <w:trPr>
          <w:trHeight w:val="70" w:hRule="atLeast"/>
        </w:trPr>
        <w:tc>
          <w:tcPr>
            <w:tcW w:w="9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andard"/>
              <w:widowControl w:val="false"/>
              <w:spacing w:before="60" w:after="60"/>
              <w:jc w:val="center"/>
              <w:rPr>
                <w:b/>
                <w:b/>
              </w:rPr>
            </w:pPr>
            <w:r>
              <w:rPr>
                <w:b/>
                <w:sz w:val="24"/>
              </w:rPr>
              <w:t>1.1.</w:t>
            </w:r>
          </w:p>
        </w:tc>
        <w:tc>
          <w:tcPr>
            <w:tcW w:w="1317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pStyle w:val="Standard"/>
              <w:widowControl w:val="false"/>
              <w:spacing w:before="0" w:after="0"/>
              <w:jc w:val="center"/>
              <w:rPr>
                <w:b/>
                <w:b/>
              </w:rPr>
            </w:pPr>
            <w:r>
              <w:rPr>
                <w:b/>
                <w:sz w:val="24"/>
              </w:rPr>
              <w:t>Общие требования к выполнению работ</w:t>
            </w:r>
          </w:p>
        </w:tc>
        <w:tc>
          <w:tcPr>
            <w:tcW w:w="1233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pStyle w:val="141"/>
              <w:widowControl w:val="false"/>
              <w:rPr/>
            </w:pPr>
            <w:r>
              <w:rPr/>
            </w:r>
          </w:p>
        </w:tc>
      </w:tr>
      <w:tr>
        <w:trPr/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andard"/>
              <w:widowControl w:val="false"/>
              <w:spacing w:before="60" w:after="60"/>
              <w:ind w:left="112" w:hanging="0"/>
              <w:rPr/>
            </w:pPr>
            <w:r>
              <w:rPr/>
              <w:t>1.1.1.</w:t>
            </w:r>
          </w:p>
        </w:tc>
        <w:tc>
          <w:tcPr>
            <w:tcW w:w="3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pStyle w:val="Standard"/>
              <w:widowControl w:val="false"/>
              <w:tabs>
                <w:tab w:val="clear" w:pos="709"/>
                <w:tab w:val="left" w:pos="566" w:leader="none"/>
              </w:tabs>
              <w:spacing w:before="120" w:after="120"/>
              <w:rPr/>
            </w:pPr>
            <w:r>
              <w:rPr>
                <w:sz w:val="24"/>
              </w:rPr>
              <w:t>Требования к выполнению технических регламентов НТДи организации при выполнении ПИР.</w:t>
            </w:r>
          </w:p>
        </w:tc>
        <w:tc>
          <w:tcPr>
            <w:tcW w:w="9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>
            <w:pPr>
              <w:pStyle w:val="Standard"/>
              <w:widowControl w:val="fals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 Провести предпроектное обследование подстанций, разработать проектную (ПД) и рабочую документацию (РД): решения по РЗА (защиты и АУВ), ОМП ВЛ 110 кВ, СВ 110 кВ на ПС 110 кВ Давыдовка, решения по РЗА (защиты и АУВ), ОМП, ВЛ 110 кВ, СОВ 110 кВ на ПС 110 кВ Промышленная, решения по РЗА (защиты и АУВ), ОМП,</w:t>
            </w:r>
            <w:r>
              <w:rPr>
                <w:b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ВЛ 110 кВ, СВ 110 кВ, трансформаторов Т-1, Т-2 на ПС 110 кВ УКФ, решения по РЗА (защиты и АУВ), ОМП</w:t>
            </w:r>
            <w:r>
              <w:rPr>
                <w:b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ВЛ 110 кВ, СВ 110 кВ на ПС 110 кВ Междуречье. Определить состав основного и дополнительного оборудования, разработать схемы привязки вновь устанавливаемого оборудования к существующим вторичным цепям силового оборудования, панелям управления, СОПТ, ДЗШ, УРОВ, ЦС, РАС. Место установки шкафов РЗА в ОПУ определить проектом. Выполнить расчет параметров (уставок) устройств РЗА ВЛ 110 кВ, устройств РЗА трансформаторов 110 кВ. Выполнить расчет трансформаторов тока согласно ГОСТ Р 71879-2024. Выполнить интеграцию в сеть РЗА ПЭС и синхронизацию времени с сервером ПК «EKRSCADA», подключение к регистратору аварийных событий (РАС). </w:t>
            </w:r>
          </w:p>
          <w:p>
            <w:pPr>
              <w:pStyle w:val="141"/>
              <w:widowControl w:val="false"/>
              <w:jc w:val="both"/>
              <w:rPr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Выполнить дооснащение существующих ССПИ (при их наличии и наличии каналов связи в Приморское РДУ) в части интеграции вновь вводимого оборудования РЗА. Предусмотреть решения по передаче дополнительного объема телеметрической информации от вновь устанавливаемого оборудования РЗА в Приморское РДУ. Состав передаваемой телеметрической информации от вновь устанавливаемого оборудования и устройств, решения по её сбору согласовать с Приморским РДУ.</w:t>
            </w:r>
          </w:p>
          <w:p>
            <w:pPr>
              <w:pStyle w:val="Standard"/>
              <w:widowControl w:val="fals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 Работы по Объекту подлежат выполнению в строгом соответствии с указаниями представителей технического надзора требованиями технической и эксплуатационной документации заводов-изготовителей поставляемой продукции и требованиями Применимого права, разграниченного обязательными к исполнению нормативными правовыми актами органов государственной власти Российской Федерации и местного самоуправления, а также строительными нормами и правилами (СНиП), методической документацией в строительстве (МДС), руководящими документами (РД), сводами правил по проектированию и строительству (СП), техническими регламентами, национальными стандартами (ГОСТ Р), а также другими действующими правилами и инструкциями, в том числе:</w:t>
            </w:r>
          </w:p>
          <w:p>
            <w:pPr>
              <w:pStyle w:val="Standard"/>
              <w:widowControl w:val="false"/>
              <w:spacing w:before="0" w:after="0"/>
              <w:ind w:left="567" w:firstLine="567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ПУЭ (шестое и седьмое издание в действующей редакции на 2026 год;</w:t>
            </w:r>
          </w:p>
          <w:p>
            <w:pPr>
              <w:pStyle w:val="Standard"/>
              <w:widowControl w:val="false"/>
              <w:spacing w:before="0" w:after="0"/>
              <w:ind w:left="567" w:firstLine="567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ПТЭЭП (в действующей редакции Приказа Минэнерго России от 09.12.2024 № 2398);</w:t>
            </w:r>
          </w:p>
          <w:p>
            <w:pPr>
              <w:pStyle w:val="Standard"/>
              <w:widowControl w:val="false"/>
              <w:spacing w:before="0" w:after="0"/>
              <w:ind w:left="567" w:firstLine="567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Приказ № 555 Минэнерго России «Об утверждении Правил технического обслуживания устройств и комплексов релейной защиты и автоматики, и внесение изменений в требования к обеспечению надежности электроэнергетических систем, надежности и безопасности объектов электроэнергетики и энергопринимающих установок «Правила организации технического обслуживания и ремонта объектов электроэнергетики», утвержденные приказом Минэнерго России от 25 октября 2017 г. №1013.</w:t>
            </w:r>
          </w:p>
          <w:p>
            <w:pPr>
              <w:pStyle w:val="Standard"/>
              <w:widowControl w:val="false"/>
              <w:spacing w:before="0" w:after="0"/>
              <w:ind w:left="567" w:firstLine="567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СП 68.13330.2017 Приемка в эксплуатацию законченных строительством объектов. Основные положения. Актуализированная редакция СНиП 3.01.04-87;</w:t>
            </w:r>
          </w:p>
          <w:p>
            <w:pPr>
              <w:pStyle w:val="Standard"/>
              <w:widowControl w:val="false"/>
              <w:spacing w:before="0" w:after="0"/>
              <w:ind w:left="567" w:firstLine="567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- СП 76.13330.2016 «Электротехнические устройства»; </w:t>
            </w:r>
          </w:p>
          <w:p>
            <w:pPr>
              <w:pStyle w:val="Standard"/>
              <w:widowControl w:val="false"/>
              <w:spacing w:before="0" w:after="0"/>
              <w:ind w:left="567" w:firstLine="567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РД–11-02-2006 «Требования к исполнительной документации»;</w:t>
            </w:r>
          </w:p>
          <w:p>
            <w:pPr>
              <w:pStyle w:val="Standard"/>
              <w:widowControl w:val="false"/>
              <w:spacing w:before="0" w:after="0"/>
              <w:ind w:left="567" w:firstLine="567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РД–11-05-2007 «Порядок ведения общего журнала работ»;</w:t>
            </w:r>
          </w:p>
          <w:p>
            <w:pPr>
              <w:pStyle w:val="Standard"/>
              <w:widowControl w:val="false"/>
              <w:spacing w:before="0" w:after="0"/>
              <w:ind w:left="567" w:firstLine="567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И 1.13-07 «Инструкция по оформлению приемо-сдаточной документации по электромонтажным работам»;</w:t>
            </w:r>
          </w:p>
          <w:p>
            <w:pPr>
              <w:pStyle w:val="Standard"/>
              <w:widowControl w:val="false"/>
              <w:spacing w:before="0" w:after="0"/>
              <w:ind w:left="567" w:firstLine="567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Постановление Правительства Российской Федерации от 21 июня 2010 г. № 468 «О порядке проведения строительного контроля при осуществлении строительства, реконструкции и капитального ремонта объектов капитального строительства»;</w:t>
            </w:r>
          </w:p>
          <w:p>
            <w:pPr>
              <w:pStyle w:val="Standard"/>
              <w:widowControl w:val="false"/>
              <w:spacing w:before="0" w:after="0"/>
              <w:ind w:left="567" w:firstLine="567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Правила по охране труда при эксплуатации электроустановок, утвержденных приказом Министерства труда и социальной защиты РФ от 15 декабря 2020 № 903 н;</w:t>
            </w:r>
          </w:p>
          <w:p>
            <w:pPr>
              <w:pStyle w:val="Standard"/>
              <w:widowControl w:val="false"/>
              <w:spacing w:before="0" w:after="0"/>
              <w:ind w:left="567" w:firstLine="567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- СНиП 12-03-2001 «Безопасность труда в строительстве», часть 1 «Общие требования»;  </w:t>
            </w:r>
          </w:p>
          <w:p>
            <w:pPr>
              <w:pStyle w:val="Standard"/>
              <w:widowControl w:val="false"/>
              <w:spacing w:before="0" w:after="0"/>
              <w:ind w:left="567" w:firstLine="567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ГОСТ 12.3.032-84 ССБТ «Работы электромонтажные. Общие требования безопасности»;</w:t>
            </w:r>
          </w:p>
          <w:p>
            <w:pPr>
              <w:pStyle w:val="Standard"/>
              <w:widowControl w:val="false"/>
              <w:spacing w:before="0" w:after="0"/>
              <w:ind w:left="567" w:firstLine="567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Правила пожарной безопасности;</w:t>
            </w:r>
          </w:p>
          <w:p>
            <w:pPr>
              <w:pStyle w:val="Standard"/>
              <w:widowControl w:val="false"/>
              <w:tabs>
                <w:tab w:val="clear" w:pos="709"/>
                <w:tab w:val="left" w:pos="566" w:leader="none"/>
              </w:tabs>
              <w:spacing w:before="0" w:after="60"/>
              <w:ind w:left="567" w:firstLine="567"/>
              <w:rPr>
                <w:spacing w:val="-1"/>
                <w:sz w:val="24"/>
                <w:szCs w:val="24"/>
              </w:rPr>
            </w:pPr>
            <w:r>
              <w:rPr>
                <w:spacing w:val="-1"/>
                <w:sz w:val="24"/>
                <w:szCs w:val="24"/>
              </w:rPr>
              <w:t>- Иные действующие законодательные и нормативно-технические документы   в области строительства и электромонтажных работ, регулирующие вопросы обеспечения безопасности и качества работ, обязательные к применению на территории Российской Федерации и Приморского края и содержащие экологические нормы, санитарно-гигиенические правила, требования промышленной и противопожарной безопасности, производства работ и охраны труда персонала, относящиеся к Работам и Объекту.</w:t>
            </w:r>
          </w:p>
          <w:p>
            <w:pPr>
              <w:pStyle w:val="Standard"/>
              <w:widowControl w:val="false"/>
              <w:spacing w:before="0" w:after="0"/>
              <w:ind w:left="567" w:firstLine="567"/>
              <w:jc w:val="left"/>
              <w:rPr>
                <w:spacing w:val="-1"/>
                <w:sz w:val="24"/>
                <w:szCs w:val="24"/>
              </w:rPr>
            </w:pPr>
            <w:r>
              <w:rPr>
                <w:spacing w:val="-1"/>
                <w:sz w:val="24"/>
                <w:szCs w:val="24"/>
              </w:rPr>
              <w:t>В случае если какой-либо из указанных ГОСТ или нормативных документов был отменен в связи с выпуском новой редакции стандарта, то необходимо применять ГОСТ или нормативный документ, принятый в его развитие.</w:t>
            </w:r>
          </w:p>
        </w:tc>
        <w:tc>
          <w:tcPr>
            <w:tcW w:w="1233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pStyle w:val="141"/>
              <w:widowControl w:val="false"/>
              <w:rPr/>
            </w:pPr>
            <w:r>
              <w:rPr/>
            </w:r>
          </w:p>
        </w:tc>
      </w:tr>
      <w:tr>
        <w:trPr/>
        <w:tc>
          <w:tcPr>
            <w:tcW w:w="9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andard"/>
              <w:widowControl w:val="false"/>
              <w:spacing w:before="60" w:after="60"/>
              <w:jc w:val="center"/>
              <w:rPr>
                <w:b/>
                <w:b/>
              </w:rPr>
            </w:pPr>
            <w:r>
              <w:rPr>
                <w:b/>
              </w:rPr>
              <w:t>1.2.</w:t>
            </w:r>
          </w:p>
        </w:tc>
        <w:tc>
          <w:tcPr>
            <w:tcW w:w="1317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pStyle w:val="Standard"/>
              <w:widowControl w:val="false"/>
              <w:spacing w:before="60" w:after="0"/>
              <w:rPr/>
            </w:pPr>
            <w:r>
              <w:rPr>
                <w:sz w:val="24"/>
              </w:rPr>
              <w:t>Требования к оформлению проектной и рабочей документации</w:t>
            </w:r>
          </w:p>
        </w:tc>
        <w:tc>
          <w:tcPr>
            <w:tcW w:w="1233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>
            <w:pPr>
              <w:pStyle w:val="Standard"/>
              <w:widowControl w:val="false"/>
              <w:spacing w:before="0" w:after="0"/>
              <w:rPr>
                <w:i/>
                <w:i/>
              </w:rPr>
            </w:pPr>
            <w:r>
              <w:rPr>
                <w:i/>
                <w:sz w:val="24"/>
              </w:rPr>
              <w:t>Согласие с требованием</w:t>
            </w:r>
          </w:p>
        </w:tc>
      </w:tr>
      <w:tr>
        <w:trPr/>
        <w:tc>
          <w:tcPr>
            <w:tcW w:w="9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andard"/>
              <w:widowControl w:val="false"/>
              <w:spacing w:before="60" w:after="60"/>
              <w:jc w:val="center"/>
              <w:rPr/>
            </w:pPr>
            <w:r>
              <w:rPr/>
              <w:t>1.2.1.</w:t>
            </w:r>
          </w:p>
        </w:tc>
        <w:tc>
          <w:tcPr>
            <w:tcW w:w="1317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pStyle w:val="Standard"/>
              <w:widowControl w:val="false"/>
              <w:spacing w:before="60" w:after="0"/>
              <w:rPr/>
            </w:pPr>
            <w:r>
              <w:rPr>
                <w:sz w:val="24"/>
              </w:rPr>
              <w:t>Разработанные альбомы ПД и РД предоставить в СРЗА СП ПЮЭС и СРЗА СП ПЦЭС с оформлением актов приема-передачи.</w:t>
            </w:r>
          </w:p>
        </w:tc>
        <w:tc>
          <w:tcPr>
            <w:tcW w:w="1233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>
            <w:pPr>
              <w:pStyle w:val="141"/>
              <w:widowControl w:val="false"/>
              <w:rPr/>
            </w:pPr>
            <w:r>
              <w:rPr/>
            </w:r>
          </w:p>
        </w:tc>
      </w:tr>
      <w:tr>
        <w:trPr/>
        <w:tc>
          <w:tcPr>
            <w:tcW w:w="9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andard"/>
              <w:widowControl w:val="false"/>
              <w:spacing w:before="60" w:after="60"/>
              <w:jc w:val="center"/>
              <w:rPr/>
            </w:pPr>
            <w:r>
              <w:rPr/>
              <w:t>1.2.2.</w:t>
            </w:r>
          </w:p>
        </w:tc>
        <w:tc>
          <w:tcPr>
            <w:tcW w:w="1317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pStyle w:val="Standard"/>
              <w:widowControl w:val="false"/>
              <w:tabs>
                <w:tab w:val="clear" w:pos="709"/>
                <w:tab w:val="left" w:pos="993" w:leader="none"/>
              </w:tabs>
              <w:spacing w:before="60" w:after="0"/>
              <w:rPr/>
            </w:pPr>
            <w:r>
              <w:rPr/>
            </w:r>
          </w:p>
          <w:p>
            <w:pPr>
              <w:pStyle w:val="Standard"/>
              <w:widowControl w:val="false"/>
              <w:tabs>
                <w:tab w:val="clear" w:pos="709"/>
                <w:tab w:val="left" w:pos="993" w:leader="none"/>
              </w:tabs>
              <w:rPr/>
            </w:pPr>
            <w:r>
              <w:rPr>
                <w:sz w:val="24"/>
              </w:rPr>
              <w:t>Использование форматов при передаче проектной и рабочей документации в электронном виде:</w:t>
            </w:r>
          </w:p>
          <w:p>
            <w:pPr>
              <w:pStyle w:val="Standard"/>
              <w:widowControl w:val="false"/>
              <w:tabs>
                <w:tab w:val="clear" w:pos="709"/>
                <w:tab w:val="left" w:pos="993" w:leader="none"/>
              </w:tabs>
              <w:ind w:left="567" w:firstLine="624"/>
              <w:rPr/>
            </w:pPr>
            <w:r>
              <w:rPr/>
            </w:r>
          </w:p>
          <w:tbl>
            <w:tblPr>
              <w:tblW w:w="9972" w:type="dxa"/>
              <w:jc w:val="left"/>
              <w:tblInd w:w="414" w:type="dxa"/>
              <w:tblLayout w:type="fixed"/>
              <w:tblCellMar>
                <w:top w:w="0" w:type="dxa"/>
                <w:left w:w="108" w:type="dxa"/>
                <w:bottom w:w="0" w:type="dxa"/>
                <w:right w:w="108" w:type="dxa"/>
              </w:tblCellMar>
              <w:tblLook w:val="04a0" w:noHBand="0" w:noVBand="1" w:firstColumn="1" w:lastRow="0" w:lastColumn="0" w:firstRow="1"/>
            </w:tblPr>
            <w:tblGrid>
              <w:gridCol w:w="3190"/>
              <w:gridCol w:w="4610"/>
              <w:gridCol w:w="2172"/>
            </w:tblGrid>
            <w:tr>
              <w:trPr>
                <w:trHeight w:val="522" w:hRule="atLeast"/>
              </w:trPr>
              <w:tc>
                <w:tcPr>
                  <w:tcW w:w="319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>
                  <w:pPr>
                    <w:pStyle w:val="Standard"/>
                    <w:widowControl w:val="false"/>
                    <w:spacing w:before="60" w:after="0"/>
                    <w:rPr>
                      <w:b/>
                      <w:b/>
                    </w:rPr>
                  </w:pPr>
                  <w:r>
                    <w:rPr>
                      <w:b/>
                      <w:sz w:val="24"/>
                    </w:rPr>
                    <w:t>Вид документа</w:t>
                  </w:r>
                </w:p>
              </w:tc>
              <w:tc>
                <w:tcPr>
                  <w:tcW w:w="461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>
                  <w:pPr>
                    <w:pStyle w:val="Standard"/>
                    <w:widowControl w:val="false"/>
                    <w:spacing w:before="60" w:after="0"/>
                    <w:rPr>
                      <w:b/>
                      <w:b/>
                    </w:rPr>
                  </w:pPr>
                  <w:r>
                    <w:rPr>
                      <w:b/>
                      <w:sz w:val="24"/>
                    </w:rPr>
                    <w:t>Используемое приложение</w:t>
                  </w:r>
                </w:p>
              </w:tc>
              <w:tc>
                <w:tcPr>
                  <w:tcW w:w="217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>
                  <w:pPr>
                    <w:pStyle w:val="Standard"/>
                    <w:widowControl w:val="false"/>
                    <w:spacing w:before="60" w:after="0"/>
                    <w:rPr>
                      <w:b/>
                      <w:b/>
                    </w:rPr>
                  </w:pPr>
                  <w:r>
                    <w:rPr>
                      <w:b/>
                      <w:sz w:val="24"/>
                    </w:rPr>
                    <w:t>Формат</w:t>
                  </w:r>
                </w:p>
              </w:tc>
            </w:tr>
            <w:tr>
              <w:trPr/>
              <w:tc>
                <w:tcPr>
                  <w:tcW w:w="319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>
                  <w:pPr>
                    <w:pStyle w:val="Standard"/>
                    <w:widowControl w:val="false"/>
                    <w:spacing w:before="60" w:after="0"/>
                    <w:rPr/>
                  </w:pPr>
                  <w:r>
                    <w:rPr>
                      <w:sz w:val="24"/>
                    </w:rPr>
                    <w:t>Текстовая часть, описания</w:t>
                  </w:r>
                </w:p>
              </w:tc>
              <w:tc>
                <w:tcPr>
                  <w:tcW w:w="461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>
                  <w:pPr>
                    <w:pStyle w:val="Standard"/>
                    <w:widowControl w:val="false"/>
                    <w:spacing w:before="60" w:after="0"/>
                    <w:rPr>
                      <w:lang w:val="en-US"/>
                    </w:rPr>
                  </w:pPr>
                  <w:r>
                    <w:rPr>
                      <w:sz w:val="24"/>
                      <w:lang w:val="en-US"/>
                    </w:rPr>
                    <w:t xml:space="preserve">MS Word   </w:t>
                  </w:r>
                  <w:r>
                    <w:rPr>
                      <w:sz w:val="24"/>
                    </w:rPr>
                    <w:t>и</w:t>
                  </w:r>
                </w:p>
                <w:p>
                  <w:pPr>
                    <w:pStyle w:val="Standard"/>
                    <w:widowControl w:val="false"/>
                    <w:rPr>
                      <w:lang w:val="en-US"/>
                    </w:rPr>
                  </w:pPr>
                  <w:r>
                    <w:rPr>
                      <w:sz w:val="24"/>
                      <w:lang w:val="en-US"/>
                    </w:rPr>
                    <w:t>Adobe Acrobat</w:t>
                  </w:r>
                </w:p>
              </w:tc>
              <w:tc>
                <w:tcPr>
                  <w:tcW w:w="217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>
                  <w:pPr>
                    <w:pStyle w:val="Standard"/>
                    <w:widowControl w:val="false"/>
                    <w:spacing w:before="60" w:after="0"/>
                    <w:rPr>
                      <w:lang w:val="en-US"/>
                    </w:rPr>
                  </w:pPr>
                  <w:r>
                    <w:rPr>
                      <w:sz w:val="24"/>
                      <w:lang w:val="en-US"/>
                    </w:rPr>
                    <w:t>.doc</w:t>
                  </w:r>
                </w:p>
                <w:p>
                  <w:pPr>
                    <w:pStyle w:val="Standard"/>
                    <w:widowControl w:val="false"/>
                    <w:rPr>
                      <w:lang w:val="en-US"/>
                    </w:rPr>
                  </w:pPr>
                  <w:r>
                    <w:rPr>
                      <w:sz w:val="24"/>
                      <w:lang w:val="en-US"/>
                    </w:rPr>
                    <w:t>.pdf</w:t>
                  </w:r>
                </w:p>
              </w:tc>
            </w:tr>
            <w:tr>
              <w:trPr/>
              <w:tc>
                <w:tcPr>
                  <w:tcW w:w="319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>
                  <w:pPr>
                    <w:pStyle w:val="Standard"/>
                    <w:widowControl w:val="false"/>
                    <w:spacing w:before="60" w:after="0"/>
                    <w:rPr/>
                  </w:pPr>
                  <w:r>
                    <w:rPr>
                      <w:sz w:val="24"/>
                    </w:rPr>
                    <w:t>Таблицы</w:t>
                  </w:r>
                </w:p>
              </w:tc>
              <w:tc>
                <w:tcPr>
                  <w:tcW w:w="461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>
                  <w:pPr>
                    <w:pStyle w:val="Standard"/>
                    <w:widowControl w:val="false"/>
                    <w:spacing w:before="60" w:after="0"/>
                    <w:rPr>
                      <w:lang w:val="en-US"/>
                    </w:rPr>
                  </w:pPr>
                  <w:r>
                    <w:rPr>
                      <w:sz w:val="24"/>
                      <w:lang w:val="en-US"/>
                    </w:rPr>
                    <w:t xml:space="preserve">MS Excel    </w:t>
                  </w:r>
                  <w:r>
                    <w:rPr>
                      <w:sz w:val="24"/>
                    </w:rPr>
                    <w:t>и</w:t>
                  </w:r>
                </w:p>
                <w:p>
                  <w:pPr>
                    <w:pStyle w:val="Standard"/>
                    <w:widowControl w:val="false"/>
                    <w:rPr>
                      <w:lang w:val="en-US"/>
                    </w:rPr>
                  </w:pPr>
                  <w:r>
                    <w:rPr>
                      <w:sz w:val="24"/>
                      <w:lang w:val="en-US"/>
                    </w:rPr>
                    <w:t>Adobe Acrobat</w:t>
                  </w:r>
                </w:p>
              </w:tc>
              <w:tc>
                <w:tcPr>
                  <w:tcW w:w="217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>
                  <w:pPr>
                    <w:pStyle w:val="Standard"/>
                    <w:widowControl w:val="false"/>
                    <w:spacing w:before="60" w:after="0"/>
                    <w:rPr>
                      <w:lang w:val="en-US"/>
                    </w:rPr>
                  </w:pPr>
                  <w:r>
                    <w:rPr>
                      <w:sz w:val="24"/>
                      <w:lang w:val="en-US"/>
                    </w:rPr>
                    <w:t>.xls</w:t>
                  </w:r>
                </w:p>
                <w:p>
                  <w:pPr>
                    <w:pStyle w:val="Standard"/>
                    <w:widowControl w:val="false"/>
                    <w:rPr>
                      <w:lang w:val="en-US"/>
                    </w:rPr>
                  </w:pPr>
                  <w:r>
                    <w:rPr>
                      <w:sz w:val="24"/>
                      <w:lang w:val="en-US"/>
                    </w:rPr>
                    <w:t>.pdf</w:t>
                  </w:r>
                </w:p>
              </w:tc>
            </w:tr>
            <w:tr>
              <w:trPr/>
              <w:tc>
                <w:tcPr>
                  <w:tcW w:w="319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>
                  <w:pPr>
                    <w:pStyle w:val="Standard"/>
                    <w:widowControl w:val="false"/>
                    <w:spacing w:before="60" w:after="0"/>
                    <w:rPr/>
                  </w:pPr>
                  <w:r>
                    <w:rPr>
                      <w:sz w:val="24"/>
                    </w:rPr>
                    <w:t>Базы данных</w:t>
                  </w:r>
                </w:p>
              </w:tc>
              <w:tc>
                <w:tcPr>
                  <w:tcW w:w="461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>
                  <w:pPr>
                    <w:pStyle w:val="Standard"/>
                    <w:widowControl w:val="false"/>
                    <w:spacing w:before="60" w:after="0"/>
                    <w:rPr>
                      <w:lang w:val="en-US"/>
                    </w:rPr>
                  </w:pPr>
                  <w:r>
                    <w:rPr>
                      <w:sz w:val="24"/>
                      <w:lang w:val="en-US"/>
                    </w:rPr>
                    <w:t xml:space="preserve">MS Excel   </w:t>
                  </w:r>
                  <w:r>
                    <w:rPr>
                      <w:sz w:val="24"/>
                    </w:rPr>
                    <w:t>и</w:t>
                  </w:r>
                </w:p>
                <w:p>
                  <w:pPr>
                    <w:pStyle w:val="Standard"/>
                    <w:widowControl w:val="false"/>
                    <w:rPr>
                      <w:lang w:val="en-US"/>
                    </w:rPr>
                  </w:pPr>
                  <w:r>
                    <w:rPr>
                      <w:sz w:val="24"/>
                      <w:lang w:val="en-US"/>
                    </w:rPr>
                    <w:t>Adobe Acrobat</w:t>
                  </w:r>
                </w:p>
              </w:tc>
              <w:tc>
                <w:tcPr>
                  <w:tcW w:w="217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>
                  <w:pPr>
                    <w:pStyle w:val="Standard"/>
                    <w:widowControl w:val="false"/>
                    <w:spacing w:before="60" w:after="0"/>
                    <w:rPr>
                      <w:lang w:val="en-US"/>
                    </w:rPr>
                  </w:pPr>
                  <w:r>
                    <w:rPr>
                      <w:sz w:val="24"/>
                      <w:lang w:val="en-US"/>
                    </w:rPr>
                    <w:t>.xls</w:t>
                  </w:r>
                </w:p>
                <w:p>
                  <w:pPr>
                    <w:pStyle w:val="Standard"/>
                    <w:widowControl w:val="false"/>
                    <w:rPr>
                      <w:lang w:val="en-US"/>
                    </w:rPr>
                  </w:pPr>
                  <w:r>
                    <w:rPr>
                      <w:sz w:val="24"/>
                      <w:lang w:val="en-US"/>
                    </w:rPr>
                    <w:t>.pdf</w:t>
                  </w:r>
                </w:p>
              </w:tc>
            </w:tr>
            <w:tr>
              <w:trPr/>
              <w:tc>
                <w:tcPr>
                  <w:tcW w:w="319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>
                  <w:pPr>
                    <w:pStyle w:val="Standard"/>
                    <w:widowControl w:val="false"/>
                    <w:spacing w:before="60" w:after="0"/>
                    <w:rPr/>
                  </w:pPr>
                  <w:r>
                    <w:rPr>
                      <w:sz w:val="24"/>
                    </w:rPr>
                    <w:t>Планы, графики</w:t>
                  </w:r>
                </w:p>
              </w:tc>
              <w:tc>
                <w:tcPr>
                  <w:tcW w:w="461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>
                  <w:pPr>
                    <w:pStyle w:val="Standard"/>
                    <w:widowControl w:val="false"/>
                    <w:spacing w:before="60" w:after="0"/>
                    <w:rPr>
                      <w:lang w:val="en-US"/>
                    </w:rPr>
                  </w:pPr>
                  <w:r>
                    <w:rPr>
                      <w:sz w:val="24"/>
                      <w:lang w:val="en-US"/>
                    </w:rPr>
                    <w:t xml:space="preserve">MS Project    </w:t>
                  </w:r>
                  <w:r>
                    <w:rPr>
                      <w:sz w:val="24"/>
                    </w:rPr>
                    <w:t>и</w:t>
                  </w:r>
                </w:p>
                <w:p>
                  <w:pPr>
                    <w:pStyle w:val="Standard"/>
                    <w:widowControl w:val="false"/>
                    <w:rPr>
                      <w:lang w:val="en-US"/>
                    </w:rPr>
                  </w:pPr>
                  <w:r>
                    <w:rPr>
                      <w:sz w:val="24"/>
                      <w:lang w:val="en-US"/>
                    </w:rPr>
                    <w:t>MS Excel</w:t>
                  </w:r>
                </w:p>
              </w:tc>
              <w:tc>
                <w:tcPr>
                  <w:tcW w:w="217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>
                  <w:pPr>
                    <w:pStyle w:val="Standard"/>
                    <w:widowControl w:val="false"/>
                    <w:spacing w:before="60" w:after="0"/>
                    <w:rPr>
                      <w:lang w:val="en-US"/>
                    </w:rPr>
                  </w:pPr>
                  <w:r>
                    <w:rPr>
                      <w:sz w:val="24"/>
                      <w:lang w:val="en-US"/>
                    </w:rPr>
                    <w:t>.mpp</w:t>
                  </w:r>
                </w:p>
                <w:p>
                  <w:pPr>
                    <w:pStyle w:val="Standard"/>
                    <w:widowControl w:val="false"/>
                    <w:rPr>
                      <w:lang w:val="en-US"/>
                    </w:rPr>
                  </w:pPr>
                  <w:r>
                    <w:rPr>
                      <w:sz w:val="24"/>
                      <w:lang w:val="en-US"/>
                    </w:rPr>
                    <w:t>.xls</w:t>
                  </w:r>
                </w:p>
              </w:tc>
            </w:tr>
            <w:tr>
              <w:trPr/>
              <w:tc>
                <w:tcPr>
                  <w:tcW w:w="319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>
                  <w:pPr>
                    <w:pStyle w:val="Standard"/>
                    <w:widowControl w:val="false"/>
                    <w:spacing w:before="60" w:after="0"/>
                    <w:rPr/>
                  </w:pPr>
                  <w:r>
                    <w:rPr>
                      <w:sz w:val="24"/>
                    </w:rPr>
                    <w:t>Чертежи</w:t>
                  </w:r>
                </w:p>
              </w:tc>
              <w:tc>
                <w:tcPr>
                  <w:tcW w:w="461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>
                  <w:pPr>
                    <w:pStyle w:val="Standard"/>
                    <w:widowControl w:val="false"/>
                    <w:spacing w:before="60" w:after="0"/>
                    <w:rPr/>
                  </w:pPr>
                  <w:r>
                    <w:rPr>
                      <w:sz w:val="24"/>
                      <w:lang w:val="en-US"/>
                    </w:rPr>
                    <w:t>AutoCAD</w:t>
                  </w:r>
                  <w:r>
                    <w:rPr>
                      <w:sz w:val="24"/>
                    </w:rPr>
                    <w:t xml:space="preserve">    и</w:t>
                  </w:r>
                </w:p>
                <w:p>
                  <w:pPr>
                    <w:pStyle w:val="Standard"/>
                    <w:widowControl w:val="false"/>
                    <w:rPr>
                      <w:lang w:val="en-US"/>
                    </w:rPr>
                  </w:pPr>
                  <w:r>
                    <w:rPr>
                      <w:sz w:val="24"/>
                      <w:lang w:val="en-US"/>
                    </w:rPr>
                    <w:t>Adobe Acrobat</w:t>
                  </w:r>
                </w:p>
              </w:tc>
              <w:tc>
                <w:tcPr>
                  <w:tcW w:w="217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>
                  <w:pPr>
                    <w:pStyle w:val="Standard"/>
                    <w:widowControl w:val="false"/>
                    <w:spacing w:before="60" w:after="0"/>
                    <w:rPr>
                      <w:lang w:val="en-US"/>
                    </w:rPr>
                  </w:pPr>
                  <w:r>
                    <w:rPr>
                      <w:sz w:val="24"/>
                      <w:lang w:val="en-US"/>
                    </w:rPr>
                    <w:t>.dwg</w:t>
                  </w:r>
                </w:p>
                <w:p>
                  <w:pPr>
                    <w:pStyle w:val="Standard"/>
                    <w:widowControl w:val="false"/>
                    <w:rPr>
                      <w:lang w:val="en-US"/>
                    </w:rPr>
                  </w:pPr>
                  <w:r>
                    <w:rPr>
                      <w:sz w:val="24"/>
                      <w:lang w:val="en-US"/>
                    </w:rPr>
                    <w:t>.pdf</w:t>
                  </w:r>
                </w:p>
              </w:tc>
            </w:tr>
            <w:tr>
              <w:trPr/>
              <w:tc>
                <w:tcPr>
                  <w:tcW w:w="319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>
                  <w:pPr>
                    <w:pStyle w:val="Standard"/>
                    <w:widowControl w:val="false"/>
                    <w:spacing w:before="60" w:after="0"/>
                    <w:rPr/>
                  </w:pPr>
                  <w:r>
                    <w:rPr>
                      <w:sz w:val="24"/>
                    </w:rPr>
                    <w:t>Графический материал</w:t>
                  </w:r>
                </w:p>
              </w:tc>
              <w:tc>
                <w:tcPr>
                  <w:tcW w:w="461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>
                  <w:pPr>
                    <w:pStyle w:val="Standard"/>
                    <w:widowControl w:val="false"/>
                    <w:spacing w:before="60" w:after="0"/>
                    <w:rPr>
                      <w:lang w:val="en-US"/>
                    </w:rPr>
                  </w:pPr>
                  <w:r>
                    <w:rPr>
                      <w:sz w:val="24"/>
                      <w:lang w:val="en-US"/>
                    </w:rPr>
                    <w:t xml:space="preserve">MS Photo Editor    </w:t>
                  </w:r>
                  <w:r>
                    <w:rPr>
                      <w:sz w:val="24"/>
                    </w:rPr>
                    <w:t>и</w:t>
                  </w:r>
                </w:p>
                <w:p>
                  <w:pPr>
                    <w:pStyle w:val="Standard"/>
                    <w:widowControl w:val="false"/>
                    <w:rPr>
                      <w:lang w:val="en-US"/>
                    </w:rPr>
                  </w:pPr>
                  <w:r>
                    <w:rPr>
                      <w:sz w:val="24"/>
                      <w:lang w:val="en-US"/>
                    </w:rPr>
                    <w:t>Adobe Acrobat</w:t>
                  </w:r>
                </w:p>
              </w:tc>
              <w:tc>
                <w:tcPr>
                  <w:tcW w:w="217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>
                  <w:pPr>
                    <w:pStyle w:val="Standard"/>
                    <w:widowControl w:val="false"/>
                    <w:spacing w:before="60" w:after="0"/>
                    <w:rPr>
                      <w:lang w:val="en-US"/>
                    </w:rPr>
                  </w:pPr>
                  <w:r>
                    <w:rPr>
                      <w:sz w:val="24"/>
                      <w:lang w:val="en-US"/>
                    </w:rPr>
                    <w:t>.jpg</w:t>
                  </w:r>
                </w:p>
                <w:p>
                  <w:pPr>
                    <w:pStyle w:val="Standard"/>
                    <w:widowControl w:val="false"/>
                    <w:rPr>
                      <w:lang w:val="en-US"/>
                    </w:rPr>
                  </w:pPr>
                  <w:r>
                    <w:rPr>
                      <w:sz w:val="24"/>
                      <w:lang w:val="en-US"/>
                    </w:rPr>
                    <w:t>.pdf</w:t>
                  </w:r>
                </w:p>
              </w:tc>
            </w:tr>
            <w:tr>
              <w:trPr/>
              <w:tc>
                <w:tcPr>
                  <w:tcW w:w="319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>
                  <w:pPr>
                    <w:pStyle w:val="Standard"/>
                    <w:widowControl w:val="false"/>
                    <w:spacing w:before="60" w:after="0"/>
                    <w:rPr/>
                  </w:pPr>
                  <w:r>
                    <w:rPr>
                      <w:sz w:val="24"/>
                    </w:rPr>
                    <w:t>Электронный архив</w:t>
                  </w:r>
                </w:p>
              </w:tc>
              <w:tc>
                <w:tcPr>
                  <w:tcW w:w="461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>
                  <w:pPr>
                    <w:pStyle w:val="Standard"/>
                    <w:widowControl w:val="false"/>
                    <w:spacing w:before="60" w:after="0"/>
                    <w:rPr>
                      <w:lang w:val="en-US"/>
                    </w:rPr>
                  </w:pPr>
                  <w:r>
                    <w:rPr>
                      <w:sz w:val="24"/>
                      <w:lang w:val="en-US"/>
                    </w:rPr>
                    <w:t>WinRar</w:t>
                  </w:r>
                </w:p>
              </w:tc>
              <w:tc>
                <w:tcPr>
                  <w:tcW w:w="217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>
                  <w:pPr>
                    <w:pStyle w:val="Standard"/>
                    <w:widowControl w:val="false"/>
                    <w:spacing w:before="60" w:after="0"/>
                    <w:rPr/>
                  </w:pPr>
                  <w:r>
                    <w:rPr>
                      <w:sz w:val="24"/>
                      <w:lang w:val="en-US"/>
                    </w:rPr>
                    <w:t>.rar</w:t>
                  </w:r>
                  <w:r>
                    <w:rPr>
                      <w:sz w:val="24"/>
                    </w:rPr>
                    <w:t xml:space="preserve"> *</w:t>
                  </w:r>
                </w:p>
              </w:tc>
            </w:tr>
            <w:tr>
              <w:trPr/>
              <w:tc>
                <w:tcPr>
                  <w:tcW w:w="319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>
                  <w:pPr>
                    <w:pStyle w:val="Standard"/>
                    <w:widowControl w:val="false"/>
                    <w:spacing w:before="60" w:after="0"/>
                    <w:rPr/>
                  </w:pPr>
                  <w:r>
                    <w:rPr>
                      <w:sz w:val="24"/>
                    </w:rPr>
                    <w:t>Сметная документация</w:t>
                  </w:r>
                </w:p>
              </w:tc>
              <w:tc>
                <w:tcPr>
                  <w:tcW w:w="461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>
                  <w:pPr>
                    <w:pStyle w:val="Standard"/>
                    <w:widowControl w:val="false"/>
                    <w:spacing w:before="60" w:after="0"/>
                    <w:rPr/>
                  </w:pPr>
                  <w:r>
                    <w:rPr>
                      <w:sz w:val="24"/>
                      <w:lang w:val="en-US"/>
                    </w:rPr>
                    <w:t>MS</w:t>
                  </w:r>
                  <w:r>
                    <w:rPr>
                      <w:sz w:val="24"/>
                    </w:rPr>
                    <w:t xml:space="preserve"> </w:t>
                  </w:r>
                  <w:r>
                    <w:rPr>
                      <w:sz w:val="24"/>
                      <w:lang w:val="en-US"/>
                    </w:rPr>
                    <w:t>Excel</w:t>
                  </w:r>
                  <w:r>
                    <w:rPr>
                      <w:sz w:val="24"/>
                    </w:rPr>
                    <w:t xml:space="preserve"> и в формате программы «ГРАНД СМЕТА», позволяющем вести накопительные ведомости по локальным сметам.</w:t>
                  </w:r>
                </w:p>
              </w:tc>
              <w:tc>
                <w:tcPr>
                  <w:tcW w:w="217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>
                  <w:pPr>
                    <w:pStyle w:val="Standard"/>
                    <w:widowControl w:val="false"/>
                    <w:spacing w:before="60" w:after="0"/>
                    <w:rPr/>
                  </w:pPr>
                  <w:r>
                    <w:rPr>
                      <w:sz w:val="24"/>
                    </w:rPr>
                    <w:t>.</w:t>
                  </w:r>
                  <w:r>
                    <w:rPr>
                      <w:sz w:val="24"/>
                      <w:lang w:val="en-US"/>
                    </w:rPr>
                    <w:t>xls</w:t>
                  </w:r>
                </w:p>
                <w:p>
                  <w:pPr>
                    <w:pStyle w:val="Standard"/>
                    <w:widowControl w:val="false"/>
                    <w:rPr/>
                  </w:pPr>
                  <w:r>
                    <w:rPr>
                      <w:sz w:val="24"/>
                    </w:rPr>
                    <w:t>.</w:t>
                  </w:r>
                  <w:r>
                    <w:rPr>
                      <w:sz w:val="24"/>
                      <w:lang w:val="en-US"/>
                    </w:rPr>
                    <w:t>gsf</w:t>
                  </w:r>
                </w:p>
              </w:tc>
            </w:tr>
          </w:tbl>
          <w:p>
            <w:pPr>
              <w:pStyle w:val="Standard"/>
              <w:widowControl w:val="false"/>
              <w:rPr/>
            </w:pPr>
            <w:r>
              <w:rPr/>
            </w:r>
          </w:p>
        </w:tc>
        <w:tc>
          <w:tcPr>
            <w:tcW w:w="1233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>
            <w:pPr>
              <w:pStyle w:val="141"/>
              <w:widowControl w:val="false"/>
              <w:rPr/>
            </w:pPr>
            <w:r>
              <w:rPr/>
            </w:r>
          </w:p>
        </w:tc>
      </w:tr>
      <w:tr>
        <w:trPr/>
        <w:tc>
          <w:tcPr>
            <w:tcW w:w="9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andard"/>
              <w:widowControl w:val="false"/>
              <w:spacing w:before="60" w:after="60"/>
              <w:jc w:val="center"/>
              <w:rPr>
                <w:b/>
                <w:b/>
              </w:rPr>
            </w:pPr>
            <w:r>
              <w:rPr>
                <w:b/>
              </w:rPr>
              <w:t>1.3.</w:t>
            </w:r>
          </w:p>
        </w:tc>
        <w:tc>
          <w:tcPr>
            <w:tcW w:w="1317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pStyle w:val="Standard"/>
              <w:widowControl w:val="false"/>
              <w:spacing w:before="60" w:after="0"/>
              <w:rPr>
                <w:b/>
                <w:b/>
              </w:rPr>
            </w:pPr>
            <w:r>
              <w:rPr>
                <w:b/>
                <w:sz w:val="24"/>
              </w:rPr>
              <w:t>Требования к безопасности работ и охране труда</w:t>
            </w:r>
          </w:p>
        </w:tc>
        <w:tc>
          <w:tcPr>
            <w:tcW w:w="1233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>
            <w:pPr>
              <w:pStyle w:val="Standard"/>
              <w:widowControl w:val="false"/>
              <w:spacing w:before="0" w:after="0"/>
              <w:rPr>
                <w:i/>
                <w:i/>
              </w:rPr>
            </w:pPr>
            <w:r>
              <w:rPr>
                <w:i/>
                <w:sz w:val="24"/>
              </w:rPr>
              <w:t>Согласие с требованием</w:t>
            </w:r>
          </w:p>
        </w:tc>
      </w:tr>
      <w:tr>
        <w:trPr/>
        <w:tc>
          <w:tcPr>
            <w:tcW w:w="9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andard"/>
              <w:widowControl w:val="false"/>
              <w:spacing w:before="60" w:after="60"/>
              <w:jc w:val="center"/>
              <w:rPr/>
            </w:pPr>
            <w:r>
              <w:rPr/>
              <w:t>1.3.1.</w:t>
            </w:r>
          </w:p>
        </w:tc>
        <w:tc>
          <w:tcPr>
            <w:tcW w:w="1317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pStyle w:val="Standard"/>
              <w:widowControl w:val="false"/>
              <w:spacing w:before="60" w:after="0"/>
              <w:ind w:left="567" w:firstLine="312"/>
              <w:rPr/>
            </w:pPr>
            <w:r>
              <w:rPr>
                <w:sz w:val="24"/>
              </w:rPr>
              <w:t>Работы,  производимые в действующих электроустановках, необходимо проводить с согласованными действиями и мероприятиями по охране труда согласно требованиям главы XLVI "Охрана труда при организации работ командированного персонала», Правила по охране труда при эксплуатации электроустановок, утвержденных приказом Министерства труда и социальной защиты РФ от 15 декабря 2020 г. № 903н (ред. от 29.04.2022).</w:t>
            </w:r>
          </w:p>
        </w:tc>
        <w:tc>
          <w:tcPr>
            <w:tcW w:w="1233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>
            <w:pPr>
              <w:pStyle w:val="141"/>
              <w:widowControl w:val="false"/>
              <w:rPr/>
            </w:pPr>
            <w:r>
              <w:rPr/>
            </w:r>
          </w:p>
        </w:tc>
      </w:tr>
      <w:tr>
        <w:trPr/>
        <w:tc>
          <w:tcPr>
            <w:tcW w:w="9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andard"/>
              <w:widowControl w:val="false"/>
              <w:spacing w:before="60" w:after="0"/>
              <w:jc w:val="center"/>
              <w:rPr/>
            </w:pPr>
            <w:r>
              <w:rPr>
                <w:sz w:val="24"/>
              </w:rPr>
              <w:t>1.3.2.</w:t>
            </w:r>
          </w:p>
        </w:tc>
        <w:tc>
          <w:tcPr>
            <w:tcW w:w="1317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pStyle w:val="Standard"/>
              <w:widowControl w:val="false"/>
              <w:spacing w:before="60" w:after="0"/>
              <w:ind w:left="567" w:firstLine="312"/>
              <w:rPr/>
            </w:pPr>
            <w:r>
              <w:rPr>
                <w:sz w:val="24"/>
              </w:rPr>
              <w:t>Подрядчик  до начала производства работ  на территориях и объектах Общества обязан в соответствии с требованиями статьи 214 Трудового кодекса РФ согласовать с Заказчиком мероприятия по предотвращению случаев повреждения здоровья работников.</w:t>
            </w:r>
          </w:p>
        </w:tc>
        <w:tc>
          <w:tcPr>
            <w:tcW w:w="1233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>
            <w:pPr>
              <w:pStyle w:val="141"/>
              <w:widowControl w:val="false"/>
              <w:rPr/>
            </w:pPr>
            <w:r>
              <w:rPr/>
            </w:r>
          </w:p>
        </w:tc>
      </w:tr>
      <w:tr>
        <w:trPr/>
        <w:tc>
          <w:tcPr>
            <w:tcW w:w="9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andard"/>
              <w:widowControl w:val="false"/>
              <w:spacing w:before="60" w:after="0"/>
              <w:jc w:val="center"/>
              <w:rPr>
                <w:b/>
                <w:b/>
              </w:rPr>
            </w:pPr>
            <w:r>
              <w:rPr>
                <w:b/>
                <w:sz w:val="24"/>
              </w:rPr>
              <w:t>2.</w:t>
            </w:r>
          </w:p>
        </w:tc>
        <w:tc>
          <w:tcPr>
            <w:tcW w:w="1317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pStyle w:val="Standard"/>
              <w:widowControl w:val="false"/>
              <w:spacing w:before="60" w:after="0"/>
              <w:rPr>
                <w:b/>
                <w:b/>
              </w:rPr>
            </w:pPr>
            <w:r>
              <w:rPr>
                <w:b/>
                <w:sz w:val="24"/>
              </w:rPr>
              <w:t>Требования к результатам работ</w:t>
            </w:r>
          </w:p>
        </w:tc>
        <w:tc>
          <w:tcPr>
            <w:tcW w:w="1233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>
            <w:pPr>
              <w:pStyle w:val="Standard"/>
              <w:widowControl w:val="false"/>
              <w:spacing w:before="0" w:after="0"/>
              <w:rPr>
                <w:i/>
                <w:i/>
              </w:rPr>
            </w:pPr>
            <w:r>
              <w:rPr>
                <w:i/>
                <w:sz w:val="24"/>
              </w:rPr>
              <w:t>Согласие с требованием</w:t>
            </w:r>
          </w:p>
        </w:tc>
      </w:tr>
      <w:tr>
        <w:trPr/>
        <w:tc>
          <w:tcPr>
            <w:tcW w:w="9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andard"/>
              <w:widowControl w:val="false"/>
              <w:spacing w:before="60" w:after="0"/>
              <w:jc w:val="center"/>
              <w:rPr/>
            </w:pPr>
            <w:r>
              <w:rPr>
                <w:sz w:val="24"/>
              </w:rPr>
              <w:t>2.1.</w:t>
            </w:r>
          </w:p>
        </w:tc>
        <w:tc>
          <w:tcPr>
            <w:tcW w:w="1317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pStyle w:val="Standard"/>
              <w:widowControl w:val="false"/>
              <w:spacing w:before="60" w:after="0"/>
              <w:rPr/>
            </w:pPr>
            <w:r>
              <w:rPr>
                <w:sz w:val="24"/>
              </w:rPr>
              <w:t xml:space="preserve"> </w:t>
            </w:r>
            <w:r>
              <w:rPr>
                <w:sz w:val="24"/>
              </w:rPr>
              <w:t>Приемка выполненных работ осуществляется Заказчиком в соответствии с условиями заключенного договора подряда.</w:t>
            </w:r>
          </w:p>
        </w:tc>
        <w:tc>
          <w:tcPr>
            <w:tcW w:w="1233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>
            <w:pPr>
              <w:pStyle w:val="141"/>
              <w:widowControl w:val="false"/>
              <w:rPr/>
            </w:pPr>
            <w:r>
              <w:rPr/>
            </w:r>
          </w:p>
        </w:tc>
      </w:tr>
    </w:tbl>
    <w:p>
      <w:pPr>
        <w:pStyle w:val="115"/>
        <w:ind w:left="567" w:hanging="0"/>
        <w:rPr/>
      </w:pPr>
      <w:r>
        <w:rPr/>
      </w:r>
    </w:p>
    <w:p>
      <w:pPr>
        <w:pStyle w:val="115"/>
        <w:ind w:left="567" w:hanging="0"/>
        <w:rPr/>
      </w:pPr>
      <w:r>
        <w:rPr/>
      </w:r>
    </w:p>
    <w:p>
      <w:pPr>
        <w:pStyle w:val="115"/>
        <w:ind w:left="567" w:hanging="0"/>
        <w:rPr/>
      </w:pPr>
      <w:r>
        <w:rPr/>
      </w:r>
    </w:p>
    <w:p>
      <w:pPr>
        <w:pStyle w:val="115"/>
        <w:ind w:left="567" w:hanging="0"/>
        <w:rPr/>
      </w:pPr>
      <w:r>
        <w:rPr/>
      </w:r>
    </w:p>
    <w:p>
      <w:pPr>
        <w:pStyle w:val="115"/>
        <w:ind w:left="567" w:hanging="0"/>
        <w:rPr/>
      </w:pPr>
      <w:r>
        <w:rPr/>
      </w:r>
    </w:p>
    <w:p>
      <w:pPr>
        <w:pStyle w:val="115"/>
        <w:ind w:left="567" w:hanging="0"/>
        <w:rPr/>
      </w:pPr>
      <w:r>
        <w:rPr/>
      </w:r>
    </w:p>
    <w:p>
      <w:pPr>
        <w:pStyle w:val="115"/>
        <w:ind w:left="567" w:hanging="0"/>
        <w:rPr/>
      </w:pPr>
      <w:r>
        <w:rPr/>
      </w:r>
    </w:p>
    <w:p>
      <w:pPr>
        <w:pStyle w:val="115"/>
        <w:ind w:left="567" w:hanging="0"/>
        <w:rPr/>
      </w:pPr>
      <w:r>
        <w:rPr/>
      </w:r>
    </w:p>
    <w:p>
      <w:pPr>
        <w:pStyle w:val="115"/>
        <w:ind w:left="567" w:hanging="0"/>
        <w:rPr/>
      </w:pPr>
      <w:r>
        <w:rPr/>
      </w:r>
    </w:p>
    <w:p>
      <w:pPr>
        <w:pStyle w:val="115"/>
        <w:ind w:left="567" w:hanging="0"/>
        <w:rPr/>
      </w:pPr>
      <w:r>
        <w:rPr/>
      </w:r>
    </w:p>
    <w:p>
      <w:pPr>
        <w:pStyle w:val="115"/>
        <w:ind w:left="567" w:hanging="0"/>
        <w:rPr/>
      </w:pPr>
      <w:r>
        <w:rPr/>
      </w:r>
    </w:p>
    <w:p>
      <w:pPr>
        <w:pStyle w:val="115"/>
        <w:ind w:left="567" w:hanging="0"/>
        <w:rPr/>
      </w:pPr>
      <w:r>
        <w:rPr/>
      </w:r>
    </w:p>
    <w:p>
      <w:pPr>
        <w:pStyle w:val="115"/>
        <w:ind w:left="567" w:hanging="0"/>
        <w:rPr/>
      </w:pPr>
      <w:r>
        <w:rPr/>
      </w:r>
    </w:p>
    <w:p>
      <w:pPr>
        <w:pStyle w:val="115"/>
        <w:ind w:left="567" w:hanging="0"/>
        <w:rPr/>
      </w:pPr>
      <w:r>
        <w:rPr/>
      </w:r>
    </w:p>
    <w:p>
      <w:pPr>
        <w:sectPr>
          <w:headerReference w:type="default" r:id="rId3"/>
          <w:type w:val="nextPage"/>
          <w:pgSz w:orient="landscape" w:w="16838" w:h="11906"/>
          <w:pgMar w:left="992" w:right="1814" w:header="864" w:top="970" w:footer="0" w:bottom="851" w:gutter="0"/>
          <w:pgNumType w:fmt="decimal"/>
          <w:formProt w:val="false"/>
          <w:textDirection w:val="lrTb"/>
          <w:docGrid w:type="default" w:linePitch="360" w:charSpace="16384"/>
        </w:sectPr>
        <w:pStyle w:val="115"/>
        <w:ind w:left="567" w:hanging="0"/>
        <w:rPr/>
      </w:pPr>
      <w:r>
        <w:rPr/>
      </w:r>
    </w:p>
    <w:p>
      <w:pPr>
        <w:pStyle w:val="115"/>
        <w:ind w:left="567" w:hanging="0"/>
        <w:rPr/>
      </w:pPr>
      <w:r>
        <w:rPr/>
      </w:r>
    </w:p>
    <w:p>
      <w:pPr>
        <w:pStyle w:val="115"/>
        <w:numPr>
          <w:ilvl w:val="0"/>
          <w:numId w:val="0"/>
        </w:numPr>
        <w:ind w:left="4759" w:hanging="0"/>
        <w:rPr>
          <w:rFonts w:ascii="Liberation Serif" w:hAnsi="Liberation Serif"/>
          <w:b/>
          <w:b/>
          <w:i/>
          <w:i/>
          <w:sz w:val="23"/>
        </w:rPr>
      </w:pPr>
      <w:r>
        <w:rPr/>
      </w:r>
    </w:p>
    <w:sectPr>
      <w:headerReference w:type="default" r:id="rId4"/>
      <w:type w:val="nextPage"/>
      <w:pgSz w:w="11906" w:h="16838"/>
      <w:pgMar w:left="1134" w:right="851" w:header="818" w:top="924" w:footer="0" w:bottom="992" w:gutter="0"/>
      <w:pgNumType w:fmt="decimal"/>
      <w:formProt w:val="false"/>
      <w:textDirection w:val="lrTb"/>
      <w:docGrid w:type="default" w:linePitch="360" w:charSpace="16384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Times New Roman">
    <w:charset w:val="01"/>
    <w:family w:val="roman"/>
    <w:pitch w:val="variable"/>
  </w:font>
  <w:font w:name="Arial">
    <w:charset w:val="01"/>
    <w:family w:val="roman"/>
    <w:pitch w:val="variable"/>
  </w:font>
  <w:font w:name="Cambria">
    <w:charset w:val="01"/>
    <w:family w:val="roman"/>
    <w:pitch w:val="variable"/>
  </w:font>
  <w:font w:name="Calibri">
    <w:charset w:val="01"/>
    <w:family w:val="roman"/>
    <w:pitch w:val="variable"/>
  </w:font>
  <w:font w:name="Segoe UI">
    <w:charset w:val="01"/>
    <w:family w:val="roman"/>
    <w:pitch w:val="variable"/>
  </w:font>
  <w:font w:name="'Times New Roman'">
    <w:charset w:val="01"/>
    <w:family w:val="roman"/>
    <w:pitch w:val="variable"/>
  </w:font>
  <w:font w:name="'Courier New'">
    <w:charset w:val="01"/>
    <w:family w:val="roman"/>
    <w:pitch w:val="variable"/>
  </w:font>
  <w:font w:name="Wingdings">
    <w:charset w:val="01"/>
    <w:family w:val="roman"/>
    <w:pitch w:val="variable"/>
  </w:font>
  <w:font w:name="Symbol">
    <w:charset w:val="01"/>
    <w:family w:val="roman"/>
    <w:pitch w:val="variable"/>
  </w:font>
  <w:font w:name="Liberation Sans">
    <w:altName w:val="Arial"/>
    <w:charset w:val="01"/>
    <w:family w:val="roman"/>
    <w:pitch w:val="variable"/>
  </w:font>
  <w:font w:name="Tahoma">
    <w:charset w:val="01"/>
    <w:family w:val="roman"/>
    <w:pitch w:val="variable"/>
  </w:font>
  <w:font w:name="Arial Unicode MS">
    <w:charset w:val="01"/>
    <w:family w:val="roman"/>
    <w:pitch w:val="variable"/>
  </w:font>
  <w:font w:name="Verdana">
    <w:charset w:val="01"/>
    <w:family w:val="roman"/>
    <w:pitch w:val="variable"/>
  </w:font>
  <w:font w:name="Garamond">
    <w:charset w:val="01"/>
    <w:family w:val="roman"/>
    <w:pitch w:val="variable"/>
  </w:font>
</w:fonts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126"/>
      <w:spacing w:before="60" w:after="0"/>
      <w:jc w:val="center"/>
      <w:rPr/>
    </w:pPr>
    <w:r>
      <w:rPr/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115"/>
      <w:spacing w:before="60" w:after="0"/>
      <w:ind w:left="0" w:hanging="0"/>
      <w:jc w:val="right"/>
      <w:rPr/>
    </w:pPr>
    <w:r>
      <w:rPr>
        <w:rFonts w:eastAsia="Times New Roman"/>
        <w:sz w:val="24"/>
      </w:rPr>
      <w:t>Таблица 5. Требования к качеству работ</w:t>
    </w:r>
  </w:p>
</w:hdr>
</file>

<file path=word/header3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126"/>
      <w:spacing w:before="60" w:after="0"/>
      <w:jc w:val="center"/>
      <w:rPr/>
    </w:pPr>
    <w:r>
      <w:rPr/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decimal"/>
      <w:lvlText w:val="%1."/>
      <w:lvlJc w:val="left"/>
      <w:pPr>
        <w:tabs>
          <w:tab w:val="num" w:pos="0"/>
        </w:tabs>
        <w:ind w:left="5037" w:hanging="360"/>
      </w:pPr>
    </w:lvl>
    <w:lvl w:ilvl="1">
      <w:start w:val="1"/>
      <w:numFmt w:val="decimal"/>
      <w:lvlText w:val="%1.%2."/>
      <w:lvlJc w:val="left"/>
      <w:pPr>
        <w:tabs>
          <w:tab w:val="num" w:pos="0"/>
        </w:tabs>
        <w:ind w:left="432" w:hanging="432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</w:lvl>
  </w:abstractNum>
  <w:abstractNum w:abstractNumId="2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>
  <w:zoom w:percent="75"/>
  <w:defaultTabStop w:val="709"/>
  <w:autoHyphenation w:val="true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themeFontLang w:val="en-US" w:eastAsia="zh-CN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NSimSun" w:cs="Arial"/>
        <w:lang w:val="ru-RU" w:eastAsia="zh-CN" w:bidi="hi-IN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NSimSun" w:cs="Arial"/>
      <w:color w:val="auto"/>
      <w:kern w:val="0"/>
      <w:sz w:val="20"/>
      <w:szCs w:val="20"/>
      <w:lang w:val="ru-RU" w:eastAsia="zh-CN" w:bidi="hi-IN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DStyletext" w:customStyle="1">
    <w:name w:val="DStyle_text"/>
    <w:qFormat/>
    <w:rPr/>
  </w:style>
  <w:style w:type="character" w:styleId="Heading1Char" w:customStyle="1">
    <w:name w:val="Heading 1 Char"/>
    <w:qFormat/>
    <w:rPr>
      <w:rFonts w:ascii="Arial" w:hAnsi="Arial" w:cs="Arial"/>
      <w:sz w:val="40"/>
    </w:rPr>
  </w:style>
  <w:style w:type="character" w:styleId="Heading2Char" w:customStyle="1">
    <w:name w:val="Heading 2 Char"/>
    <w:qFormat/>
    <w:rPr>
      <w:rFonts w:ascii="Arial" w:hAnsi="Arial" w:cs="Arial"/>
      <w:sz w:val="34"/>
    </w:rPr>
  </w:style>
  <w:style w:type="character" w:styleId="Heading3Char" w:customStyle="1">
    <w:name w:val="Heading 3 Char"/>
    <w:qFormat/>
    <w:rPr>
      <w:rFonts w:ascii="Arial" w:hAnsi="Arial" w:cs="Arial"/>
      <w:sz w:val="30"/>
    </w:rPr>
  </w:style>
  <w:style w:type="character" w:styleId="Heading4Char" w:customStyle="1">
    <w:name w:val="Heading 4 Char"/>
    <w:qFormat/>
    <w:rPr>
      <w:rFonts w:ascii="Arial" w:hAnsi="Arial" w:cs="Arial"/>
      <w:b/>
      <w:sz w:val="26"/>
    </w:rPr>
  </w:style>
  <w:style w:type="character" w:styleId="Heading5Char" w:customStyle="1">
    <w:name w:val="Heading 5 Char"/>
    <w:qFormat/>
    <w:rPr>
      <w:rFonts w:ascii="Arial" w:hAnsi="Arial" w:cs="Arial"/>
      <w:b/>
      <w:sz w:val="24"/>
    </w:rPr>
  </w:style>
  <w:style w:type="character" w:styleId="Heading6Char" w:customStyle="1">
    <w:name w:val="Heading 6 Char"/>
    <w:qFormat/>
    <w:rPr>
      <w:rFonts w:ascii="Arial" w:hAnsi="Arial" w:cs="Arial"/>
      <w:b/>
      <w:sz w:val="22"/>
    </w:rPr>
  </w:style>
  <w:style w:type="character" w:styleId="Heading7Char" w:customStyle="1">
    <w:name w:val="Heading 7 Char"/>
    <w:qFormat/>
    <w:rPr>
      <w:rFonts w:ascii="Arial" w:hAnsi="Arial" w:cs="Arial"/>
      <w:b/>
      <w:i/>
      <w:sz w:val="22"/>
    </w:rPr>
  </w:style>
  <w:style w:type="character" w:styleId="Heading8Char" w:customStyle="1">
    <w:name w:val="Heading 8 Char"/>
    <w:qFormat/>
    <w:rPr>
      <w:rFonts w:ascii="Arial" w:hAnsi="Arial" w:cs="Arial"/>
      <w:i/>
      <w:sz w:val="22"/>
    </w:rPr>
  </w:style>
  <w:style w:type="character" w:styleId="Heading9Char" w:customStyle="1">
    <w:name w:val="Heading 9 Char"/>
    <w:qFormat/>
    <w:rPr>
      <w:rFonts w:ascii="Arial" w:hAnsi="Arial" w:cs="Arial"/>
      <w:i/>
      <w:sz w:val="21"/>
    </w:rPr>
  </w:style>
  <w:style w:type="character" w:styleId="TitleChar" w:customStyle="1">
    <w:name w:val="Title Char"/>
    <w:qFormat/>
    <w:rPr>
      <w:sz w:val="48"/>
    </w:rPr>
  </w:style>
  <w:style w:type="character" w:styleId="SubtitleChar" w:customStyle="1">
    <w:name w:val="Subtitle Char"/>
    <w:qFormat/>
    <w:rPr>
      <w:sz w:val="24"/>
    </w:rPr>
  </w:style>
  <w:style w:type="character" w:styleId="QuoteChar" w:customStyle="1">
    <w:name w:val="Quote Char"/>
    <w:qFormat/>
    <w:rPr>
      <w:i/>
    </w:rPr>
  </w:style>
  <w:style w:type="character" w:styleId="IntenseQuoteChar" w:customStyle="1">
    <w:name w:val="Intense Quote Char"/>
    <w:qFormat/>
    <w:rPr>
      <w:i/>
    </w:rPr>
  </w:style>
  <w:style w:type="character" w:styleId="HeaderChar" w:customStyle="1">
    <w:name w:val="Header Char"/>
    <w:qFormat/>
    <w:rPr/>
  </w:style>
  <w:style w:type="character" w:styleId="FooterChar" w:customStyle="1">
    <w:name w:val="Footer Char"/>
    <w:qFormat/>
    <w:rPr/>
  </w:style>
  <w:style w:type="character" w:styleId="CaptionChar" w:customStyle="1">
    <w:name w:val="Caption Char"/>
    <w:qFormat/>
    <w:rPr>
      <w:b/>
      <w:color w:val="4F81BD"/>
      <w:sz w:val="18"/>
    </w:rPr>
  </w:style>
  <w:style w:type="character" w:styleId="1" w:customStyle="1">
    <w:name w:val="Гиперссылка1"/>
    <w:qFormat/>
    <w:rPr>
      <w:color w:val="0000FF"/>
      <w:u w:val="single"/>
    </w:rPr>
  </w:style>
  <w:style w:type="character" w:styleId="Style14" w:customStyle="1">
    <w:name w:val="Интернет-ссылка"/>
    <w:qFormat/>
    <w:rPr>
      <w:color w:val="000080"/>
      <w:u w:val="single"/>
    </w:rPr>
  </w:style>
  <w:style w:type="character" w:styleId="FootnoteTextChar" w:customStyle="1">
    <w:name w:val="Footnote Text Char"/>
    <w:qFormat/>
    <w:rPr>
      <w:sz w:val="18"/>
    </w:rPr>
  </w:style>
  <w:style w:type="character" w:styleId="Style15" w:customStyle="1">
    <w:name w:val="Символ сноски"/>
    <w:qFormat/>
    <w:rPr>
      <w:vertAlign w:val="superscript"/>
    </w:rPr>
  </w:style>
  <w:style w:type="character" w:styleId="Style16">
    <w:name w:val="Привязка сноски"/>
    <w:rPr>
      <w:vertAlign w:val="superscript"/>
    </w:rPr>
  </w:style>
  <w:style w:type="character" w:styleId="FootnoteCharacters" w:customStyle="1">
    <w:name w:val="Footnote Characters"/>
    <w:qFormat/>
    <w:rPr>
      <w:vertAlign w:val="superscript"/>
    </w:rPr>
  </w:style>
  <w:style w:type="character" w:styleId="EndnoteTextChar" w:customStyle="1">
    <w:name w:val="Endnote Text Char"/>
    <w:qFormat/>
    <w:rPr>
      <w:sz w:val="20"/>
    </w:rPr>
  </w:style>
  <w:style w:type="character" w:styleId="Style17" w:customStyle="1">
    <w:name w:val="Символ концевой сноски"/>
    <w:qFormat/>
    <w:rPr>
      <w:vertAlign w:val="superscript"/>
    </w:rPr>
  </w:style>
  <w:style w:type="character" w:styleId="Style18">
    <w:name w:val="Привязка концевой сноски"/>
    <w:rPr>
      <w:vertAlign w:val="superscript"/>
    </w:rPr>
  </w:style>
  <w:style w:type="character" w:styleId="EndnoteCharacters" w:customStyle="1">
    <w:name w:val="Endnote Characters"/>
    <w:basedOn w:val="DefaultParagraphFont"/>
    <w:qFormat/>
    <w:rPr>
      <w:vertAlign w:val="superscript"/>
    </w:rPr>
  </w:style>
  <w:style w:type="character" w:styleId="11" w:customStyle="1">
    <w:name w:val="Номер страницы1"/>
    <w:basedOn w:val="DefaultParagraphFont"/>
    <w:qFormat/>
    <w:rPr/>
  </w:style>
  <w:style w:type="character" w:styleId="12" w:customStyle="1">
    <w:name w:val="Знак примечания1"/>
    <w:qFormat/>
    <w:rPr>
      <w:sz w:val="16"/>
    </w:rPr>
  </w:style>
  <w:style w:type="character" w:styleId="13" w:customStyle="1">
    <w:name w:val="Строгий1"/>
    <w:qFormat/>
    <w:rPr>
      <w:b/>
    </w:rPr>
  </w:style>
  <w:style w:type="character" w:styleId="6" w:customStyle="1">
    <w:name w:val="Заголовок 6 Знак"/>
    <w:qFormat/>
    <w:rPr>
      <w:rFonts w:ascii="Cambria" w:hAnsi="Cambria" w:cs="Cambria"/>
      <w:i/>
      <w:color w:val="243F60"/>
    </w:rPr>
  </w:style>
  <w:style w:type="character" w:styleId="7" w:customStyle="1">
    <w:name w:val="Заголовок 7 Знак"/>
    <w:qFormat/>
    <w:rPr>
      <w:rFonts w:ascii="Cambria" w:hAnsi="Cambria" w:cs="Cambria"/>
      <w:i/>
      <w:color w:val="404040"/>
    </w:rPr>
  </w:style>
  <w:style w:type="character" w:styleId="8" w:customStyle="1">
    <w:name w:val="Заголовок 8 Знак"/>
    <w:qFormat/>
    <w:rPr>
      <w:rFonts w:ascii="Cambria" w:hAnsi="Cambria" w:cs="Cambria"/>
      <w:color w:val="4F81BD"/>
    </w:rPr>
  </w:style>
  <w:style w:type="character" w:styleId="14" w:customStyle="1">
    <w:name w:val="Заголовок 1 Знак"/>
    <w:qFormat/>
    <w:rPr>
      <w:b/>
      <w:sz w:val="28"/>
    </w:rPr>
  </w:style>
  <w:style w:type="character" w:styleId="2" w:customStyle="1">
    <w:name w:val="Заголовок 2 Знак"/>
    <w:qFormat/>
    <w:rPr>
      <w:b/>
      <w:sz w:val="24"/>
    </w:rPr>
  </w:style>
  <w:style w:type="character" w:styleId="3" w:customStyle="1">
    <w:name w:val="Заголовок 3 Знак"/>
    <w:qFormat/>
    <w:rPr>
      <w:b/>
      <w:sz w:val="24"/>
    </w:rPr>
  </w:style>
  <w:style w:type="character" w:styleId="4" w:customStyle="1">
    <w:name w:val="Заголовок 4 Знак"/>
    <w:qFormat/>
    <w:rPr>
      <w:b/>
      <w:sz w:val="24"/>
    </w:rPr>
  </w:style>
  <w:style w:type="character" w:styleId="5" w:customStyle="1">
    <w:name w:val="Заголовок 5 Знак"/>
    <w:qFormat/>
    <w:rPr>
      <w:b/>
      <w:i/>
      <w:sz w:val="26"/>
    </w:rPr>
  </w:style>
  <w:style w:type="character" w:styleId="9" w:customStyle="1">
    <w:name w:val="Заголовок 9 Знак"/>
    <w:qFormat/>
    <w:rPr>
      <w:rFonts w:ascii="Arial" w:hAnsi="Arial" w:cs="Arial"/>
      <w:sz w:val="22"/>
    </w:rPr>
  </w:style>
  <w:style w:type="character" w:styleId="Style19" w:customStyle="1">
    <w:name w:val="Название Знак"/>
    <w:qFormat/>
    <w:rPr>
      <w:sz w:val="28"/>
    </w:rPr>
  </w:style>
  <w:style w:type="character" w:styleId="Style20" w:customStyle="1">
    <w:name w:val="Подзаголовок Знак"/>
    <w:qFormat/>
    <w:rPr>
      <w:rFonts w:ascii="Cambria" w:hAnsi="Cambria" w:cs="Cambria"/>
      <w:i/>
      <w:color w:val="4F81BD"/>
      <w:spacing w:val="14"/>
      <w:sz w:val="24"/>
    </w:rPr>
  </w:style>
  <w:style w:type="character" w:styleId="15" w:customStyle="1">
    <w:name w:val="Выделение1"/>
    <w:qFormat/>
    <w:rPr>
      <w:i/>
    </w:rPr>
  </w:style>
  <w:style w:type="character" w:styleId="21" w:customStyle="1">
    <w:name w:val="Цитата 2 Знак"/>
    <w:qFormat/>
    <w:rPr>
      <w:rFonts w:ascii="Calibri" w:hAnsi="Calibri" w:cs="Calibri"/>
      <w:i/>
      <w:color w:val="000000"/>
    </w:rPr>
  </w:style>
  <w:style w:type="character" w:styleId="Style21" w:customStyle="1">
    <w:name w:val="Выделенная цитата Знак"/>
    <w:qFormat/>
    <w:rPr>
      <w:rFonts w:ascii="Calibri" w:hAnsi="Calibri" w:cs="Calibri"/>
      <w:b/>
      <w:i/>
      <w:color w:val="4F81BD"/>
    </w:rPr>
  </w:style>
  <w:style w:type="character" w:styleId="16" w:customStyle="1">
    <w:name w:val="Слабое выделение1"/>
    <w:qFormat/>
    <w:rPr>
      <w:i/>
      <w:color w:val="808080"/>
    </w:rPr>
  </w:style>
  <w:style w:type="character" w:styleId="17" w:customStyle="1">
    <w:name w:val="Сильное выделение1"/>
    <w:qFormat/>
    <w:rPr>
      <w:b/>
      <w:i/>
      <w:color w:val="4F81BD"/>
    </w:rPr>
  </w:style>
  <w:style w:type="character" w:styleId="18" w:customStyle="1">
    <w:name w:val="Слабая ссылка1"/>
    <w:qFormat/>
    <w:rPr>
      <w:smallCaps/>
      <w:color w:val="C0504D"/>
      <w:u w:val="single"/>
    </w:rPr>
  </w:style>
  <w:style w:type="character" w:styleId="19" w:customStyle="1">
    <w:name w:val="Сильная ссылка1"/>
    <w:qFormat/>
    <w:rPr>
      <w:b/>
      <w:smallCaps/>
      <w:color w:val="C0504D"/>
      <w:spacing w:val="5"/>
      <w:u w:val="single"/>
    </w:rPr>
  </w:style>
  <w:style w:type="character" w:styleId="110" w:customStyle="1">
    <w:name w:val="Название книги1"/>
    <w:qFormat/>
    <w:rPr>
      <w:b/>
      <w:smallCaps/>
      <w:spacing w:val="5"/>
    </w:rPr>
  </w:style>
  <w:style w:type="character" w:styleId="Style22" w:customStyle="1">
    <w:name w:val="Электронная подпись Знак"/>
    <w:qFormat/>
    <w:rPr>
      <w:sz w:val="24"/>
    </w:rPr>
  </w:style>
  <w:style w:type="character" w:styleId="111" w:customStyle="1">
    <w:name w:val="Подпункт Знак1"/>
    <w:qFormat/>
    <w:rPr>
      <w:sz w:val="28"/>
    </w:rPr>
  </w:style>
  <w:style w:type="character" w:styleId="Style23" w:customStyle="1">
    <w:name w:val="Текст сноски Знак"/>
    <w:qFormat/>
    <w:rPr/>
  </w:style>
  <w:style w:type="character" w:styleId="Style24" w:customStyle="1">
    <w:name w:val="Основной текст Знак"/>
    <w:qFormat/>
    <w:rPr>
      <w:sz w:val="28"/>
    </w:rPr>
  </w:style>
  <w:style w:type="character" w:styleId="Blk" w:customStyle="1">
    <w:name w:val="blk"/>
    <w:qFormat/>
    <w:rPr/>
  </w:style>
  <w:style w:type="character" w:styleId="Style25" w:customStyle="1">
    <w:name w:val="Абзац списка Знак"/>
    <w:qFormat/>
    <w:rPr>
      <w:sz w:val="24"/>
    </w:rPr>
  </w:style>
  <w:style w:type="character" w:styleId="Style26" w:customStyle="1">
    <w:name w:val="комментарий"/>
    <w:qFormat/>
    <w:rPr>
      <w:b/>
      <w:i/>
      <w:shd w:fill="FFFF99" w:val="clear"/>
    </w:rPr>
  </w:style>
  <w:style w:type="character" w:styleId="Style27" w:customStyle="1">
    <w:name w:val="Подподпункт Знак"/>
    <w:qFormat/>
    <w:rPr>
      <w:sz w:val="26"/>
    </w:rPr>
  </w:style>
  <w:style w:type="character" w:styleId="31" w:customStyle="1">
    <w:name w:val="УРОВЕНЬ_Абзац_тип3 Знак"/>
    <w:qFormat/>
    <w:rPr>
      <w:sz w:val="26"/>
    </w:rPr>
  </w:style>
  <w:style w:type="character" w:styleId="Style28" w:customStyle="1">
    <w:name w:val="Верхний колонтитул Знак"/>
    <w:qFormat/>
    <w:rPr>
      <w:sz w:val="24"/>
    </w:rPr>
  </w:style>
  <w:style w:type="character" w:styleId="Style29" w:customStyle="1">
    <w:name w:val="Текст примечания Знак"/>
    <w:qFormat/>
    <w:rPr/>
  </w:style>
  <w:style w:type="character" w:styleId="Style30" w:customStyle="1">
    <w:name w:val="Текст концевой сноски Знак"/>
    <w:basedOn w:val="DefaultParagraphFont"/>
    <w:qFormat/>
    <w:rPr/>
  </w:style>
  <w:style w:type="character" w:styleId="22" w:customStyle="1">
    <w:name w:val="Пункт2 Знак"/>
    <w:qFormat/>
    <w:rPr>
      <w:b/>
      <w:sz w:val="28"/>
    </w:rPr>
  </w:style>
  <w:style w:type="character" w:styleId="112" w:customStyle="1">
    <w:name w:val="УРОВЕНЬ_1. Знак"/>
    <w:qFormat/>
    <w:rPr>
      <w:caps/>
      <w:sz w:val="28"/>
    </w:rPr>
  </w:style>
  <w:style w:type="character" w:styleId="113" w:customStyle="1">
    <w:name w:val="Неразрешенное упоминание1"/>
    <w:basedOn w:val="DefaultParagraphFont"/>
    <w:qFormat/>
    <w:rPr>
      <w:color w:val="605E5C"/>
      <w:shd w:fill="E1DFDD" w:val="clear"/>
    </w:rPr>
  </w:style>
  <w:style w:type="character" w:styleId="32" w:customStyle="1">
    <w:name w:val="Основной текст с отступом 3 Знак"/>
    <w:qFormat/>
    <w:rPr>
      <w:sz w:val="16"/>
    </w:rPr>
  </w:style>
  <w:style w:type="character" w:styleId="Style31" w:customStyle="1">
    <w:name w:val="Ссылка указателя"/>
    <w:qFormat/>
    <w:rPr/>
  </w:style>
  <w:style w:type="character" w:styleId="Style32" w:customStyle="1">
    <w:name w:val="Основной текст с отступом Знак"/>
    <w:basedOn w:val="DefaultParagraphFont"/>
    <w:qFormat/>
    <w:rPr>
      <w:rFonts w:ascii="Times New Roman" w:hAnsi="Times New Roman" w:cs="Times New Roman"/>
    </w:rPr>
  </w:style>
  <w:style w:type="character" w:styleId="Heading2" w:customStyle="1">
    <w:name w:val="Heading #2_"/>
    <w:basedOn w:val="DefaultParagraphFont"/>
    <w:qFormat/>
    <w:rPr>
      <w:rFonts w:ascii="Times New Roman" w:hAnsi="Times New Roman" w:cs="Times New Roman"/>
      <w:b/>
      <w:sz w:val="28"/>
      <w:shd w:fill="FFFFFF" w:val="clear"/>
    </w:rPr>
  </w:style>
  <w:style w:type="character" w:styleId="Bodytext2" w:customStyle="1">
    <w:name w:val="Body text (2)_"/>
    <w:basedOn w:val="DefaultParagraphFont"/>
    <w:qFormat/>
    <w:rPr>
      <w:rFonts w:ascii="Times New Roman" w:hAnsi="Times New Roman" w:cs="Times New Roman"/>
      <w:sz w:val="28"/>
      <w:shd w:fill="FFFFFF" w:val="clear"/>
    </w:rPr>
  </w:style>
  <w:style w:type="character" w:styleId="Hl" w:customStyle="1">
    <w:name w:val="hl"/>
    <w:basedOn w:val="DefaultParagraphFont"/>
    <w:qFormat/>
    <w:rPr/>
  </w:style>
  <w:style w:type="character" w:styleId="Style33" w:customStyle="1">
    <w:name w:val="Текст Знак"/>
    <w:basedOn w:val="DefaultParagraphFont"/>
    <w:qFormat/>
    <w:rPr>
      <w:rFonts w:ascii="Calibri" w:hAnsi="Calibri" w:cs="Calibri"/>
    </w:rPr>
  </w:style>
  <w:style w:type="character" w:styleId="Style34" w:customStyle="1">
    <w:name w:val="Тема примечания Знак"/>
    <w:basedOn w:val="Style29"/>
    <w:qFormat/>
    <w:rPr>
      <w:rFonts w:ascii="Times New Roman" w:hAnsi="Times New Roman" w:cs="Times New Roman"/>
      <w:b/>
      <w:sz w:val="20"/>
    </w:rPr>
  </w:style>
  <w:style w:type="character" w:styleId="Style35" w:customStyle="1">
    <w:name w:val="Текст выноски Знак"/>
    <w:basedOn w:val="DefaultParagraphFont"/>
    <w:qFormat/>
    <w:rPr>
      <w:rFonts w:ascii="Segoe UI" w:hAnsi="Segoe UI" w:cs="Segoe UI"/>
      <w:sz w:val="18"/>
    </w:rPr>
  </w:style>
  <w:style w:type="character" w:styleId="WW8Num4z0" w:customStyle="1">
    <w:name w:val="WW8Num4z0"/>
    <w:qFormat/>
    <w:rPr>
      <w:sz w:val="24"/>
    </w:rPr>
  </w:style>
  <w:style w:type="character" w:styleId="Style36" w:customStyle="1">
    <w:name w:val="Символ нумерации"/>
    <w:qFormat/>
    <w:rPr/>
  </w:style>
  <w:style w:type="character" w:styleId="33" w:customStyle="1">
    <w:name w:val="Основной шрифт абзаца3"/>
    <w:qFormat/>
    <w:rPr>
      <w:rFonts w:ascii="Calibri" w:hAnsi="Calibri" w:cs="Calibri"/>
      <w:color w:val="000000"/>
      <w:sz w:val="22"/>
      <w:lang w:val="ru-RU"/>
    </w:rPr>
  </w:style>
  <w:style w:type="character" w:styleId="T1" w:customStyle="1">
    <w:name w:val="T1"/>
    <w:qFormat/>
    <w:rPr>
      <w:rFonts w:ascii="'Times New Roman'" w:hAnsi="'Times New Roman'" w:cs="'Times New Roman'"/>
    </w:rPr>
  </w:style>
  <w:style w:type="character" w:styleId="T2" w:customStyle="1">
    <w:name w:val="T2"/>
    <w:qFormat/>
    <w:rPr>
      <w:rFonts w:ascii="'Courier New'" w:hAnsi="'Courier New'" w:cs="'Courier New'"/>
    </w:rPr>
  </w:style>
  <w:style w:type="character" w:styleId="T3" w:customStyle="1">
    <w:name w:val="T3"/>
    <w:qFormat/>
    <w:rPr>
      <w:rFonts w:ascii="Wingdings" w:hAnsi="Wingdings" w:cs="Wingdings"/>
    </w:rPr>
  </w:style>
  <w:style w:type="character" w:styleId="T4" w:customStyle="1">
    <w:name w:val="T4"/>
    <w:qFormat/>
    <w:rPr>
      <w:rFonts w:ascii="Symbol" w:hAnsi="Symbol" w:cs="Symbol"/>
    </w:rPr>
  </w:style>
  <w:style w:type="character" w:styleId="T5" w:customStyle="1">
    <w:name w:val="T5"/>
    <w:qFormat/>
    <w:rPr>
      <w:rFonts w:ascii="'Courier New'" w:hAnsi="'Courier New'" w:cs="'Courier New'"/>
    </w:rPr>
  </w:style>
  <w:style w:type="character" w:styleId="T6" w:customStyle="1">
    <w:name w:val="T6"/>
    <w:qFormat/>
    <w:rPr>
      <w:rFonts w:ascii="Wingdings" w:hAnsi="Wingdings" w:cs="Wingdings"/>
    </w:rPr>
  </w:style>
  <w:style w:type="character" w:styleId="T7" w:customStyle="1">
    <w:name w:val="T7"/>
    <w:qFormat/>
    <w:rPr>
      <w:rFonts w:ascii="Symbol" w:hAnsi="Symbol" w:cs="Symbol"/>
    </w:rPr>
  </w:style>
  <w:style w:type="character" w:styleId="T8" w:customStyle="1">
    <w:name w:val="T8"/>
    <w:qFormat/>
    <w:rPr>
      <w:rFonts w:ascii="'Courier New'" w:hAnsi="'Courier New'" w:cs="'Courier New'"/>
    </w:rPr>
  </w:style>
  <w:style w:type="character" w:styleId="T9" w:customStyle="1">
    <w:name w:val="T9"/>
    <w:qFormat/>
    <w:rPr>
      <w:rFonts w:ascii="Wingdings" w:hAnsi="Wingdings" w:cs="Wingdings"/>
    </w:rPr>
  </w:style>
  <w:style w:type="character" w:styleId="T10" w:customStyle="1">
    <w:name w:val="T10"/>
    <w:qFormat/>
    <w:rPr>
      <w:rFonts w:ascii="'Times New Roman'" w:hAnsi="'Times New Roman'" w:cs="'Times New Roman'"/>
    </w:rPr>
  </w:style>
  <w:style w:type="character" w:styleId="T11" w:customStyle="1">
    <w:name w:val="T11"/>
    <w:qFormat/>
    <w:rPr>
      <w:rFonts w:ascii="Symbol" w:hAnsi="Symbol" w:cs="Symbol"/>
    </w:rPr>
  </w:style>
  <w:style w:type="character" w:styleId="T12" w:customStyle="1">
    <w:name w:val="T12"/>
    <w:qFormat/>
    <w:rPr>
      <w:rFonts w:ascii="'Courier New'" w:hAnsi="'Courier New'" w:cs="'Courier New'"/>
    </w:rPr>
  </w:style>
  <w:style w:type="character" w:styleId="T13" w:customStyle="1">
    <w:name w:val="T13"/>
    <w:qFormat/>
    <w:rPr>
      <w:rFonts w:ascii="Wingdings" w:hAnsi="Wingdings" w:cs="Wingdings"/>
    </w:rPr>
  </w:style>
  <w:style w:type="character" w:styleId="T14" w:customStyle="1">
    <w:name w:val="T14"/>
    <w:qFormat/>
    <w:rPr>
      <w:rFonts w:ascii="Symbol" w:hAnsi="Symbol" w:cs="Symbol"/>
    </w:rPr>
  </w:style>
  <w:style w:type="character" w:styleId="T15" w:customStyle="1">
    <w:name w:val="T15"/>
    <w:qFormat/>
    <w:rPr>
      <w:rFonts w:ascii="'Courier New'" w:hAnsi="'Courier New'" w:cs="'Courier New'"/>
    </w:rPr>
  </w:style>
  <w:style w:type="character" w:styleId="T16" w:customStyle="1">
    <w:name w:val="T16"/>
    <w:qFormat/>
    <w:rPr>
      <w:rFonts w:ascii="Wingdings" w:hAnsi="Wingdings" w:cs="Wingdings"/>
    </w:rPr>
  </w:style>
  <w:style w:type="character" w:styleId="T17" w:customStyle="1">
    <w:name w:val="T17"/>
    <w:qFormat/>
    <w:rPr>
      <w:rFonts w:ascii="Symbol" w:hAnsi="Symbol" w:cs="Symbol"/>
    </w:rPr>
  </w:style>
  <w:style w:type="character" w:styleId="T18" w:customStyle="1">
    <w:name w:val="T18"/>
    <w:qFormat/>
    <w:rPr>
      <w:rFonts w:ascii="'Courier New'" w:hAnsi="'Courier New'" w:cs="'Courier New'"/>
    </w:rPr>
  </w:style>
  <w:style w:type="character" w:styleId="T19" w:customStyle="1">
    <w:name w:val="T19"/>
    <w:qFormat/>
    <w:rPr>
      <w:rFonts w:ascii="Wingdings" w:hAnsi="Wingdings" w:cs="Wingdings"/>
    </w:rPr>
  </w:style>
  <w:style w:type="character" w:styleId="Linenumber">
    <w:name w:val="line number"/>
    <w:qFormat/>
    <w:rPr/>
  </w:style>
  <w:style w:type="paragraph" w:styleId="Style37">
    <w:name w:val="Заголовок"/>
    <w:basedOn w:val="Normal"/>
    <w:next w:val="Style38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Style38">
    <w:name w:val="Body Text"/>
    <w:basedOn w:val="114"/>
    <w:pPr>
      <w:spacing w:lineRule="auto" w:line="276" w:before="0" w:after="140"/>
    </w:pPr>
    <w:rPr/>
  </w:style>
  <w:style w:type="paragraph" w:styleId="Style39">
    <w:name w:val="List"/>
    <w:basedOn w:val="Style38"/>
    <w:pPr/>
    <w:rPr>
      <w:rFonts w:cs="Arial"/>
    </w:rPr>
  </w:style>
  <w:style w:type="paragraph" w:styleId="Style40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Style41">
    <w:name w:val="Указатель"/>
    <w:basedOn w:val="Normal"/>
    <w:qFormat/>
    <w:pPr>
      <w:suppressLineNumbers/>
    </w:pPr>
    <w:rPr>
      <w:rFonts w:cs="Arial"/>
    </w:rPr>
  </w:style>
  <w:style w:type="paragraph" w:styleId="114" w:customStyle="1">
    <w:name w:val="Обычный1"/>
    <w:basedOn w:val="DStyleparagraph"/>
    <w:qFormat/>
    <w:pPr>
      <w:suppressAutoHyphens w:val="false"/>
    </w:pPr>
    <w:rPr/>
  </w:style>
  <w:style w:type="paragraph" w:styleId="115" w:customStyle="1">
    <w:name w:val="Заголовок 11"/>
    <w:basedOn w:val="311"/>
    <w:qFormat/>
    <w:pPr/>
    <w:rPr>
      <w:sz w:val="28"/>
    </w:rPr>
  </w:style>
  <w:style w:type="paragraph" w:styleId="211" w:customStyle="1">
    <w:name w:val="Заголовок 21"/>
    <w:basedOn w:val="41"/>
    <w:qFormat/>
    <w:pPr/>
    <w:rPr/>
  </w:style>
  <w:style w:type="paragraph" w:styleId="311" w:customStyle="1">
    <w:name w:val="Заголовок 31"/>
    <w:basedOn w:val="Standard"/>
    <w:qFormat/>
    <w:pPr>
      <w:ind w:left="567" w:hanging="562"/>
    </w:pPr>
    <w:rPr>
      <w:b/>
      <w:sz w:val="24"/>
    </w:rPr>
  </w:style>
  <w:style w:type="paragraph" w:styleId="41" w:customStyle="1">
    <w:name w:val="Заголовок 41"/>
    <w:basedOn w:val="311"/>
    <w:qFormat/>
    <w:pPr/>
    <w:rPr/>
  </w:style>
  <w:style w:type="paragraph" w:styleId="51" w:customStyle="1">
    <w:name w:val="Заголовок 51"/>
    <w:basedOn w:val="Standard"/>
    <w:qFormat/>
    <w:pPr>
      <w:spacing w:before="240" w:after="60"/>
    </w:pPr>
    <w:rPr>
      <w:b/>
      <w:i/>
    </w:rPr>
  </w:style>
  <w:style w:type="paragraph" w:styleId="61" w:customStyle="1">
    <w:name w:val="Заголовок 61"/>
    <w:basedOn w:val="Standard"/>
    <w:qFormat/>
    <w:pPr>
      <w:spacing w:before="200" w:after="0"/>
    </w:pPr>
    <w:rPr>
      <w:rFonts w:ascii="Cambria" w:hAnsi="Cambria" w:cs="Cambria"/>
      <w:i/>
      <w:color w:val="243F60"/>
      <w:sz w:val="20"/>
    </w:rPr>
  </w:style>
  <w:style w:type="paragraph" w:styleId="71" w:customStyle="1">
    <w:name w:val="Заголовок 71"/>
    <w:basedOn w:val="Standard"/>
    <w:qFormat/>
    <w:pPr>
      <w:spacing w:before="200" w:after="0"/>
    </w:pPr>
    <w:rPr>
      <w:rFonts w:ascii="Cambria" w:hAnsi="Cambria" w:cs="Cambria"/>
      <w:i/>
      <w:color w:val="404040"/>
      <w:sz w:val="20"/>
    </w:rPr>
  </w:style>
  <w:style w:type="paragraph" w:styleId="81" w:customStyle="1">
    <w:name w:val="Заголовок 81"/>
    <w:basedOn w:val="Standard"/>
    <w:qFormat/>
    <w:pPr>
      <w:spacing w:before="200" w:after="0"/>
    </w:pPr>
    <w:rPr>
      <w:rFonts w:ascii="Cambria" w:hAnsi="Cambria" w:cs="Cambria"/>
      <w:color w:val="4F81BD"/>
      <w:sz w:val="20"/>
    </w:rPr>
  </w:style>
  <w:style w:type="paragraph" w:styleId="91" w:customStyle="1">
    <w:name w:val="Заголовок 91"/>
    <w:basedOn w:val="Standard"/>
    <w:qFormat/>
    <w:pPr>
      <w:spacing w:before="240" w:after="60"/>
    </w:pPr>
    <w:rPr>
      <w:rFonts w:ascii="Arial" w:hAnsi="Arial" w:cs="Arial"/>
      <w:sz w:val="22"/>
    </w:rPr>
  </w:style>
  <w:style w:type="paragraph" w:styleId="116" w:customStyle="1">
    <w:name w:val="Заголовок1"/>
    <w:basedOn w:val="Standard"/>
    <w:next w:val="Style38"/>
    <w:qFormat/>
    <w:pPr>
      <w:spacing w:before="240" w:after="120"/>
    </w:pPr>
    <w:rPr>
      <w:rFonts w:ascii="Liberation Sans" w:hAnsi="Liberation Sans" w:cs="Liberation Sans"/>
      <w:sz w:val="28"/>
    </w:rPr>
  </w:style>
  <w:style w:type="paragraph" w:styleId="117" w:customStyle="1">
    <w:name w:val="Список1"/>
    <w:basedOn w:val="Textbody"/>
    <w:qFormat/>
    <w:pPr/>
    <w:rPr/>
  </w:style>
  <w:style w:type="paragraph" w:styleId="118" w:customStyle="1">
    <w:name w:val="Название объекта1"/>
    <w:basedOn w:val="Standard"/>
    <w:qFormat/>
    <w:pPr/>
    <w:rPr>
      <w:b/>
      <w:color w:val="4F81BD"/>
      <w:sz w:val="18"/>
    </w:rPr>
  </w:style>
  <w:style w:type="paragraph" w:styleId="119" w:customStyle="1">
    <w:name w:val="Указатель1"/>
    <w:basedOn w:val="Standard"/>
    <w:qFormat/>
    <w:pPr/>
    <w:rPr/>
  </w:style>
  <w:style w:type="paragraph" w:styleId="DStyleparagraph" w:customStyle="1">
    <w:name w:val="DStyle_paragraph"/>
    <w:qFormat/>
    <w:pPr>
      <w:widowControl/>
      <w:suppressAutoHyphens w:val="true"/>
      <w:bidi w:val="0"/>
      <w:spacing w:before="0" w:after="0"/>
      <w:jc w:val="left"/>
    </w:pPr>
    <w:rPr>
      <w:rFonts w:ascii="Calibri" w:hAnsi="Calibri" w:eastAsia="NSimSun" w:cs="Calibri"/>
      <w:color w:val="000000"/>
      <w:kern w:val="0"/>
      <w:sz w:val="22"/>
      <w:szCs w:val="20"/>
      <w:lang w:val="ru-RU" w:eastAsia="zh-CN" w:bidi="hi-IN"/>
    </w:rPr>
  </w:style>
  <w:style w:type="paragraph" w:styleId="23" w:customStyle="1">
    <w:name w:val="Заголовок2"/>
    <w:basedOn w:val="114"/>
    <w:qFormat/>
    <w:pPr>
      <w:spacing w:before="300" w:after="200"/>
    </w:pPr>
    <w:rPr>
      <w:sz w:val="48"/>
    </w:rPr>
  </w:style>
  <w:style w:type="paragraph" w:styleId="120" w:customStyle="1">
    <w:name w:val="Текст сноски1"/>
    <w:basedOn w:val="114"/>
    <w:qFormat/>
    <w:pPr>
      <w:spacing w:before="0" w:after="40"/>
    </w:pPr>
    <w:rPr>
      <w:sz w:val="18"/>
    </w:rPr>
  </w:style>
  <w:style w:type="paragraph" w:styleId="121" w:customStyle="1">
    <w:name w:val="Текст концевой сноски1"/>
    <w:basedOn w:val="114"/>
    <w:qFormat/>
    <w:pPr/>
    <w:rPr>
      <w:sz w:val="20"/>
    </w:rPr>
  </w:style>
  <w:style w:type="paragraph" w:styleId="1110" w:customStyle="1">
    <w:name w:val="Оглавление 11"/>
    <w:basedOn w:val="114"/>
    <w:qFormat/>
    <w:pPr>
      <w:spacing w:before="0" w:after="57"/>
    </w:pPr>
    <w:rPr/>
  </w:style>
  <w:style w:type="paragraph" w:styleId="212" w:customStyle="1">
    <w:name w:val="Оглавление 21"/>
    <w:basedOn w:val="114"/>
    <w:qFormat/>
    <w:pPr>
      <w:spacing w:before="0" w:after="57"/>
      <w:ind w:left="283" w:hanging="0"/>
    </w:pPr>
    <w:rPr/>
  </w:style>
  <w:style w:type="paragraph" w:styleId="312" w:customStyle="1">
    <w:name w:val="Оглавление 31"/>
    <w:basedOn w:val="114"/>
    <w:qFormat/>
    <w:pPr>
      <w:spacing w:before="0" w:after="57"/>
      <w:ind w:left="567" w:hanging="0"/>
    </w:pPr>
    <w:rPr/>
  </w:style>
  <w:style w:type="paragraph" w:styleId="411" w:customStyle="1">
    <w:name w:val="Оглавление 41"/>
    <w:basedOn w:val="114"/>
    <w:qFormat/>
    <w:pPr>
      <w:spacing w:before="0" w:after="57"/>
      <w:ind w:left="850" w:hanging="0"/>
    </w:pPr>
    <w:rPr/>
  </w:style>
  <w:style w:type="paragraph" w:styleId="511" w:customStyle="1">
    <w:name w:val="Оглавление 51"/>
    <w:basedOn w:val="114"/>
    <w:qFormat/>
    <w:pPr>
      <w:spacing w:before="0" w:after="57"/>
      <w:ind w:left="1134" w:hanging="0"/>
    </w:pPr>
    <w:rPr/>
  </w:style>
  <w:style w:type="paragraph" w:styleId="611" w:customStyle="1">
    <w:name w:val="Оглавление 61"/>
    <w:basedOn w:val="114"/>
    <w:qFormat/>
    <w:pPr>
      <w:spacing w:before="0" w:after="57"/>
      <w:ind w:left="1417" w:hanging="0"/>
    </w:pPr>
    <w:rPr/>
  </w:style>
  <w:style w:type="paragraph" w:styleId="711" w:customStyle="1">
    <w:name w:val="Оглавление 71"/>
    <w:basedOn w:val="114"/>
    <w:qFormat/>
    <w:pPr>
      <w:spacing w:before="0" w:after="57"/>
      <w:ind w:left="1701" w:hanging="0"/>
    </w:pPr>
    <w:rPr/>
  </w:style>
  <w:style w:type="paragraph" w:styleId="811" w:customStyle="1">
    <w:name w:val="Оглавление 81"/>
    <w:basedOn w:val="114"/>
    <w:qFormat/>
    <w:pPr>
      <w:spacing w:before="0" w:after="57"/>
      <w:ind w:left="1984" w:hanging="0"/>
    </w:pPr>
    <w:rPr/>
  </w:style>
  <w:style w:type="paragraph" w:styleId="911" w:customStyle="1">
    <w:name w:val="Оглавление 91"/>
    <w:basedOn w:val="114"/>
    <w:qFormat/>
    <w:pPr>
      <w:spacing w:before="0" w:after="57"/>
      <w:ind w:left="2268" w:hanging="0"/>
    </w:pPr>
    <w:rPr/>
  </w:style>
  <w:style w:type="paragraph" w:styleId="24" w:customStyle="1">
    <w:name w:val="Указатель2"/>
    <w:basedOn w:val="116"/>
    <w:qFormat/>
    <w:pPr/>
    <w:rPr/>
  </w:style>
  <w:style w:type="paragraph" w:styleId="122" w:customStyle="1">
    <w:name w:val="Заголовок оглавления1"/>
    <w:basedOn w:val="DStyleparagraph"/>
    <w:qFormat/>
    <w:pPr/>
    <w:rPr/>
  </w:style>
  <w:style w:type="paragraph" w:styleId="123" w:customStyle="1">
    <w:name w:val="Перечень рисунков1"/>
    <w:basedOn w:val="114"/>
    <w:qFormat/>
    <w:pPr/>
    <w:rPr/>
  </w:style>
  <w:style w:type="paragraph" w:styleId="Standard" w:customStyle="1">
    <w:name w:val="Standard"/>
    <w:basedOn w:val="DStyleparagraph"/>
    <w:qFormat/>
    <w:pPr>
      <w:spacing w:before="60" w:after="0"/>
      <w:jc w:val="both"/>
    </w:pPr>
    <w:rPr>
      <w:rFonts w:ascii="Times New Roman" w:hAnsi="Times New Roman" w:cs="Times New Roman"/>
      <w:sz w:val="26"/>
    </w:rPr>
  </w:style>
  <w:style w:type="paragraph" w:styleId="Textbody" w:customStyle="1">
    <w:name w:val="Text body"/>
    <w:basedOn w:val="Standard"/>
    <w:qFormat/>
    <w:pPr>
      <w:spacing w:before="0" w:after="120"/>
    </w:pPr>
    <w:rPr/>
  </w:style>
  <w:style w:type="paragraph" w:styleId="Style42" w:customStyle="1">
    <w:name w:val="Название раздела инструкции"/>
    <w:basedOn w:val="Standard"/>
    <w:qFormat/>
    <w:pPr>
      <w:jc w:val="center"/>
    </w:pPr>
    <w:rPr>
      <w:b/>
    </w:rPr>
  </w:style>
  <w:style w:type="paragraph" w:styleId="Style43" w:customStyle="1">
    <w:name w:val="Раздел положения"/>
    <w:basedOn w:val="Standard"/>
    <w:qFormat/>
    <w:pPr>
      <w:spacing w:before="80" w:after="80"/>
      <w:jc w:val="center"/>
    </w:pPr>
    <w:rPr>
      <w:b/>
      <w:sz w:val="32"/>
    </w:rPr>
  </w:style>
  <w:style w:type="paragraph" w:styleId="Style44" w:customStyle="1">
    <w:name w:val="Подраздел раздела положения"/>
    <w:basedOn w:val="Standard"/>
    <w:qFormat/>
    <w:pPr>
      <w:spacing w:before="80" w:after="80"/>
    </w:pPr>
    <w:rPr/>
  </w:style>
  <w:style w:type="paragraph" w:styleId="Footnote" w:customStyle="1">
    <w:name w:val="Footnote"/>
    <w:basedOn w:val="Standard"/>
    <w:qFormat/>
    <w:pPr/>
    <w:rPr>
      <w:sz w:val="20"/>
    </w:rPr>
  </w:style>
  <w:style w:type="paragraph" w:styleId="124" w:customStyle="1">
    <w:name w:val="Шапка 1"/>
    <w:basedOn w:val="Standard"/>
    <w:qFormat/>
    <w:pPr>
      <w:pBdr>
        <w:bottom w:val="single" w:sz="36" w:space="0" w:color="000000"/>
      </w:pBdr>
      <w:spacing w:before="0" w:after="240"/>
      <w:jc w:val="center"/>
    </w:pPr>
    <w:rPr>
      <w:sz w:val="22"/>
    </w:rPr>
  </w:style>
  <w:style w:type="paragraph" w:styleId="25" w:customStyle="1">
    <w:name w:val="Шапка 2"/>
    <w:basedOn w:val="Standard"/>
    <w:qFormat/>
    <w:pPr>
      <w:pBdr>
        <w:bottom w:val="single" w:sz="36" w:space="0" w:color="000000"/>
      </w:pBdr>
      <w:spacing w:before="0" w:after="120"/>
      <w:jc w:val="center"/>
    </w:pPr>
    <w:rPr>
      <w:b/>
      <w:sz w:val="22"/>
    </w:rPr>
  </w:style>
  <w:style w:type="paragraph" w:styleId="34" w:customStyle="1">
    <w:name w:val="Шапка 3"/>
    <w:basedOn w:val="Standard"/>
    <w:qFormat/>
    <w:pPr>
      <w:pBdr>
        <w:bottom w:val="single" w:sz="36" w:space="0" w:color="000000"/>
      </w:pBdr>
      <w:spacing w:before="240" w:after="360"/>
      <w:jc w:val="center"/>
    </w:pPr>
    <w:rPr>
      <w:b/>
      <w:sz w:val="24"/>
    </w:rPr>
  </w:style>
  <w:style w:type="paragraph" w:styleId="125" w:customStyle="1">
    <w:name w:val="Название1"/>
    <w:basedOn w:val="Standard"/>
    <w:qFormat/>
    <w:pPr>
      <w:jc w:val="center"/>
    </w:pPr>
    <w:rPr/>
  </w:style>
  <w:style w:type="paragraph" w:styleId="Style45" w:customStyle="1">
    <w:name w:val="Колонтитул"/>
    <w:basedOn w:val="Standard"/>
    <w:qFormat/>
    <w:pPr/>
    <w:rPr/>
  </w:style>
  <w:style w:type="paragraph" w:styleId="126" w:customStyle="1">
    <w:name w:val="Верхний колонтитул1"/>
    <w:basedOn w:val="Standard"/>
    <w:qFormat/>
    <w:pPr>
      <w:tabs>
        <w:tab w:val="clear" w:pos="709"/>
        <w:tab w:val="center" w:pos="4675" w:leader="none"/>
        <w:tab w:val="right" w:pos="9353" w:leader="none"/>
      </w:tabs>
    </w:pPr>
    <w:rPr>
      <w:sz w:val="24"/>
    </w:rPr>
  </w:style>
  <w:style w:type="paragraph" w:styleId="Textbodyindent" w:customStyle="1">
    <w:name w:val="Text body indent"/>
    <w:basedOn w:val="Standard"/>
    <w:qFormat/>
    <w:pPr>
      <w:ind w:left="360" w:hanging="0"/>
    </w:pPr>
    <w:rPr>
      <w:sz w:val="24"/>
    </w:rPr>
  </w:style>
  <w:style w:type="paragraph" w:styleId="127" w:customStyle="1">
    <w:name w:val="Нижний колонтитул1"/>
    <w:basedOn w:val="Standard"/>
    <w:qFormat/>
    <w:pPr>
      <w:tabs>
        <w:tab w:val="clear" w:pos="709"/>
        <w:tab w:val="center" w:pos="4675" w:leader="none"/>
        <w:tab w:val="right" w:pos="9353" w:leader="none"/>
      </w:tabs>
    </w:pPr>
    <w:rPr/>
  </w:style>
  <w:style w:type="paragraph" w:styleId="213" w:customStyle="1">
    <w:name w:val="Основной текст с отступом 21"/>
    <w:basedOn w:val="Standard"/>
    <w:qFormat/>
    <w:pPr>
      <w:spacing w:lineRule="auto" w:line="480" w:before="0" w:after="120"/>
      <w:ind w:left="283" w:hanging="0"/>
    </w:pPr>
    <w:rPr/>
  </w:style>
  <w:style w:type="paragraph" w:styleId="313" w:customStyle="1">
    <w:name w:val="Основной текст 31"/>
    <w:basedOn w:val="Standard"/>
    <w:qFormat/>
    <w:pPr>
      <w:spacing w:before="0" w:after="120"/>
    </w:pPr>
    <w:rPr>
      <w:sz w:val="16"/>
    </w:rPr>
  </w:style>
  <w:style w:type="paragraph" w:styleId="314" w:customStyle="1">
    <w:name w:val="Основной текст с отступом 31"/>
    <w:basedOn w:val="Standard"/>
    <w:qFormat/>
    <w:pPr>
      <w:spacing w:before="0" w:after="120"/>
      <w:ind w:left="283" w:hanging="0"/>
    </w:pPr>
    <w:rPr>
      <w:sz w:val="16"/>
    </w:rPr>
  </w:style>
  <w:style w:type="paragraph" w:styleId="214" w:customStyle="1">
    <w:name w:val="Основной текст 21"/>
    <w:basedOn w:val="Standard"/>
    <w:qFormat/>
    <w:pPr>
      <w:spacing w:lineRule="auto" w:line="480" w:before="0" w:after="120"/>
    </w:pPr>
    <w:rPr/>
  </w:style>
  <w:style w:type="paragraph" w:styleId="128" w:customStyle="1">
    <w:name w:val="Цитата1"/>
    <w:basedOn w:val="Standard"/>
    <w:qFormat/>
    <w:pPr>
      <w:ind w:left="-562" w:right="-761" w:hanging="0"/>
      <w:jc w:val="center"/>
    </w:pPr>
    <w:rPr>
      <w:b/>
      <w:sz w:val="24"/>
    </w:rPr>
  </w:style>
  <w:style w:type="paragraph" w:styleId="Style46" w:customStyle="1">
    <w:name w:val="Подпункт"/>
    <w:basedOn w:val="Standard"/>
    <w:qFormat/>
    <w:pPr>
      <w:tabs>
        <w:tab w:val="clear" w:pos="709"/>
        <w:tab w:val="left" w:pos="6801" w:leader="none"/>
      </w:tabs>
      <w:spacing w:lineRule="auto" w:line="360"/>
      <w:ind w:left="1134" w:hanging="1129"/>
    </w:pPr>
    <w:rPr/>
  </w:style>
  <w:style w:type="paragraph" w:styleId="26" w:customStyle="1">
    <w:name w:val="Пункт2"/>
    <w:basedOn w:val="Standard"/>
    <w:qFormat/>
    <w:pPr>
      <w:tabs>
        <w:tab w:val="clear" w:pos="709"/>
        <w:tab w:val="left" w:pos="6801" w:leader="none"/>
      </w:tabs>
      <w:spacing w:before="240" w:after="120"/>
      <w:ind w:left="1134" w:hanging="1129"/>
    </w:pPr>
    <w:rPr>
      <w:b/>
    </w:rPr>
  </w:style>
  <w:style w:type="paragraph" w:styleId="Contents1" w:customStyle="1">
    <w:name w:val="Contents 1"/>
    <w:basedOn w:val="Standard"/>
    <w:qFormat/>
    <w:pPr>
      <w:spacing w:before="120" w:after="0"/>
    </w:pPr>
    <w:rPr>
      <w:b/>
      <w:sz w:val="24"/>
    </w:rPr>
  </w:style>
  <w:style w:type="paragraph" w:styleId="Contents3" w:customStyle="1">
    <w:name w:val="Contents 3"/>
    <w:basedOn w:val="Standard"/>
    <w:qFormat/>
    <w:pPr>
      <w:ind w:left="280" w:hanging="0"/>
    </w:pPr>
    <w:rPr>
      <w:sz w:val="20"/>
    </w:rPr>
  </w:style>
  <w:style w:type="paragraph" w:styleId="Style47" w:customStyle="1">
    <w:name w:val="Раздел регламента"/>
    <w:basedOn w:val="Standard"/>
    <w:qFormat/>
    <w:pPr/>
    <w:rPr/>
  </w:style>
  <w:style w:type="paragraph" w:styleId="Style48" w:customStyle="1">
    <w:name w:val="Приложение к регламенту"/>
    <w:basedOn w:val="Standard"/>
    <w:qFormat/>
    <w:pPr>
      <w:jc w:val="right"/>
    </w:pPr>
    <w:rPr/>
  </w:style>
  <w:style w:type="paragraph" w:styleId="Contents2" w:customStyle="1">
    <w:name w:val="Contents 2"/>
    <w:basedOn w:val="Standard"/>
    <w:qFormat/>
    <w:pPr>
      <w:spacing w:before="240" w:after="0"/>
    </w:pPr>
    <w:rPr>
      <w:b/>
      <w:sz w:val="20"/>
    </w:rPr>
  </w:style>
  <w:style w:type="paragraph" w:styleId="129" w:customStyle="1">
    <w:name w:val="Текст выноски1"/>
    <w:basedOn w:val="Standard"/>
    <w:qFormat/>
    <w:pPr/>
    <w:rPr>
      <w:rFonts w:ascii="Tahoma" w:hAnsi="Tahoma" w:cs="Tahoma"/>
      <w:sz w:val="16"/>
    </w:rPr>
  </w:style>
  <w:style w:type="paragraph" w:styleId="130" w:customStyle="1">
    <w:name w:val="Текст примечания1"/>
    <w:basedOn w:val="Standard"/>
    <w:qFormat/>
    <w:pPr/>
    <w:rPr>
      <w:sz w:val="20"/>
    </w:rPr>
  </w:style>
  <w:style w:type="paragraph" w:styleId="131" w:customStyle="1">
    <w:name w:val="Тема примечания1"/>
    <w:basedOn w:val="130"/>
    <w:qFormat/>
    <w:pPr/>
    <w:rPr>
      <w:b/>
    </w:rPr>
  </w:style>
  <w:style w:type="paragraph" w:styleId="132" w:customStyle="1">
    <w:name w:val="Обычный (веб)1"/>
    <w:basedOn w:val="Standard"/>
    <w:qFormat/>
    <w:pPr>
      <w:spacing w:before="280" w:after="280"/>
    </w:pPr>
    <w:rPr>
      <w:rFonts w:ascii="Arial Unicode MS" w:hAnsi="Arial Unicode MS" w:cs="Arial Unicode MS"/>
      <w:sz w:val="24"/>
    </w:rPr>
  </w:style>
  <w:style w:type="paragraph" w:styleId="Contents9" w:customStyle="1">
    <w:name w:val="Contents 9"/>
    <w:basedOn w:val="Standard"/>
    <w:qFormat/>
    <w:pPr>
      <w:ind w:left="1960" w:hanging="0"/>
    </w:pPr>
    <w:rPr>
      <w:rFonts w:ascii="Calibri" w:hAnsi="Calibri" w:cs="Calibri"/>
      <w:sz w:val="20"/>
    </w:rPr>
  </w:style>
  <w:style w:type="paragraph" w:styleId="Contents5" w:customStyle="1">
    <w:name w:val="Contents 5"/>
    <w:basedOn w:val="Standard"/>
    <w:qFormat/>
    <w:pPr>
      <w:ind w:left="840" w:hanging="0"/>
    </w:pPr>
    <w:rPr>
      <w:rFonts w:ascii="Calibri" w:hAnsi="Calibri" w:cs="Calibri"/>
      <w:sz w:val="20"/>
    </w:rPr>
  </w:style>
  <w:style w:type="paragraph" w:styleId="Contents4" w:customStyle="1">
    <w:name w:val="Contents 4"/>
    <w:basedOn w:val="Standard"/>
    <w:qFormat/>
    <w:pPr>
      <w:ind w:left="560" w:hanging="0"/>
    </w:pPr>
    <w:rPr>
      <w:sz w:val="20"/>
    </w:rPr>
  </w:style>
  <w:style w:type="paragraph" w:styleId="27" w:customStyle="1">
    <w:name w:val="Раздел положения 2"/>
    <w:basedOn w:val="Standard"/>
    <w:qFormat/>
    <w:pPr>
      <w:pageBreakBefore/>
    </w:pPr>
    <w:rPr>
      <w:b/>
    </w:rPr>
  </w:style>
  <w:style w:type="paragraph" w:styleId="Style49" w:customStyle="1">
    <w:name w:val="Знак Знак Знак Знак Знак Знак Знак Знак Знак"/>
    <w:basedOn w:val="Standard"/>
    <w:qFormat/>
    <w:pPr>
      <w:spacing w:lineRule="exact" w:line="240" w:before="0" w:after="160"/>
    </w:pPr>
    <w:rPr>
      <w:rFonts w:ascii="Verdana" w:hAnsi="Verdana" w:cs="Verdana"/>
      <w:sz w:val="22"/>
      <w:lang w:val="en-US"/>
    </w:rPr>
  </w:style>
  <w:style w:type="paragraph" w:styleId="133" w:customStyle="1">
    <w:name w:val="Без интервала1"/>
    <w:basedOn w:val="Standard"/>
    <w:qFormat/>
    <w:pPr>
      <w:spacing w:lineRule="auto" w:line="360"/>
    </w:pPr>
    <w:rPr>
      <w:sz w:val="24"/>
    </w:rPr>
  </w:style>
  <w:style w:type="paragraph" w:styleId="134" w:customStyle="1">
    <w:name w:val="Подзаголовок1"/>
    <w:basedOn w:val="Standard"/>
    <w:qFormat/>
    <w:pPr>
      <w:ind w:left="1066" w:firstLine="709"/>
    </w:pPr>
    <w:rPr>
      <w:rFonts w:ascii="Cambria" w:hAnsi="Cambria" w:cs="Cambria"/>
      <w:i/>
      <w:color w:val="4F81BD"/>
      <w:spacing w:val="14"/>
      <w:sz w:val="24"/>
    </w:rPr>
  </w:style>
  <w:style w:type="paragraph" w:styleId="135" w:customStyle="1">
    <w:name w:val="Абзац списка1"/>
    <w:basedOn w:val="Standard"/>
    <w:qFormat/>
    <w:pPr>
      <w:spacing w:lineRule="auto" w:line="276" w:before="0" w:after="200"/>
      <w:ind w:left="720" w:hanging="0"/>
    </w:pPr>
    <w:rPr>
      <w:rFonts w:ascii="Calibri" w:hAnsi="Calibri" w:cs="Calibri"/>
      <w:sz w:val="22"/>
    </w:rPr>
  </w:style>
  <w:style w:type="paragraph" w:styleId="215" w:customStyle="1">
    <w:name w:val="Цитата 21"/>
    <w:basedOn w:val="Standard"/>
    <w:qFormat/>
    <w:pPr/>
    <w:rPr>
      <w:rFonts w:ascii="Calibri" w:hAnsi="Calibri" w:cs="Calibri"/>
      <w:i/>
      <w:sz w:val="20"/>
    </w:rPr>
  </w:style>
  <w:style w:type="paragraph" w:styleId="136" w:customStyle="1">
    <w:name w:val="Выделенная цитата1"/>
    <w:basedOn w:val="Standard"/>
    <w:qFormat/>
    <w:pPr>
      <w:pBdr>
        <w:bottom w:val="single" w:sz="4" w:space="0" w:color="4F81BD"/>
      </w:pBdr>
      <w:spacing w:before="200" w:after="280"/>
      <w:ind w:left="936" w:right="936" w:hanging="0"/>
    </w:pPr>
    <w:rPr>
      <w:rFonts w:ascii="Calibri" w:hAnsi="Calibri" w:cs="Calibri"/>
      <w:b/>
      <w:i/>
      <w:color w:val="4F81BD"/>
      <w:sz w:val="20"/>
    </w:rPr>
  </w:style>
  <w:style w:type="paragraph" w:styleId="ContentsHeading" w:customStyle="1">
    <w:name w:val="Contents Heading"/>
    <w:basedOn w:val="115"/>
    <w:qFormat/>
    <w:pPr>
      <w:spacing w:before="480" w:after="0"/>
    </w:pPr>
    <w:rPr>
      <w:rFonts w:ascii="Cambria" w:hAnsi="Cambria" w:cs="Cambria"/>
      <w:color w:val="365F91"/>
    </w:rPr>
  </w:style>
  <w:style w:type="paragraph" w:styleId="137" w:customStyle="1">
    <w:name w:val="Электронная подпись1"/>
    <w:basedOn w:val="Standard"/>
    <w:qFormat/>
    <w:pPr/>
    <w:rPr>
      <w:sz w:val="24"/>
    </w:rPr>
  </w:style>
  <w:style w:type="paragraph" w:styleId="Style50" w:customStyle="1">
    <w:name w:val="Знак"/>
    <w:basedOn w:val="Standard"/>
    <w:qFormat/>
    <w:pPr>
      <w:spacing w:lineRule="exact" w:line="240" w:before="0" w:after="160"/>
    </w:pPr>
    <w:rPr>
      <w:rFonts w:ascii="Verdana" w:hAnsi="Verdana" w:cs="Verdana"/>
      <w:sz w:val="20"/>
      <w:lang w:val="en-US"/>
    </w:rPr>
  </w:style>
  <w:style w:type="paragraph" w:styleId="35" w:customStyle="1">
    <w:name w:val="Нумерованный список ур3"/>
    <w:basedOn w:val="Standard"/>
    <w:qFormat/>
    <w:pPr/>
    <w:rPr>
      <w:rFonts w:ascii="Garamond" w:hAnsi="Garamond" w:cs="Garamond"/>
      <w:sz w:val="24"/>
    </w:rPr>
  </w:style>
  <w:style w:type="paragraph" w:styleId="412" w:customStyle="1">
    <w:name w:val="Маркированный список 41"/>
    <w:basedOn w:val="Standard"/>
    <w:qFormat/>
    <w:pPr>
      <w:spacing w:before="120" w:after="0"/>
    </w:pPr>
    <w:rPr>
      <w:rFonts w:ascii="Garamond" w:hAnsi="Garamond" w:cs="Garamond"/>
      <w:sz w:val="24"/>
    </w:rPr>
  </w:style>
  <w:style w:type="paragraph" w:styleId="28" w:customStyle="1">
    <w:name w:val="Нумерованный список ур2"/>
    <w:basedOn w:val="Standard"/>
    <w:qFormat/>
    <w:pPr>
      <w:spacing w:before="120" w:after="0"/>
    </w:pPr>
    <w:rPr>
      <w:rFonts w:ascii="Garamond" w:hAnsi="Garamond" w:cs="Garamond"/>
      <w:sz w:val="24"/>
    </w:rPr>
  </w:style>
  <w:style w:type="paragraph" w:styleId="138" w:customStyle="1">
    <w:name w:val="Рецензия1"/>
    <w:basedOn w:val="DStyleparagraph"/>
    <w:qFormat/>
    <w:pPr/>
    <w:rPr>
      <w:sz w:val="24"/>
    </w:rPr>
  </w:style>
  <w:style w:type="paragraph" w:styleId="ConsPlusNormal" w:customStyle="1">
    <w:name w:val="ConsPlusNormal"/>
    <w:basedOn w:val="DStyleparagraph"/>
    <w:qFormat/>
    <w:pPr>
      <w:ind w:firstLine="720"/>
    </w:pPr>
    <w:rPr>
      <w:rFonts w:ascii="Arial" w:hAnsi="Arial" w:cs="Arial"/>
    </w:rPr>
  </w:style>
  <w:style w:type="paragraph" w:styleId="36" w:customStyle="1">
    <w:name w:val="Знак Знак3 Знак Знак"/>
    <w:basedOn w:val="Standard"/>
    <w:qFormat/>
    <w:pPr>
      <w:spacing w:lineRule="exact" w:line="240" w:before="0" w:after="160"/>
    </w:pPr>
    <w:rPr>
      <w:rFonts w:ascii="Verdana" w:hAnsi="Verdana" w:cs="Verdana"/>
      <w:sz w:val="22"/>
      <w:lang w:val="en-US"/>
    </w:rPr>
  </w:style>
  <w:style w:type="paragraph" w:styleId="Style51" w:customStyle="1">
    <w:name w:val="Пункт"/>
    <w:basedOn w:val="Standard"/>
    <w:qFormat/>
    <w:pPr>
      <w:tabs>
        <w:tab w:val="clear" w:pos="709"/>
        <w:tab w:val="left" w:pos="6801" w:leader="none"/>
      </w:tabs>
      <w:spacing w:lineRule="auto" w:line="360" w:before="120" w:after="0"/>
      <w:ind w:left="1134" w:right="800" w:hanging="1129"/>
    </w:pPr>
    <w:rPr>
      <w:rFonts w:ascii="Arial" w:hAnsi="Arial" w:cs="Arial"/>
      <w:b/>
      <w:i/>
    </w:rPr>
  </w:style>
  <w:style w:type="paragraph" w:styleId="Style52" w:customStyle="1">
    <w:name w:val="Таблица"/>
    <w:basedOn w:val="Standard"/>
    <w:qFormat/>
    <w:pPr>
      <w:spacing w:before="60" w:after="60"/>
      <w:jc w:val="center"/>
    </w:pPr>
    <w:rPr>
      <w:b/>
      <w:sz w:val="24"/>
    </w:rPr>
  </w:style>
  <w:style w:type="paragraph" w:styleId="Style53" w:customStyle="1">
    <w:name w:val="Таблица шапка"/>
    <w:basedOn w:val="Standard"/>
    <w:qFormat/>
    <w:pPr>
      <w:spacing w:before="40" w:after="40"/>
      <w:ind w:left="57" w:right="57" w:hanging="0"/>
    </w:pPr>
    <w:rPr>
      <w:sz w:val="22"/>
    </w:rPr>
  </w:style>
  <w:style w:type="paragraph" w:styleId="Style54" w:customStyle="1">
    <w:name w:val="Подподпункт"/>
    <w:basedOn w:val="Style46"/>
    <w:qFormat/>
    <w:pPr>
      <w:tabs>
        <w:tab w:val="clear" w:pos="6801"/>
        <w:tab w:val="left" w:pos="30619" w:leader="none"/>
      </w:tabs>
      <w:spacing w:lineRule="auto" w:line="240" w:before="120" w:after="0"/>
      <w:ind w:left="5104" w:hanging="562"/>
    </w:pPr>
    <w:rPr/>
  </w:style>
  <w:style w:type="paragraph" w:styleId="Style55" w:customStyle="1">
    <w:name w:val="УРОВЕНЬ_(а)"/>
    <w:basedOn w:val="135"/>
    <w:qFormat/>
    <w:pPr>
      <w:spacing w:lineRule="exact" w:line="360" w:before="120" w:after="200"/>
    </w:pPr>
    <w:rPr>
      <w:sz w:val="26"/>
    </w:rPr>
  </w:style>
  <w:style w:type="paragraph" w:styleId="Style56" w:customStyle="1">
    <w:name w:val="УРОВЕНЬ_-"/>
    <w:basedOn w:val="135"/>
    <w:qFormat/>
    <w:pPr>
      <w:spacing w:lineRule="exact" w:line="360" w:before="120" w:after="200"/>
    </w:pPr>
    <w:rPr>
      <w:sz w:val="26"/>
    </w:rPr>
  </w:style>
  <w:style w:type="paragraph" w:styleId="29" w:customStyle="1">
    <w:name w:val="УРОВЕНЬ_Абзац_тип2"/>
    <w:basedOn w:val="135"/>
    <w:qFormat/>
    <w:pPr>
      <w:spacing w:lineRule="exact" w:line="360" w:before="120" w:after="200"/>
    </w:pPr>
    <w:rPr>
      <w:sz w:val="26"/>
    </w:rPr>
  </w:style>
  <w:style w:type="paragraph" w:styleId="37" w:customStyle="1">
    <w:name w:val="УРОВЕНЬ_Абзац_тип3"/>
    <w:basedOn w:val="135"/>
    <w:qFormat/>
    <w:pPr>
      <w:spacing w:lineRule="exact" w:line="360" w:before="120" w:after="200"/>
    </w:pPr>
    <w:rPr>
      <w:sz w:val="26"/>
    </w:rPr>
  </w:style>
  <w:style w:type="paragraph" w:styleId="Style57" w:customStyle="1">
    <w:name w:val="УРОВЕНЬ_Подпись"/>
    <w:basedOn w:val="135"/>
    <w:qFormat/>
    <w:pPr>
      <w:spacing w:lineRule="exact" w:line="360" w:before="120" w:after="120"/>
      <w:jc w:val="right"/>
    </w:pPr>
    <w:rPr>
      <w:sz w:val="26"/>
    </w:rPr>
  </w:style>
  <w:style w:type="paragraph" w:styleId="139" w:customStyle="1">
    <w:name w:val="Стиль Заголовок 1 + по ширине"/>
    <w:basedOn w:val="115"/>
    <w:qFormat/>
    <w:pPr>
      <w:tabs>
        <w:tab w:val="clear" w:pos="709"/>
        <w:tab w:val="left" w:pos="3399" w:leader="none"/>
      </w:tabs>
      <w:spacing w:before="480" w:after="240"/>
    </w:pPr>
    <w:rPr>
      <w:rFonts w:ascii="Arial" w:hAnsi="Arial" w:cs="Arial"/>
      <w:sz w:val="40"/>
    </w:rPr>
  </w:style>
  <w:style w:type="paragraph" w:styleId="Endnote" w:customStyle="1">
    <w:name w:val="Endnote"/>
    <w:basedOn w:val="Standard"/>
    <w:qFormat/>
    <w:pPr/>
    <w:rPr>
      <w:sz w:val="20"/>
    </w:rPr>
  </w:style>
  <w:style w:type="paragraph" w:styleId="210" w:customStyle="1">
    <w:name w:val="Заголовок 2 КВВ"/>
    <w:basedOn w:val="Standard"/>
    <w:qFormat/>
    <w:pPr>
      <w:spacing w:before="120" w:after="120"/>
    </w:pPr>
    <w:rPr>
      <w:b/>
      <w:sz w:val="24"/>
    </w:rPr>
  </w:style>
  <w:style w:type="paragraph" w:styleId="Style58" w:customStyle="1">
    <w:name w:val="Таблица текст"/>
    <w:basedOn w:val="Standard"/>
    <w:qFormat/>
    <w:pPr>
      <w:spacing w:before="40" w:after="40"/>
      <w:ind w:left="57" w:right="57" w:hanging="0"/>
    </w:pPr>
    <w:rPr>
      <w:sz w:val="24"/>
    </w:rPr>
  </w:style>
  <w:style w:type="paragraph" w:styleId="216" w:customStyle="1">
    <w:name w:val="Обычный (веб)2"/>
    <w:basedOn w:val="Standard"/>
    <w:qFormat/>
    <w:pPr>
      <w:spacing w:before="280" w:after="280"/>
    </w:pPr>
    <w:rPr>
      <w:sz w:val="24"/>
    </w:rPr>
  </w:style>
  <w:style w:type="paragraph" w:styleId="140" w:customStyle="1">
    <w:name w:val="УРОВЕНЬ_1."/>
    <w:basedOn w:val="135"/>
    <w:qFormat/>
    <w:pPr>
      <w:spacing w:lineRule="auto" w:line="276" w:before="240" w:after="120"/>
      <w:ind w:left="0" w:hanging="0"/>
    </w:pPr>
    <w:rPr>
      <w:caps/>
      <w:sz w:val="28"/>
    </w:rPr>
  </w:style>
  <w:style w:type="paragraph" w:styleId="Contents6" w:customStyle="1">
    <w:name w:val="Contents 6"/>
    <w:basedOn w:val="Standard"/>
    <w:qFormat/>
    <w:pPr>
      <w:ind w:left="1120" w:hanging="0"/>
    </w:pPr>
    <w:rPr>
      <w:rFonts w:ascii="Calibri" w:hAnsi="Calibri" w:cs="Calibri"/>
      <w:sz w:val="20"/>
    </w:rPr>
  </w:style>
  <w:style w:type="paragraph" w:styleId="Contents7" w:customStyle="1">
    <w:name w:val="Contents 7"/>
    <w:basedOn w:val="Standard"/>
    <w:qFormat/>
    <w:pPr>
      <w:ind w:left="1400" w:hanging="0"/>
    </w:pPr>
    <w:rPr>
      <w:rFonts w:ascii="Calibri" w:hAnsi="Calibri" w:cs="Calibri"/>
      <w:sz w:val="20"/>
    </w:rPr>
  </w:style>
  <w:style w:type="paragraph" w:styleId="Contents8" w:customStyle="1">
    <w:name w:val="Contents 8"/>
    <w:basedOn w:val="Standard"/>
    <w:qFormat/>
    <w:pPr>
      <w:ind w:left="1680" w:hanging="0"/>
    </w:pPr>
    <w:rPr>
      <w:rFonts w:ascii="Calibri" w:hAnsi="Calibri" w:cs="Calibri"/>
      <w:sz w:val="20"/>
    </w:rPr>
  </w:style>
  <w:style w:type="paragraph" w:styleId="Style59" w:customStyle="1">
    <w:name w:val="Содержимое врезки"/>
    <w:basedOn w:val="Standard"/>
    <w:qFormat/>
    <w:pPr/>
    <w:rPr/>
  </w:style>
  <w:style w:type="paragraph" w:styleId="Style60" w:customStyle="1">
    <w:name w:val="Содержимое таблицы"/>
    <w:basedOn w:val="Standard"/>
    <w:qFormat/>
    <w:pPr/>
    <w:rPr/>
  </w:style>
  <w:style w:type="paragraph" w:styleId="Style61" w:customStyle="1">
    <w:name w:val="Заголовок таблицы"/>
    <w:basedOn w:val="Style60"/>
    <w:qFormat/>
    <w:pPr>
      <w:jc w:val="center"/>
    </w:pPr>
    <w:rPr>
      <w:b/>
    </w:rPr>
  </w:style>
  <w:style w:type="paragraph" w:styleId="141" w:customStyle="1">
    <w:name w:val="Обычная таблица1"/>
    <w:basedOn w:val="DStyleparagraph"/>
    <w:qFormat/>
    <w:pPr/>
    <w:rPr/>
  </w:style>
  <w:style w:type="paragraph" w:styleId="Heading21" w:customStyle="1">
    <w:name w:val="Heading #2"/>
    <w:basedOn w:val="Standard"/>
    <w:qFormat/>
    <w:pPr>
      <w:shd w:val="clear" w:color="auto" w:fill="FFFFFF"/>
      <w:spacing w:lineRule="atLeast" w:line="0" w:before="600" w:after="60"/>
      <w:ind w:firstLine="900"/>
    </w:pPr>
    <w:rPr>
      <w:b/>
      <w:sz w:val="28"/>
    </w:rPr>
  </w:style>
  <w:style w:type="paragraph" w:styleId="Bodytext21" w:customStyle="1">
    <w:name w:val="Body text (2)"/>
    <w:basedOn w:val="Standard"/>
    <w:qFormat/>
    <w:pPr>
      <w:shd w:val="clear" w:color="auto" w:fill="FFFFFF"/>
      <w:spacing w:lineRule="exact" w:line="322" w:before="0" w:after="0"/>
      <w:jc w:val="left"/>
    </w:pPr>
    <w:rPr>
      <w:sz w:val="28"/>
    </w:rPr>
  </w:style>
  <w:style w:type="paragraph" w:styleId="142" w:customStyle="1">
    <w:name w:val="Текст1"/>
    <w:basedOn w:val="Standard"/>
    <w:qFormat/>
    <w:pPr>
      <w:spacing w:before="0" w:after="0"/>
      <w:jc w:val="left"/>
    </w:pPr>
    <w:rPr>
      <w:rFonts w:ascii="Calibri" w:hAnsi="Calibri" w:cs="Calibri"/>
      <w:sz w:val="22"/>
    </w:rPr>
  </w:style>
  <w:style w:type="paragraph" w:styleId="Style62">
    <w:name w:val="Header"/>
    <w:basedOn w:val="Style45"/>
    <w:pPr/>
    <w:rPr/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header" Target="header2.xml"/><Relationship Id="rId4" Type="http://schemas.openxmlformats.org/officeDocument/2006/relationships/header" Target="header3.xml"/><Relationship Id="rId5" Type="http://schemas.openxmlformats.org/officeDocument/2006/relationships/numbering" Target="numbering.xml"/><Relationship Id="rId6" Type="http://schemas.openxmlformats.org/officeDocument/2006/relationships/fontTable" Target="fontTable.xml"/><Relationship Id="rId7" Type="http://schemas.openxmlformats.org/officeDocument/2006/relationships/settings" Target="settings.xml"/><Relationship Id="rId8" Type="http://schemas.openxmlformats.org/officeDocument/2006/relationships/theme" Target="theme/theme1.xml"/><Relationship Id="rId9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rgbClr val="000000"/>
        </a:solidFill>
        <a:solidFill>
          <a:srgbClr val="000000"/>
        </a:solidFill>
      </a:bgFillStyleLst>
    </a:fmtScheme>
  </a:themeElements>
  <a:objectDefaults/>
  <a:extraClrSchemeLst/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F07000B-9EAE-4E48-93CA-5EED1F351A0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983</TotalTime>
  <Application>LibreOffice/7.1.8.1$Linux_X86_64 LibreOffice_project/10$Build-1</Application>
  <AppVersion>15.0000</AppVersion>
  <Pages>18</Pages>
  <Words>3394</Words>
  <Characters>22143</Characters>
  <CharactersWithSpaces>25390</CharactersWithSpaces>
  <Paragraphs>343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2023-08-27T17:46:00Z</dcterms:created>
  <dc:creator>kodulev_ya</dc:creator>
  <dc:description/>
  <dc:language>ru-RU</dc:language>
  <cp:lastModifiedBy/>
  <dcterms:modified xsi:type="dcterms:W3CDTF">2026-09-15T14:54:35Z</dcterms:modified>
  <cp:revision>11</cp:revision>
  <dc:subject/>
  <dc:title>Российское открытое акционерное общество энергетики и электрификации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