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8.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footer7.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4.xml" ContentType="application/vnd.openxmlformats-officedocument.wordprocessingml.header+xml"/>
  <Override PartName="/word/footer6.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highlight w:val="none"/>
          <w:shd w:fill="auto" w:val="clear"/>
        </w:rPr>
      </w:pPr>
      <w:r>
        <w:rPr>
          <w:sz w:val="24"/>
          <w:shd w:fill="auto" w:val="clear"/>
        </w:rPr>
        <w:t>Договор поставки № _______</w:t>
      </w:r>
    </w:p>
    <w:p>
      <w:pPr>
        <w:pStyle w:val="Normal"/>
        <w:shd w:val="clear" w:color="auto" w:fill="FFFFFF"/>
        <w:spacing w:before="0" w:after="120"/>
        <w:rPr>
          <w:highlight w:val="none"/>
          <w:shd w:fill="auto" w:val="clear"/>
        </w:rPr>
      </w:pPr>
      <w:r>
        <w:rPr>
          <w:sz w:val="24"/>
          <w:szCs w:val="24"/>
          <w:shd w:fill="auto" w:val="clear"/>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highlight w:val="none"/>
          <w:shd w:fill="auto" w:val="clear"/>
        </w:rPr>
      </w:pPr>
      <w:r>
        <w:rPr>
          <w:sz w:val="24"/>
          <w:szCs w:val="24"/>
          <w:shd w:fill="auto" w:val="clear"/>
        </w:rPr>
      </w:r>
    </w:p>
    <w:p>
      <w:pPr>
        <w:pStyle w:val="Normal"/>
        <w:spacing w:before="0" w:after="120"/>
        <w:ind w:firstLine="567"/>
        <w:jc w:val="both"/>
        <w:rPr>
          <w:highlight w:val="none"/>
          <w:shd w:fill="auto" w:val="clear"/>
        </w:rPr>
      </w:pPr>
      <w:r>
        <w:rPr>
          <w:b/>
          <w:sz w:val="24"/>
          <w:szCs w:val="24"/>
          <w:shd w:fill="auto" w:val="clear"/>
        </w:rPr>
        <w:t xml:space="preserve">Акционерное общество «Гидроремонт-ВКК» (АО «Гидроремонт-ВКК»), </w:t>
      </w:r>
      <w:r>
        <w:rPr>
          <w:sz w:val="24"/>
          <w:szCs w:val="24"/>
          <w:shd w:fill="auto" w:val="clear"/>
        </w:rPr>
        <w:t>именуемое в дальнейшем «</w:t>
      </w:r>
      <w:r>
        <w:rPr>
          <w:b/>
          <w:sz w:val="24"/>
          <w:szCs w:val="24"/>
          <w:shd w:fill="auto" w:val="clear"/>
        </w:rPr>
        <w:t>Покупатель</w:t>
      </w:r>
      <w:r>
        <w:rPr>
          <w:sz w:val="24"/>
          <w:szCs w:val="24"/>
          <w:shd w:fill="auto" w:val="clear"/>
        </w:rPr>
        <w:t>», в лице _________________, действующего на основании ______________, с одной стороны, и</w:t>
      </w:r>
    </w:p>
    <w:p>
      <w:pPr>
        <w:pStyle w:val="Normal"/>
        <w:spacing w:before="0" w:after="120"/>
        <w:ind w:firstLine="567"/>
        <w:jc w:val="both"/>
        <w:rPr>
          <w:highlight w:val="none"/>
          <w:shd w:fill="auto" w:val="clear"/>
        </w:rPr>
      </w:pPr>
      <w:r>
        <w:rPr>
          <w:b/>
          <w:sz w:val="24"/>
          <w:szCs w:val="24"/>
          <w:shd w:fill="auto" w:val="clear"/>
        </w:rPr>
        <w:t>________________(___________),</w:t>
      </w:r>
      <w:r>
        <w:rPr>
          <w:sz w:val="24"/>
          <w:szCs w:val="24"/>
          <w:shd w:fill="auto" w:val="clear"/>
        </w:rPr>
        <w:t xml:space="preserve"> именуемое в дальнейшем «</w:t>
      </w:r>
      <w:r>
        <w:rPr>
          <w:b/>
          <w:sz w:val="24"/>
          <w:szCs w:val="24"/>
          <w:shd w:fill="auto" w:val="clear"/>
        </w:rPr>
        <w:t>Поставщик</w:t>
      </w:r>
      <w:r>
        <w:rPr>
          <w:sz w:val="24"/>
          <w:szCs w:val="24"/>
          <w:shd w:fill="auto" w:val="clear"/>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highlight w:val="none"/>
          <w:shd w:fill="auto" w:val="clear"/>
        </w:rPr>
      </w:pPr>
      <w:r>
        <w:rPr>
          <w:sz w:val="24"/>
          <w:szCs w:val="24"/>
          <w:shd w:fill="auto" w:val="clear"/>
        </w:rPr>
        <w:t>по результатам проведенного ____________(</w:t>
      </w:r>
      <w:r>
        <w:rPr>
          <w:i/>
          <w:sz w:val="24"/>
          <w:szCs w:val="24"/>
          <w:shd w:fill="auto" w:val="clear"/>
        </w:rPr>
        <w:t>указывается закупочная процедура</w:t>
      </w:r>
      <w:r>
        <w:rPr>
          <w:sz w:val="24"/>
          <w:szCs w:val="24"/>
          <w:shd w:fill="auto" w:val="clear"/>
        </w:rPr>
        <w:t xml:space="preserve">), что подтверждается Протоколом №____ от </w:t>
      </w:r>
      <w:r>
        <w:rPr>
          <w:bCs/>
          <w:sz w:val="24"/>
          <w:szCs w:val="24"/>
          <w:shd w:fill="auto" w:val="clear"/>
        </w:rPr>
        <w:t>«_____» _________ 20 __ г.,</w:t>
      </w:r>
      <w:r>
        <w:rPr>
          <w:sz w:val="24"/>
          <w:szCs w:val="24"/>
          <w:shd w:fill="auto" w:val="clear"/>
        </w:rPr>
        <w:t xml:space="preserve"> </w:t>
      </w:r>
    </w:p>
    <w:p>
      <w:pPr>
        <w:pStyle w:val="Normal"/>
        <w:spacing w:before="0" w:after="120"/>
        <w:ind w:firstLine="567"/>
        <w:jc w:val="both"/>
        <w:rPr>
          <w:highlight w:val="none"/>
          <w:shd w:fill="auto" w:val="clear"/>
        </w:rPr>
      </w:pPr>
      <w:r>
        <w:rPr>
          <w:sz w:val="24"/>
          <w:szCs w:val="24"/>
          <w:shd w:fill="auto" w:val="clear"/>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bCs/>
          <w:sz w:val="24"/>
          <w:szCs w:val="24"/>
          <w:shd w:fill="auto" w:val="clear"/>
        </w:rPr>
        <w:t>Предмет Договора</w:t>
      </w:r>
    </w:p>
    <w:p>
      <w:pPr>
        <w:pStyle w:val="Title"/>
        <w:numPr>
          <w:ilvl w:val="1"/>
          <w:numId w:val="6"/>
        </w:numPr>
        <w:tabs>
          <w:tab w:val="clear" w:pos="720"/>
          <w:tab w:val="left" w:pos="142" w:leader="none"/>
        </w:tabs>
        <w:spacing w:before="0" w:after="120"/>
        <w:ind w:left="0" w:firstLine="567"/>
        <w:jc w:val="both"/>
        <w:rPr>
          <w:highlight w:val="none"/>
          <w:shd w:fill="auto" w:val="clear"/>
        </w:rPr>
      </w:pPr>
      <w:r>
        <w:rPr>
          <w:b w:val="false"/>
          <w:sz w:val="24"/>
          <w:shd w:fill="auto" w:val="clear"/>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shd w:fill="auto" w:val="clear"/>
        </w:rPr>
        <w:t>Приложение № 1</w:t>
      </w:r>
      <w:r>
        <w:rPr>
          <w:b w:val="false"/>
          <w:sz w:val="24"/>
          <w:shd w:fill="auto" w:val="clear"/>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highlight w:val="none"/>
          <w:shd w:fill="auto" w:val="clear"/>
        </w:rPr>
      </w:pPr>
      <w:r>
        <w:rPr>
          <w:b w:val="false"/>
          <w:sz w:val="24"/>
          <w:shd w:fill="auto" w:val="clear"/>
        </w:rPr>
        <w:t>Поставка осуществляется партиями согласно Календарному графику поставки (</w:t>
      </w:r>
      <w:r>
        <w:rPr>
          <w:sz w:val="24"/>
          <w:shd w:fill="auto" w:val="clear"/>
        </w:rPr>
        <w:t>Приложение № 2</w:t>
      </w:r>
      <w:r>
        <w:rPr>
          <w:b w:val="false"/>
          <w:sz w:val="24"/>
          <w:shd w:fill="auto" w:val="clear"/>
        </w:rPr>
        <w:t>).</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Поставка по Договору выполняется для нужд Саяно-Шушенского филиала АО «Гидроремонт-ВКК» в п. 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Место поставки: РФ, г. ___________, ул._______________, д.____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Срок поставки Продукции по договору: </w:t>
      </w:r>
      <w:r>
        <w:rPr>
          <w:sz w:val="24"/>
          <w:shd w:fill="auto" w:val="clear"/>
        </w:rPr>
        <w:t>согласно Календарному графику поставки (Приложение № 2)</w:t>
      </w:r>
      <w:r>
        <w:rPr>
          <w:sz w:val="24"/>
          <w:szCs w:val="24"/>
          <w:shd w:fill="auto" w:val="clear"/>
        </w:rPr>
        <w:t xml:space="preserve">.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Общая стоимость Продукции (далее – «Цена Договора») по Договору составляет __________(__________________) рублей _____ копеек, в том числе НДС (2</w:t>
      </w:r>
      <w:r>
        <w:rPr>
          <w:sz w:val="24"/>
          <w:szCs w:val="24"/>
          <w:shd w:fill="auto" w:val="clear"/>
        </w:rPr>
        <w:t>2</w:t>
      </w:r>
    </w:p>
    <w:p>
      <w:pPr>
        <w:pStyle w:val="ListParagraph"/>
        <w:numPr>
          <w:ilvl w:val="0"/>
          <w:numId w:val="0"/>
        </w:numPr>
        <w:shd w:val="clear" w:color="auto" w:fill="FFFFFF"/>
        <w:tabs>
          <w:tab w:val="clear" w:pos="720"/>
          <w:tab w:val="left" w:pos="0" w:leader="none"/>
          <w:tab w:val="left" w:pos="851" w:leader="none"/>
        </w:tabs>
        <w:spacing w:before="0" w:after="120"/>
        <w:ind w:left="0" w:hanging="0"/>
        <w:contextualSpacing w:val="false"/>
        <w:jc w:val="both"/>
        <w:rPr>
          <w:highlight w:val="none"/>
          <w:shd w:fill="auto" w:val="clear"/>
        </w:rPr>
      </w:pPr>
      <w:r>
        <w:rPr>
          <w:sz w:val="24"/>
          <w:szCs w:val="24"/>
          <w:shd w:fill="auto" w:val="clear"/>
        </w:rPr>
        <w:t xml:space="preserve"> </w:t>
      </w:r>
      <w:r>
        <w:rPr>
          <w:sz w:val="24"/>
          <w:szCs w:val="24"/>
          <w:shd w:fill="auto" w:val="clear"/>
        </w:rPr>
        <w:t xml:space="preserve">%) в размере ___________(____________) рублей ____ копеек.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Стоимость Продукции.</w:t>
      </w:r>
    </w:p>
    <w:p>
      <w:pPr>
        <w:pStyle w:val="Normal"/>
        <w:tabs>
          <w:tab w:val="clear" w:pos="720"/>
          <w:tab w:val="left" w:pos="0" w:leader="none"/>
          <w:tab w:val="left" w:pos="851" w:leader="none"/>
        </w:tabs>
        <w:spacing w:before="0" w:after="120"/>
        <w:ind w:firstLine="567"/>
        <w:jc w:val="both"/>
        <w:rPr>
          <w:highlight w:val="none"/>
          <w:shd w:fill="auto" w:val="clear"/>
        </w:rPr>
      </w:pPr>
      <w:r>
        <w:rPr>
          <w:bCs/>
          <w:sz w:val="24"/>
          <w:szCs w:val="24"/>
          <w:shd w:fill="auto" w:val="clear"/>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auto" w:val="clear"/>
        </w:rPr>
        <w:t xml:space="preserve">подлежащие уплате налоги, сборы и пошлины (в т.ч. по таможенному оформлению, если применимо), </w:t>
      </w:r>
      <w:r>
        <w:rPr>
          <w:bCs/>
          <w:sz w:val="24"/>
          <w:szCs w:val="24"/>
          <w:shd w:fill="auto" w:val="clear"/>
        </w:rPr>
        <w:t xml:space="preserve">а также </w:t>
      </w:r>
      <w:r>
        <w:rPr>
          <w:sz w:val="24"/>
          <w:szCs w:val="24"/>
          <w:shd w:fill="auto"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Стоимость единицы Продукции, а также стоимость партии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2.5.1. Авансовый платеж в размере 30% (тридцати процентов) от стоимости первой партии Продукции, согласно Спецификации (Приложение № 1) и Календарному графику поставки (Приложение № 2), выплачивается в течение 30 (тридцати) календарных дней с даты получения Покупателем счета, выставленного Поставщиком, но не ранее 30 (тридцати) календарных дней до даты поставки первой партии Продукции, с учетом п. 2.6. Договора. Авансовый платеж засчитывается в счет оплаты соответствующей партии Продукции.</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2.5.2. Авансовые платежи в размере 30% (тридцати процентов) от стоимости последующих партий Продукции, согласно Спецификации (Приложение № 1) и Календарному графику поставки (Приложение № 2), выплачиваются в течение 30 (тридцати) календарных дней с даты получения счета, выставленного Поставщиком, но не ранее 30 (тридцати) календарных дней до даты поставки соответствующей партии Продукции согласно Календарному графику поставки (Приложение № 2). Авансовый платеж засчитывается в счет оплаты соответствующей партии Продукции с учетом п. 2.6.</w:t>
      </w:r>
    </w:p>
    <w:p>
      <w:pPr>
        <w:pStyle w:val="Normal"/>
        <w:shd w:val="clear" w:color="auto" w:fill="FFFFFF"/>
        <w:tabs>
          <w:tab w:val="clear" w:pos="720"/>
          <w:tab w:val="left" w:pos="567" w:leader="none"/>
          <w:tab w:val="left" w:pos="1440" w:leader="none"/>
        </w:tabs>
        <w:spacing w:before="0" w:after="120"/>
        <w:ind w:firstLine="567"/>
        <w:jc w:val="both"/>
        <w:rPr>
          <w:highlight w:val="none"/>
          <w:shd w:fill="auto" w:val="clear"/>
        </w:rPr>
      </w:pPr>
      <w:r>
        <w:rPr>
          <w:sz w:val="24"/>
          <w:szCs w:val="24"/>
          <w:shd w:fill="auto" w:val="clear"/>
        </w:rPr>
        <w:t>2.5.3. Платеж в размере 60% (шестьдесят процентов) от стоимости поставленной партии Продукции, согласно Спецификации (Приложение № 1) и Календарного графика поставки (Приложение № 2), производится Покупателем в течение 30 (тридцати) календарных дней / 7 (семи) рабочих дней</w:t>
      </w:r>
      <w:r>
        <w:rPr>
          <w:rStyle w:val="FootnoteReference"/>
          <w:sz w:val="24"/>
          <w:szCs w:val="24"/>
          <w:shd w:fill="auto" w:val="clear"/>
        </w:rPr>
        <w:footnoteReference w:id="2"/>
      </w:r>
      <w:r>
        <w:rPr>
          <w:sz w:val="24"/>
          <w:szCs w:val="24"/>
          <w:shd w:fill="auto" w:val="clear"/>
        </w:rPr>
        <w:t xml:space="preserve">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получения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ind w:firstLine="567"/>
        <w:jc w:val="both"/>
        <w:rPr>
          <w:highlight w:val="none"/>
          <w:shd w:fill="auto" w:val="clear"/>
        </w:rPr>
      </w:pPr>
      <w:r>
        <w:rPr>
          <w:sz w:val="24"/>
          <w:szCs w:val="24"/>
          <w:shd w:fill="auto" w:val="clear"/>
        </w:rPr>
        <w:t xml:space="preserve">2.5.4. Обеспечительный платеж в размере 10% (десять процентов)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 на основании счета, выставленного Поставщиком. </w:t>
      </w:r>
    </w:p>
    <w:p>
      <w:pPr>
        <w:pStyle w:val="Normal"/>
        <w:shd w:val="clear" w:color="auto" w:fill="FFFFFF"/>
        <w:tabs>
          <w:tab w:val="clear" w:pos="720"/>
          <w:tab w:val="left" w:pos="567" w:leader="none"/>
          <w:tab w:val="left" w:pos="1440" w:leader="none"/>
        </w:tabs>
        <w:spacing w:before="0" w:after="120"/>
        <w:ind w:firstLine="567"/>
        <w:jc w:val="both"/>
        <w:rPr>
          <w:highlight w:val="none"/>
          <w:shd w:fill="auto" w:val="clear"/>
        </w:rPr>
      </w:pPr>
      <w:r>
        <w:rPr>
          <w:sz w:val="24"/>
          <w:szCs w:val="24"/>
          <w:shd w:fill="auto" w:val="clear"/>
        </w:rPr>
        <w:t>2.5.5. Если сумма авансового платежа по Договору составляет 5 000 000 (пять миллионов)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w:t>
      </w:r>
      <w:r>
        <w:rPr>
          <w:sz w:val="24"/>
          <w:shd w:fill="auto" w:val="clear"/>
          <w:vertAlign w:val="superscript"/>
        </w:rPr>
        <w:t xml:space="preserve"> </w:t>
      </w:r>
      <w:r>
        <w:rPr>
          <w:sz w:val="24"/>
          <w:szCs w:val="24"/>
          <w:shd w:fill="auto" w:val="clear"/>
        </w:rPr>
        <w:t xml:space="preserve">в виде банковской гарантии, оформленной в соответствии с требованиями Приложения № 3 к Договору.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В случае отзыва лицензии Банка-Гаранта банковская гарантия в обеспечение возврата предварительной оплаты (аванса) должна быть заменена на новую банковскую гарантию другого Банка-Гаранта в течение 30 (тридцати) календарных дней с даты отзыва лицензии Банка-Гаранта.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В случае непредставления Поставщиком в установленный срок новой банковской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pPr>
        <w:pStyle w:val="Normal"/>
        <w:shd w:val="clear" w:color="auto" w:fill="FFFFFF"/>
        <w:tabs>
          <w:tab w:val="clear" w:pos="720"/>
          <w:tab w:val="left" w:pos="567" w:leader="none"/>
          <w:tab w:val="left" w:pos="1440" w:leader="none"/>
        </w:tabs>
        <w:spacing w:before="0" w:after="120"/>
        <w:ind w:firstLine="567"/>
        <w:jc w:val="both"/>
        <w:rPr>
          <w:highlight w:val="none"/>
          <w:shd w:fill="auto" w:val="clear"/>
        </w:rPr>
      </w:pPr>
      <w:r>
        <w:rPr>
          <w:sz w:val="24"/>
          <w:szCs w:val="24"/>
          <w:shd w:fill="auto" w:val="clear"/>
        </w:rPr>
        <w:t>За не предоставление либо несвоевременное предоставление/ переоформление Поставщиком банковской гарантии, предусмотренной Договором, Покупатель вправе потребовать уплаты Поставщиком неустойки в размере 0,03 (ноль целых и три сотых) процента от Цены Договора за каждый день просрочки.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 xml:space="preserve">Поставщик обязан представить Покупателю счета-фактуры </w:t>
      </w:r>
      <w:r>
        <w:rPr>
          <w:sz w:val="24"/>
          <w:szCs w:val="24"/>
          <w:shd w:fill="auto" w:val="clear"/>
        </w:rPr>
        <w:t>(УПД)</w:t>
      </w:r>
      <w:r>
        <w:rPr>
          <w:sz w:val="24"/>
          <w:szCs w:val="24"/>
          <w:shd w:fill="auto" w:val="clear"/>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shd w:fill="auto" w:val="clear"/>
        </w:rPr>
        <w:t>(УПД)</w:t>
      </w:r>
      <w:r>
        <w:rPr>
          <w:sz w:val="24"/>
          <w:szCs w:val="24"/>
          <w:shd w:fill="auto" w:val="clear"/>
        </w:rPr>
        <w:t xml:space="preserve">, он обязан произвести замену счета-фактуры </w:t>
      </w:r>
      <w:r>
        <w:rPr>
          <w:sz w:val="24"/>
          <w:szCs w:val="24"/>
          <w:shd w:fill="auto" w:val="clear"/>
        </w:rPr>
        <w:t>(УПД)</w:t>
      </w:r>
      <w:r>
        <w:rPr>
          <w:sz w:val="24"/>
          <w:szCs w:val="24"/>
          <w:shd w:fill="auto" w:val="clear"/>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w:t>
      </w:r>
      <w:bookmarkStart w:id="0" w:name="_GoBack"/>
      <w:bookmarkEnd w:id="0"/>
      <w:r>
        <w:rPr>
          <w:sz w:val="24"/>
          <w:szCs w:val="24"/>
          <w:shd w:fill="auto" w:val="clear"/>
        </w:rPr>
        <w:t xml:space="preserve"> дней с даты получения авансового платежа счета-фактуры </w:t>
      </w:r>
      <w:r>
        <w:rPr>
          <w:sz w:val="24"/>
          <w:szCs w:val="24"/>
          <w:shd w:fill="auto" w:val="clear"/>
        </w:rPr>
        <w:t>(УПД)</w:t>
      </w:r>
      <w:r>
        <w:rPr>
          <w:sz w:val="24"/>
          <w:szCs w:val="24"/>
          <w:shd w:fill="auto" w:val="clear"/>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highlight w:val="none"/>
          <w:shd w:fill="auto" w:val="clear"/>
        </w:rPr>
      </w:pPr>
      <w:r>
        <w:rPr>
          <w:sz w:val="24"/>
          <w:szCs w:val="24"/>
          <w:shd w:fill="auto"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851" w:leader="none"/>
          <w:tab w:val="left" w:pos="1425" w:leader="none"/>
        </w:tabs>
        <w:spacing w:before="0" w:after="120"/>
        <w:ind w:left="0" w:firstLine="567"/>
        <w:contextualSpacing w:val="false"/>
        <w:jc w:val="both"/>
        <w:rPr>
          <w:highlight w:val="none"/>
          <w:shd w:fill="auto" w:val="clear"/>
        </w:rPr>
      </w:pPr>
      <w:r>
        <w:rPr>
          <w:rFonts w:cs="Times New Roman"/>
          <w:color w:val="000000"/>
          <w:sz w:val="24"/>
          <w:szCs w:val="24"/>
          <w:shd w:fill="auto" w:val="clear"/>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Технический паспорт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Инструкция по эксплуатации (монтажу и т.п.)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Упаковочный лист на Продукцию (каждую партию отгруженной Продукции)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Сертификат о происхождении Продукции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pPr>
      <w:r>
        <w:rPr>
          <w:sz w:val="24"/>
          <w:szCs w:val="24"/>
          <w:shd w:fill="auto" w:val="clear"/>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auto" w:val="clear"/>
        </w:rPr>
        <w:t>(</w:t>
      </w:r>
      <w:r>
        <w:rPr>
          <w:rFonts w:cs="Times New Roman"/>
          <w:color w:val="000000"/>
          <w:sz w:val="24"/>
          <w:szCs w:val="24"/>
          <w:shd w:fill="auto" w:val="clear"/>
        </w:rPr>
        <w:t xml:space="preserve">в ред. </w:t>
      </w:r>
      <w:hyperlink r:id="rId2">
        <w:r>
          <w:rPr>
            <w:rStyle w:val="Hyperlink"/>
            <w:rFonts w:cs="Times New Roman"/>
            <w:color w:val="000000"/>
            <w:sz w:val="24"/>
            <w:szCs w:val="24"/>
            <w:u w:val="none"/>
            <w:shd w:fill="auto" w:val="clear"/>
          </w:rPr>
          <w:t>Постановления Правительства РФ от 21.12.2020 № 2200</w:t>
        </w:r>
      </w:hyperlink>
      <w:r>
        <w:rPr>
          <w:rFonts w:cs="Times New Roman"/>
          <w:sz w:val="24"/>
          <w:szCs w:val="24"/>
          <w:shd w:fill="auto" w:val="clear"/>
        </w:rPr>
        <w:t>)</w:t>
      </w:r>
      <w:r>
        <w:rPr>
          <w:sz w:val="24"/>
          <w:szCs w:val="24"/>
          <w:shd w:fill="auto" w:val="clear"/>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shd w:fill="auto" w:val="clear"/>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auto" w:val="clear"/>
        </w:rPr>
        <w:t xml:space="preserve">товарно-транспортную накладную формы №1-Т </w:t>
      </w:r>
      <w:r>
        <w:rPr>
          <w:color w:val="000000"/>
          <w:sz w:val="24"/>
          <w:szCs w:val="24"/>
          <w:shd w:fill="auto"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auto" w:val="clear"/>
        </w:rPr>
        <w:t xml:space="preserve">(в ред. </w:t>
      </w:r>
      <w:hyperlink r:id="rId3">
        <w:r>
          <w:rPr>
            <w:rStyle w:val="Hyperlink"/>
            <w:rFonts w:cs="Times New Roman"/>
            <w:color w:val="000000"/>
            <w:sz w:val="24"/>
            <w:szCs w:val="24"/>
            <w:u w:val="none"/>
            <w:shd w:fill="auto" w:val="clear"/>
          </w:rPr>
          <w:t>Постановления Правительства РФ от 21.12.2020 № 2200</w:t>
        </w:r>
      </w:hyperlink>
      <w:r>
        <w:rPr>
          <w:rStyle w:val="Hyperlink"/>
          <w:rFonts w:cs="Times New Roman"/>
          <w:color w:val="000000"/>
          <w:sz w:val="24"/>
          <w:szCs w:val="24"/>
          <w:u w:val="none"/>
          <w:shd w:fill="auto" w:val="clear"/>
        </w:rPr>
        <w:t>)</w:t>
      </w:r>
      <w:r>
        <w:rPr>
          <w:rFonts w:cs="Times New Roman"/>
          <w:color w:val="000000"/>
          <w:sz w:val="24"/>
          <w:szCs w:val="24"/>
          <w:shd w:fill="auto"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shd w:fill="auto"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auto" w:val="clear"/>
        </w:rPr>
        <w:t>товарно-транспортной накладной по форме №1-Т</w:t>
      </w:r>
      <w:r>
        <w:rPr>
          <w:sz w:val="24"/>
          <w:szCs w:val="24"/>
          <w:shd w:fill="auto" w:val="clear"/>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auto" w:val="clear"/>
        </w:rPr>
        <w:t>(</w:t>
      </w:r>
      <w:r>
        <w:rPr>
          <w:rFonts w:cs="Times New Roman"/>
          <w:color w:val="000000"/>
          <w:sz w:val="24"/>
          <w:szCs w:val="24"/>
          <w:shd w:fill="auto" w:val="clear"/>
        </w:rPr>
        <w:t xml:space="preserve">в ред. </w:t>
      </w:r>
      <w:hyperlink r:id="rId4">
        <w:r>
          <w:rPr>
            <w:rStyle w:val="Hyperlink"/>
            <w:rFonts w:cs="Times New Roman"/>
            <w:color w:val="000000"/>
            <w:sz w:val="24"/>
            <w:szCs w:val="24"/>
            <w:u w:val="none"/>
            <w:shd w:fill="auto" w:val="clear"/>
          </w:rPr>
          <w:t>Постановления Правительства РФ от 21.12.2020 № 2200</w:t>
        </w:r>
      </w:hyperlink>
      <w:r>
        <w:rPr>
          <w:rFonts w:cs="Times New Roman"/>
          <w:sz w:val="24"/>
          <w:szCs w:val="24"/>
          <w:shd w:fill="auto" w:val="clear"/>
        </w:rPr>
        <w:t>)</w:t>
      </w:r>
      <w:r>
        <w:rPr>
          <w:sz w:val="24"/>
          <w:szCs w:val="24"/>
          <w:shd w:fill="auto" w:val="clear"/>
        </w:rPr>
        <w:t xml:space="preserve">. В случае отсутствия замечаний Покупатель подписывает </w:t>
      </w:r>
      <w:r>
        <w:rPr>
          <w:color w:val="000000"/>
          <w:sz w:val="24"/>
          <w:szCs w:val="24"/>
          <w:shd w:fill="auto"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На Продукцию устанавливается гарантийный срок, равный _____ (________________)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shd w:fill="auto" w:val="clear"/>
        </w:rPr>
        <w:t>Покупателем в соответствии с п. 3.14. Договора</w:t>
      </w:r>
      <w:bookmarkEnd w:id="1"/>
      <w:bookmarkEnd w:id="2"/>
      <w:r>
        <w:rPr>
          <w:sz w:val="24"/>
          <w:szCs w:val="24"/>
          <w:shd w:fill="auto"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highlight w:val="none"/>
          <w:shd w:fill="auto" w:val="clear"/>
        </w:rPr>
      </w:pPr>
      <w:r>
        <w:rPr>
          <w:sz w:val="24"/>
          <w:szCs w:val="24"/>
          <w:shd w:fill="auto" w:val="clear"/>
        </w:rPr>
        <w:t>Поставка Продукции по Договору осуществляется Поставщиком партиями в соответствии с Календарным графиком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bCs/>
          <w:sz w:val="24"/>
          <w:szCs w:val="24"/>
          <w:shd w:fill="auto" w:val="clear"/>
          <w:lang w:eastAsia="x-none"/>
        </w:rPr>
        <w:t>Покупатель вправе в одностороннем порядке, не позднее чем за 30 (тридцать)  календарных дней до даты поставки соответствующей партии</w:t>
      </w:r>
      <w:r>
        <w:rPr>
          <w:sz w:val="24"/>
          <w:szCs w:val="24"/>
          <w:shd w:fill="auto" w:val="clear"/>
        </w:rPr>
        <w:t xml:space="preserve"> Продукции</w:t>
      </w:r>
      <w:r>
        <w:rPr>
          <w:bCs/>
          <w:sz w:val="24"/>
          <w:szCs w:val="24"/>
          <w:shd w:fill="auto" w:val="clear"/>
          <w:lang w:eastAsia="x-none"/>
        </w:rPr>
        <w:t>, исключить (уменьшить) часть Продукции. Данные изменения будут оформлены дополнительным соглашением к Договору.</w:t>
      </w:r>
      <w:r>
        <w:rPr>
          <w:sz w:val="24"/>
          <w:szCs w:val="24"/>
          <w:shd w:fill="auto" w:val="clear"/>
        </w:rPr>
        <w:t xml:space="preserve"> </w:t>
      </w:r>
    </w:p>
    <w:p>
      <w:pPr>
        <w:pStyle w:val="Normal"/>
        <w:widowControl w:val="false"/>
        <w:shd w:val="clear" w:color="auto" w:fill="FFFFFF"/>
        <w:tabs>
          <w:tab w:val="clear" w:pos="720"/>
          <w:tab w:val="left" w:pos="1276" w:leader="none"/>
        </w:tabs>
        <w:spacing w:before="0" w:after="120"/>
        <w:ind w:left="360" w:hanging="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shd w:fill="auto" w:val="clear"/>
        </w:rPr>
        <w:t xml:space="preserve"> </w:t>
      </w:r>
      <w:r>
        <w:rPr>
          <w:sz w:val="24"/>
          <w:szCs w:val="24"/>
          <w:shd w:fill="auto" w:val="clear"/>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tabs>
          <w:tab w:val="clear" w:pos="720"/>
          <w:tab w:val="left" w:pos="993" w:leader="none"/>
          <w:tab w:val="left" w:pos="1276" w:leader="none"/>
        </w:tabs>
        <w:spacing w:before="0" w:after="120"/>
        <w:ind w:left="0" w:firstLine="567"/>
        <w:jc w:val="both"/>
        <w:rPr>
          <w:highlight w:val="none"/>
          <w:shd w:fill="auto" w:val="clear"/>
        </w:rPr>
      </w:pPr>
      <w:r>
        <w:rPr>
          <w:sz w:val="24"/>
          <w:szCs w:val="24"/>
          <w:shd w:fill="auto" w:val="clear"/>
        </w:rPr>
        <w:t xml:space="preserve">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согласно п.3.14 Договора, Поставщик вправе потребовать уплаты Покупателем: </w:t>
      </w:r>
    </w:p>
    <w:p>
      <w:pPr>
        <w:pStyle w:val="Normal"/>
        <w:tabs>
          <w:tab w:val="clear" w:pos="720"/>
          <w:tab w:val="left" w:pos="1134" w:leader="none"/>
        </w:tabs>
        <w:jc w:val="both"/>
        <w:rPr>
          <w:highlight w:val="none"/>
          <w:shd w:fill="auto" w:val="clear"/>
        </w:rPr>
      </w:pPr>
      <w:r>
        <w:rPr>
          <w:rFonts w:eastAsia="Calibri"/>
          <w:bCs/>
          <w:sz w:val="24"/>
          <w:szCs w:val="24"/>
          <w:shd w:fill="auto" w:val="clear"/>
        </w:rPr>
        <w:tab/>
        <w:t>- неустойки в размере 0,1 (ноль целых и одна десятая) процента от цены партии Продукции, за каждый день просрочки поставки Продукции;</w:t>
      </w:r>
    </w:p>
    <w:p>
      <w:pPr>
        <w:pStyle w:val="Normal"/>
        <w:tabs>
          <w:tab w:val="clear" w:pos="720"/>
          <w:tab w:val="left" w:pos="1134" w:leader="none"/>
        </w:tabs>
        <w:jc w:val="both"/>
        <w:rPr>
          <w:highlight w:val="none"/>
          <w:shd w:fill="auto" w:val="clear"/>
        </w:rPr>
      </w:pPr>
      <w:r>
        <w:rPr>
          <w:rFonts w:eastAsia="Calibri"/>
          <w:bCs/>
          <w:sz w:val="24"/>
          <w:szCs w:val="24"/>
          <w:shd w:fill="auto" w:val="clear"/>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 </w:t>
      </w:r>
    </w:p>
    <w:p>
      <w:pPr>
        <w:pStyle w:val="Normal"/>
        <w:widowControl w:val="false"/>
        <w:tabs>
          <w:tab w:val="clear" w:pos="720"/>
          <w:tab w:val="left" w:pos="1276" w:leader="none"/>
        </w:tabs>
        <w:spacing w:before="0" w:after="120"/>
        <w:jc w:val="both"/>
        <w:rPr>
          <w:highlight w:val="none"/>
          <w:shd w:fill="auto" w:val="clear"/>
        </w:rPr>
      </w:pPr>
      <w:r>
        <w:rPr>
          <w:rFonts w:eastAsia="Calibri"/>
          <w:bCs/>
          <w:sz w:val="24"/>
          <w:szCs w:val="24"/>
          <w:shd w:fill="auto" w:val="clear"/>
        </w:rPr>
        <w:tab/>
        <w:t>-неустойки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r>
        <w:rPr>
          <w:sz w:val="24"/>
          <w:szCs w:val="24"/>
          <w:shd w:fill="auto" w:val="clear"/>
        </w:rPr>
        <w:tab/>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если в результате составления и выставления Поставщиком счетов-фактур </w:t>
      </w:r>
      <w:r>
        <w:rPr>
          <w:sz w:val="24"/>
          <w:szCs w:val="24"/>
          <w:shd w:fill="auto" w:val="clear"/>
        </w:rPr>
        <w:t>(УПД)</w:t>
      </w:r>
      <w:r>
        <w:rPr>
          <w:sz w:val="24"/>
          <w:szCs w:val="24"/>
          <w:shd w:fill="auto" w:val="clear"/>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Pr>
          <w:sz w:val="24"/>
          <w:szCs w:val="24"/>
          <w:shd w:fill="auto" w:val="clear"/>
        </w:rPr>
        <w:t>В случае нарушения Поставщиком сроков, предусмотренных п. 2.9. Договора, Покупатель имеет право требовать от Поставщика уплаты штрафа в размере 50 000 (Пятидесяти тысяч) рублей за каждый случай нарушения</w:t>
      </w:r>
      <w:r>
        <w:rPr>
          <w:sz w:val="24"/>
          <w:szCs w:val="24"/>
          <w:shd w:fill="auto" w:val="clear"/>
        </w:rPr>
        <w:t>.</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highlight w:val="none"/>
          <w:shd w:fill="auto" w:val="clear"/>
        </w:rPr>
      </w:pPr>
      <w:r>
        <w:rPr>
          <w:sz w:val="24"/>
          <w:szCs w:val="24"/>
          <w:shd w:fill="auto" w:val="clear"/>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highlight w:val="none"/>
          <w:shd w:fill="auto" w:val="clear"/>
        </w:rPr>
      </w:pPr>
      <w:r>
        <w:rPr>
          <w:sz w:val="24"/>
          <w:szCs w:val="24"/>
          <w:shd w:fill="auto" w:val="clear"/>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highlight w:val="none"/>
          <w:shd w:fill="auto" w:val="clear"/>
        </w:rPr>
      </w:pPr>
      <w:r>
        <w:rPr>
          <w:sz w:val="24"/>
          <w:szCs w:val="24"/>
          <w:shd w:fill="auto" w:val="clear"/>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highlight w:val="none"/>
          <w:shd w:fill="auto" w:val="clear"/>
        </w:rPr>
      </w:pPr>
      <w:r>
        <w:rPr>
          <w:sz w:val="24"/>
          <w:szCs w:val="24"/>
          <w:shd w:fill="auto" w:val="clear"/>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highlight w:val="none"/>
          <w:shd w:fill="auto" w:val="clear"/>
        </w:rPr>
      </w:pPr>
      <w:r>
        <w:rPr>
          <w:sz w:val="24"/>
          <w:szCs w:val="24"/>
          <w:shd w:fill="auto" w:val="clear"/>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highlight w:val="none"/>
          <w:shd w:fill="auto" w:val="clear"/>
        </w:rPr>
      </w:pPr>
      <w:r>
        <w:rPr>
          <w:sz w:val="24"/>
          <w:szCs w:val="24"/>
          <w:shd w:fill="auto" w:val="clear"/>
        </w:rPr>
        <w:t>выписка из торгового реестра страны инкорпорации;</w:t>
      </w:r>
    </w:p>
    <w:p>
      <w:pPr>
        <w:pStyle w:val="Normal"/>
        <w:numPr>
          <w:ilvl w:val="0"/>
          <w:numId w:val="9"/>
        </w:numPr>
        <w:spacing w:before="0" w:after="120"/>
        <w:ind w:left="709" w:hanging="283"/>
        <w:outlineLvl w:val="0"/>
        <w:rPr>
          <w:highlight w:val="none"/>
          <w:shd w:fill="auto" w:val="clear"/>
        </w:rPr>
      </w:pPr>
      <w:r>
        <w:rPr>
          <w:sz w:val="24"/>
          <w:szCs w:val="24"/>
          <w:shd w:fill="auto" w:val="clear"/>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highlight w:val="none"/>
          <w:shd w:fill="auto" w:val="clear"/>
        </w:rPr>
      </w:pPr>
      <w:r>
        <w:rPr>
          <w:color w:val="000000"/>
          <w:sz w:val="24"/>
          <w:szCs w:val="24"/>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highlight w:val="none"/>
          <w:shd w:fill="auto" w:val="clear"/>
        </w:rPr>
      </w:pPr>
      <w:r>
        <w:rPr>
          <w:bCs/>
          <w:color w:val="000000"/>
          <w:sz w:val="24"/>
          <w:szCs w:val="24"/>
          <w:shd w:fill="auto"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highlight w:val="none"/>
          <w:shd w:fill="auto" w:val="clear"/>
        </w:rPr>
      </w:pPr>
      <w:r>
        <w:rPr>
          <w:bCs/>
          <w:color w:val="000000"/>
          <w:sz w:val="24"/>
          <w:szCs w:val="24"/>
          <w:shd w:fill="auto"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highlight w:val="none"/>
          <w:shd w:fill="auto" w:val="clear"/>
        </w:rPr>
      </w:pPr>
      <w:r>
        <w:rPr>
          <w:bCs/>
          <w:color w:val="000000"/>
          <w:sz w:val="24"/>
          <w:szCs w:val="24"/>
          <w:shd w:fill="auto"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highlight w:val="none"/>
          <w:shd w:fill="auto" w:val="clear"/>
        </w:rPr>
      </w:pPr>
      <w:r>
        <w:rPr>
          <w:bCs/>
          <w:color w:val="000000"/>
          <w:sz w:val="24"/>
          <w:szCs w:val="24"/>
          <w:shd w:fill="auto"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highlight w:val="none"/>
          <w:shd w:fill="auto" w:val="clear"/>
        </w:rPr>
      </w:pPr>
      <w:r>
        <w:rPr>
          <w:bCs/>
          <w:color w:val="000000"/>
          <w:sz w:val="24"/>
          <w:szCs w:val="24"/>
          <w:shd w:fill="auto"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highlight w:val="none"/>
          <w:shd w:fill="auto" w:val="clear"/>
        </w:rPr>
      </w:pPr>
      <w:r>
        <w:rPr>
          <w:color w:val="000000"/>
          <w:sz w:val="24"/>
          <w:szCs w:val="24"/>
          <w:shd w:fill="auto" w:val="clear"/>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highlight w:val="none"/>
          <w:shd w:fill="auto" w:val="clear"/>
        </w:rPr>
      </w:pPr>
      <w:r>
        <w:rPr>
          <w:sz w:val="24"/>
          <w:szCs w:val="24"/>
          <w:shd w:fill="auto" w:val="clear"/>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highlight w:val="none"/>
          <w:shd w:fill="auto" w:val="clear"/>
        </w:rPr>
      </w:pPr>
      <w:r>
        <w:rPr>
          <w:sz w:val="24"/>
          <w:szCs w:val="24"/>
          <w:shd w:fill="auto"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highlight w:val="none"/>
          <w:shd w:fill="auto" w:val="clear"/>
        </w:rPr>
      </w:pPr>
      <w:r>
        <w:rPr>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highlight w:val="none"/>
          <w:shd w:fill="auto" w:val="clear"/>
        </w:rPr>
      </w:pPr>
      <w:r>
        <w:rPr>
          <w:sz w:val="24"/>
          <w:szCs w:val="24"/>
          <w:shd w:fill="auto"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auto"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shd w:fill="auto" w:val="clear"/>
          </w:rPr>
          <w:t>№ 18162/09</w:t>
        </w:r>
      </w:hyperlink>
      <w:r>
        <w:rPr>
          <w:sz w:val="24"/>
          <w:szCs w:val="24"/>
          <w:shd w:fill="auto" w:val="clear"/>
        </w:rPr>
        <w:t xml:space="preserve"> и от 25.05.2010 </w:t>
      </w:r>
      <w:hyperlink r:id="rId6">
        <w:r>
          <w:rPr>
            <w:sz w:val="24"/>
            <w:szCs w:val="24"/>
            <w:shd w:fill="auto" w:val="clear"/>
          </w:rPr>
          <w:t>№ 15658/09</w:t>
        </w:r>
      </w:hyperlink>
      <w:r>
        <w:rPr>
          <w:sz w:val="24"/>
          <w:szCs w:val="24"/>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shd w:fill="auto" w:val="clear"/>
          </w:rPr>
          <w:t>Критери</w:t>
        </w:r>
      </w:hyperlink>
      <w:r>
        <w:rPr>
          <w:sz w:val="24"/>
          <w:szCs w:val="24"/>
          <w:shd w:fill="auto"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Форс</w:t>
      </w:r>
      <w:r>
        <w:rPr>
          <w:b/>
          <w:bCs/>
          <w:sz w:val="24"/>
          <w:szCs w:val="24"/>
          <w:shd w:fill="auto"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финансовую отчетность;</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бизнес-планы;</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ListParagraph"/>
        <w:shd w:val="clear" w:color="auto" w:fill="FFFFFF"/>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auto" w:val="clear"/>
        </w:rPr>
        <w:t>.</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highlight w:val="none"/>
          <w:shd w:fill="auto" w:val="clear"/>
        </w:rPr>
      </w:pPr>
      <w:r>
        <w:rPr>
          <w:sz w:val="24"/>
          <w:szCs w:val="24"/>
          <w:shd w:fill="auto"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Стороны установили, что существенным нарушением Договора Поставщиком является</w:t>
      </w:r>
      <w:r>
        <w:rPr>
          <w:shd w:fill="auto" w:val="clear"/>
        </w:rPr>
        <w:t>:</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highlight w:val="none"/>
          <w:shd w:fill="auto" w:val="clear"/>
        </w:rPr>
      </w:pPr>
      <w:r>
        <w:rPr>
          <w:sz w:val="24"/>
          <w:szCs w:val="24"/>
          <w:shd w:fill="auto"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Заверения</w:t>
      </w:r>
      <w:r>
        <w:rPr>
          <w:b/>
          <w:sz w:val="24"/>
          <w:szCs w:val="24"/>
          <w:shd w:fill="auto" w:val="clear"/>
        </w:rPr>
        <w:t xml:space="preserve"> Сторон</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Каждая</w:t>
      </w:r>
      <w:r>
        <w:rPr>
          <w:sz w:val="24"/>
          <w:szCs w:val="24"/>
          <w:shd w:fill="auto" w:val="clear"/>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В случае, если при заключении Договора Поставщик предоставил </w:t>
      </w:r>
      <w:r>
        <w:rPr>
          <w:bCs/>
          <w:sz w:val="24"/>
          <w:szCs w:val="24"/>
          <w:shd w:fill="auto" w:val="clear"/>
        </w:rPr>
        <w:t>Покупателю</w:t>
      </w:r>
      <w:r>
        <w:rPr>
          <w:sz w:val="24"/>
          <w:szCs w:val="24"/>
          <w:shd w:fill="auto"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auto" w:val="clear"/>
        </w:rPr>
        <w:t xml:space="preserve">Поставщик </w:t>
      </w:r>
      <w:r>
        <w:rPr>
          <w:sz w:val="24"/>
          <w:szCs w:val="24"/>
          <w:shd w:fill="auto" w:val="clear"/>
        </w:rPr>
        <w:t xml:space="preserve">обязан по требованию </w:t>
      </w:r>
      <w:r>
        <w:rPr>
          <w:bCs/>
          <w:sz w:val="24"/>
          <w:szCs w:val="24"/>
          <w:shd w:fill="auto" w:val="clear"/>
        </w:rPr>
        <w:t>Покупателя</w:t>
      </w:r>
      <w:r>
        <w:rPr>
          <w:sz w:val="24"/>
          <w:szCs w:val="24"/>
          <w:shd w:fill="auto"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highlight w:val="none"/>
          <w:shd w:fill="auto" w:val="clear"/>
        </w:rPr>
      </w:pPr>
      <w:r>
        <w:rPr>
          <w:sz w:val="24"/>
          <w:szCs w:val="24"/>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Документ</w:t>
      </w:r>
      <w:r>
        <w:rPr>
          <w:bCs/>
          <w:sz w:val="24"/>
          <w:szCs w:val="24"/>
          <w:shd w:fill="auto" w:val="clear"/>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w:t>
      </w:r>
      <w:r>
        <w:rPr>
          <w:bCs/>
          <w:sz w:val="24"/>
          <w:szCs w:val="24"/>
          <w:shd w:fill="auto" w:val="clear"/>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spacing w:before="0" w:after="120"/>
        <w:ind w:left="567" w:hanging="0"/>
        <w:jc w:val="both"/>
        <w:rPr>
          <w:bCs/>
          <w:sz w:val="24"/>
          <w:szCs w:val="24"/>
          <w:highlight w:val="none"/>
          <w:shd w:fill="auto" w:val="clear"/>
        </w:rPr>
      </w:pPr>
      <w:r>
        <w:rPr>
          <w:bCs/>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Приложения к Договору</w:t>
      </w:r>
    </w:p>
    <w:p>
      <w:pPr>
        <w:pStyle w:val="Heading3"/>
        <w:keepNext w:val="false"/>
        <w:tabs>
          <w:tab w:val="clear" w:pos="0"/>
        </w:tabs>
        <w:overflowPunct w:val="true"/>
        <w:spacing w:before="0" w:after="120"/>
        <w:ind w:left="567" w:hanging="0"/>
        <w:jc w:val="both"/>
        <w:textAlignment w:val="baseline"/>
        <w:rPr>
          <w:highlight w:val="none"/>
          <w:shd w:fill="auto" w:val="clear"/>
        </w:rPr>
      </w:pPr>
      <w:r>
        <w:rPr>
          <w:b w:val="false"/>
          <w:sz w:val="24"/>
          <w:szCs w:val="24"/>
          <w:shd w:fill="auto" w:val="clear"/>
        </w:rPr>
        <w:t>- Приложение № 1 – Спецификация.</w:t>
      </w:r>
    </w:p>
    <w:p>
      <w:pPr>
        <w:pStyle w:val="Heading3"/>
        <w:keepNext w:val="false"/>
        <w:tabs>
          <w:tab w:val="clear" w:pos="0"/>
        </w:tabs>
        <w:overflowPunct w:val="true"/>
        <w:spacing w:before="0" w:after="120"/>
        <w:ind w:left="567" w:hanging="0"/>
        <w:jc w:val="both"/>
        <w:textAlignment w:val="baseline"/>
        <w:rPr>
          <w:highlight w:val="none"/>
          <w:shd w:fill="auto" w:val="clear"/>
        </w:rPr>
      </w:pPr>
      <w:r>
        <w:rPr>
          <w:b w:val="false"/>
          <w:sz w:val="24"/>
          <w:szCs w:val="24"/>
          <w:shd w:fill="auto" w:val="clear"/>
        </w:rPr>
        <w:t>- Приложение № 2 – Календарный график поставки.</w:t>
      </w:r>
    </w:p>
    <w:p>
      <w:pPr>
        <w:pStyle w:val="Normal"/>
        <w:rPr>
          <w:highlight w:val="none"/>
          <w:shd w:fill="auto" w:val="clear"/>
        </w:rPr>
      </w:pPr>
      <w:r>
        <w:rPr>
          <w:sz w:val="24"/>
          <w:szCs w:val="24"/>
          <w:shd w:fill="auto" w:val="clear"/>
        </w:rPr>
        <w:t xml:space="preserve">          </w:t>
      </w:r>
      <w:r>
        <w:rPr>
          <w:sz w:val="24"/>
          <w:szCs w:val="24"/>
          <w:shd w:fill="auto" w:val="clear"/>
        </w:rPr>
        <w:t>- Приложение № 3</w:t>
      </w:r>
      <w:r>
        <w:rPr>
          <w:b/>
          <w:sz w:val="24"/>
          <w:szCs w:val="24"/>
          <w:shd w:fill="auto" w:val="clear"/>
        </w:rPr>
        <w:t xml:space="preserve"> </w:t>
      </w:r>
      <w:r>
        <w:rPr>
          <w:sz w:val="24"/>
          <w:szCs w:val="24"/>
          <w:shd w:fill="auto" w:val="clear"/>
        </w:rPr>
        <w:t>– Финансовое обеспечение исполнения обязательств.</w:t>
      </w:r>
    </w:p>
    <w:p>
      <w:pPr>
        <w:pStyle w:val="Normal"/>
        <w:spacing w:before="0" w:after="120"/>
        <w:ind w:left="567" w:hanging="567"/>
        <w:rPr>
          <w:highlight w:val="none"/>
          <w:shd w:fill="auto" w:val="clear"/>
        </w:rPr>
      </w:pPr>
      <w:bookmarkStart w:id="4" w:name="sub_1"/>
      <w:r>
        <w:rPr>
          <w:sz w:val="24"/>
          <w:szCs w:val="24"/>
          <w:shd w:fill="auto" w:val="clear"/>
        </w:rPr>
        <w:tab/>
      </w:r>
      <w:bookmarkEnd w:id="4"/>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27"/>
        <w:gridCol w:w="4786"/>
      </w:tblGrid>
      <w:tr>
        <w:trPr/>
        <w:tc>
          <w:tcPr>
            <w:tcW w:w="4927" w:type="dxa"/>
            <w:tcBorders/>
          </w:tcPr>
          <w:p>
            <w:pPr>
              <w:pStyle w:val="Normal"/>
              <w:widowControl w:val="false"/>
              <w:rPr>
                <w:highlight w:val="none"/>
                <w:shd w:fill="auto" w:val="clear"/>
              </w:rPr>
            </w:pPr>
            <w:r>
              <w:rPr>
                <w:b/>
                <w:sz w:val="24"/>
                <w:szCs w:val="24"/>
                <w:u w:val="single"/>
                <w:shd w:fill="auto" w:val="clear"/>
              </w:rPr>
              <w:t>Покупатель:</w:t>
            </w:r>
          </w:p>
        </w:tc>
        <w:tc>
          <w:tcPr>
            <w:tcW w:w="4786" w:type="dxa"/>
            <w:tcBorders/>
          </w:tcPr>
          <w:p>
            <w:pPr>
              <w:pStyle w:val="Normal"/>
              <w:widowControl w:val="false"/>
              <w:rPr>
                <w:highlight w:val="none"/>
                <w:shd w:fill="auto" w:val="clear"/>
              </w:rPr>
            </w:pPr>
            <w:r>
              <w:rPr>
                <w:b/>
                <w:sz w:val="24"/>
                <w:szCs w:val="24"/>
                <w:u w:val="single"/>
                <w:shd w:fill="auto" w:val="clear"/>
              </w:rPr>
              <w:t>Поставщик:</w:t>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b/>
                <w:sz w:val="22"/>
                <w:szCs w:val="22"/>
                <w:shd w:fill="auto" w:val="clear"/>
              </w:rPr>
              <w:t>Акционерное общество</w:t>
            </w:r>
          </w:p>
          <w:p>
            <w:pPr>
              <w:pStyle w:val="Normal"/>
              <w:widowControl w:val="false"/>
              <w:rPr>
                <w:highlight w:val="none"/>
                <w:shd w:fill="auto" w:val="clear"/>
              </w:rPr>
            </w:pPr>
            <w:r>
              <w:rPr>
                <w:b/>
                <w:sz w:val="22"/>
                <w:szCs w:val="22"/>
                <w:shd w:fill="auto" w:val="clear"/>
              </w:rPr>
              <w:t>«Гидроремонт-ВКК» (АО «Гидроремонт-ВКК»)</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юридического лица)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p>
            <w:pPr>
              <w:pStyle w:val="Normal"/>
              <w:widowControl w:val="false"/>
              <w:rPr>
                <w:sz w:val="22"/>
                <w:szCs w:val="22"/>
                <w:highlight w:val="none"/>
                <w:shd w:fill="auto" w:val="clear"/>
              </w:rPr>
            </w:pPr>
            <w:r>
              <w:rPr>
                <w:sz w:val="22"/>
                <w:szCs w:val="22"/>
                <w:shd w:fill="auto" w:val="clear"/>
              </w:rPr>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 xml:space="preserve">_______________ / </w:t>
            </w:r>
            <w:r>
              <w:rPr>
                <w:sz w:val="22"/>
                <w:szCs w:val="22"/>
                <w:shd w:fill="auto" w:val="clear"/>
              </w:rPr>
              <w:t>_______________</w:t>
            </w:r>
            <w:r>
              <w:rPr>
                <w:sz w:val="22"/>
                <w:szCs w:val="22"/>
                <w:shd w:fill="auto" w:val="clear"/>
              </w:rPr>
              <w:t xml:space="preserve"> /</w:t>
            </w:r>
          </w:p>
          <w:p>
            <w:pPr>
              <w:pStyle w:val="Normal"/>
              <w:widowControl w:val="false"/>
              <w:rPr>
                <w:highlight w:val="none"/>
                <w:shd w:fill="auto" w:val="clear"/>
              </w:rPr>
            </w:pPr>
            <w:r>
              <w:rPr>
                <w:sz w:val="22"/>
                <w:szCs w:val="22"/>
                <w:shd w:fill="auto" w:val="clear"/>
              </w:rPr>
              <w:t>м.п.</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 xml:space="preserve">_______________ / </w:t>
            </w:r>
            <w:r>
              <w:rPr>
                <w:sz w:val="22"/>
                <w:szCs w:val="22"/>
                <w:shd w:fill="auto" w:val="clear"/>
              </w:rPr>
              <w:t>_______________</w:t>
            </w:r>
            <w:r>
              <w:rPr>
                <w:sz w:val="22"/>
                <w:szCs w:val="22"/>
                <w:shd w:fill="auto" w:val="clear"/>
              </w:rPr>
              <w:t xml:space="preserve"> /</w:t>
            </w:r>
          </w:p>
          <w:p>
            <w:pPr>
              <w:pStyle w:val="Normal"/>
              <w:widowControl w:val="false"/>
              <w:rPr>
                <w:highlight w:val="none"/>
                <w:shd w:fill="auto" w:val="clear"/>
              </w:rPr>
            </w:pPr>
            <w:r>
              <w:rPr>
                <w:sz w:val="22"/>
                <w:szCs w:val="22"/>
                <w:shd w:fill="auto" w:val="clear"/>
              </w:rPr>
              <w:t>м.п.</w:t>
            </w:r>
          </w:p>
        </w:tc>
      </w:tr>
    </w:tbl>
    <w:p>
      <w:pPr>
        <w:sectPr>
          <w:headerReference w:type="default" r:id="rId8"/>
          <w:footerReference w:type="even" r:id="rId9"/>
          <w:footerReference w:type="default" r:id="rId10"/>
          <w:footerReference w:type="first" r:id="rId11"/>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1</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Спецификация №__</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p>
      <w:pPr>
        <w:pStyle w:val="Normal"/>
        <w:numPr>
          <w:ilvl w:val="0"/>
          <w:numId w:val="0"/>
        </w:numPr>
        <w:spacing w:before="0" w:after="120"/>
        <w:ind w:left="0" w:firstLine="567"/>
        <w:jc w:val="center"/>
        <w:outlineLvl w:val="0"/>
        <w:rPr>
          <w:b/>
          <w:i/>
          <w:i/>
          <w:color w:val="FF0000"/>
          <w:sz w:val="22"/>
          <w:szCs w:val="22"/>
          <w:highlight w:val="none"/>
          <w:shd w:fill="auto" w:val="clear"/>
        </w:rPr>
      </w:pPr>
      <w:r>
        <w:rPr>
          <w:b/>
          <w:i/>
          <w:color w:val="FF0000"/>
          <w:sz w:val="22"/>
          <w:szCs w:val="22"/>
          <w:shd w:fill="auto" w:val="clear"/>
        </w:rPr>
      </w:r>
    </w:p>
    <w:tbl>
      <w:tblPr>
        <w:tblW w:w="10349" w:type="dxa"/>
        <w:jc w:val="left"/>
        <w:tblInd w:w="-175" w:type="dxa"/>
        <w:tblLayout w:type="fixed"/>
        <w:tblCellMar>
          <w:top w:w="0" w:type="dxa"/>
          <w:left w:w="108" w:type="dxa"/>
          <w:bottom w:w="0" w:type="dxa"/>
          <w:right w:w="108" w:type="dxa"/>
        </w:tblCellMar>
        <w:tblLook w:val="04a0" w:noVBand="1" w:noHBand="0" w:lastColumn="0" w:firstColumn="1" w:lastRow="0" w:firstRow="1"/>
      </w:tblPr>
      <w:tblGrid>
        <w:gridCol w:w="568"/>
        <w:gridCol w:w="844"/>
        <w:gridCol w:w="565"/>
        <w:gridCol w:w="1567"/>
        <w:gridCol w:w="1560"/>
        <w:gridCol w:w="567"/>
        <w:gridCol w:w="567"/>
        <w:gridCol w:w="709"/>
        <w:gridCol w:w="1842"/>
        <w:gridCol w:w="1559"/>
      </w:tblGrid>
      <w:tr>
        <w:trPr>
          <w:trHeight w:val="510" w:hRule="atLeast"/>
        </w:trPr>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40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15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highlight w:val="none"/>
                <w:shd w:fill="auto" w:val="clear"/>
              </w:rPr>
            </w:pPr>
            <w:r>
              <w:rPr>
                <w:sz w:val="24"/>
                <w:szCs w:val="24"/>
                <w:shd w:fill="auto" w:val="clear"/>
              </w:rPr>
              <w:t>Страна происхождения Продукции / цифровой код страны</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Характеристики продукции</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Тип</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3"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40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156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highlight w:val="none"/>
                <w:shd w:fill="auto" w:val="clear"/>
              </w:rPr>
            </w:pPr>
            <w:r>
              <w:rPr>
                <w:sz w:val="22"/>
                <w:szCs w:val="24"/>
                <w:shd w:fill="auto" w:val="clear"/>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3"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40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156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highlight w:val="none"/>
                <w:shd w:fill="auto" w:val="clear"/>
              </w:rPr>
            </w:pPr>
            <w:r>
              <w:rPr>
                <w:sz w:val="22"/>
                <w:szCs w:val="24"/>
                <w:shd w:fill="auto" w:val="clear"/>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5" w:hRule="atLeast"/>
        </w:trPr>
        <w:tc>
          <w:tcPr>
            <w:tcW w:w="141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highlight w:val="none"/>
                <w:shd w:fill="auto" w:val="clear"/>
              </w:rPr>
            </w:pPr>
            <w:r>
              <w:rPr>
                <w:b/>
                <w:sz w:val="22"/>
                <w:szCs w:val="24"/>
                <w:shd w:fill="auto" w:val="clear"/>
              </w:rPr>
            </w:r>
          </w:p>
        </w:tc>
        <w:tc>
          <w:tcPr>
            <w:tcW w:w="737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5" w:hRule="atLeast"/>
        </w:trPr>
        <w:tc>
          <w:tcPr>
            <w:tcW w:w="141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highlight w:val="none"/>
                <w:shd w:fill="auto" w:val="clear"/>
              </w:rPr>
            </w:pPr>
            <w:r>
              <w:rPr>
                <w:sz w:val="22"/>
                <w:szCs w:val="24"/>
                <w:shd w:fill="auto" w:val="clear"/>
              </w:rPr>
            </w:r>
          </w:p>
        </w:tc>
        <w:tc>
          <w:tcPr>
            <w:tcW w:w="737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0" w:after="120"/>
        <w:ind w:firstLine="567"/>
        <w:rPr>
          <w:b/>
          <w:bCs/>
          <w:i/>
          <w:i/>
          <w:sz w:val="24"/>
          <w:szCs w:val="24"/>
          <w:highlight w:val="none"/>
          <w:shd w:fill="auto" w:val="clear"/>
        </w:rPr>
      </w:pPr>
      <w:r>
        <w:rPr>
          <w:b/>
          <w:bCs/>
          <w:i/>
          <w:sz w:val="24"/>
          <w:szCs w:val="24"/>
          <w:shd w:fill="auto" w:val="clear"/>
        </w:rPr>
      </w:r>
    </w:p>
    <w:p>
      <w:pPr>
        <w:pStyle w:val="BodyText"/>
        <w:spacing w:before="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21"/>
        </w:numPr>
        <w:tabs>
          <w:tab w:val="left" w:pos="720" w:leader="none"/>
        </w:tabs>
        <w:spacing w:before="0" w:after="120"/>
        <w:ind w:left="0" w:firstLine="284"/>
        <w:jc w:val="both"/>
        <w:rPr>
          <w:highlight w:val="none"/>
          <w:shd w:fill="auto" w:val="clear"/>
        </w:rPr>
      </w:pPr>
      <w:r>
        <w:rPr>
          <w:bCs/>
          <w:sz w:val="24"/>
          <w:szCs w:val="24"/>
          <w:shd w:fill="auto" w:val="clear"/>
        </w:rPr>
        <w:t>Общая сумма 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sz w:val="24"/>
          <w:szCs w:val="24"/>
          <w:shd w:fill="auto" w:val="clear"/>
        </w:rPr>
        <w:t>.</w:t>
      </w:r>
    </w:p>
    <w:p>
      <w:pPr>
        <w:pStyle w:val="Normal"/>
        <w:widowControl w:val="false"/>
        <w:numPr>
          <w:ilvl w:val="0"/>
          <w:numId w:val="22"/>
        </w:numPr>
        <w:tabs>
          <w:tab w:val="left" w:pos="720" w:leader="none"/>
        </w:tabs>
        <w:spacing w:before="0" w:after="120"/>
        <w:ind w:left="0" w:firstLine="284"/>
        <w:jc w:val="both"/>
        <w:rPr>
          <w:highlight w:val="none"/>
          <w:shd w:fill="auto" w:val="clear"/>
        </w:rPr>
      </w:pPr>
      <w:r>
        <w:rPr>
          <w:sz w:val="24"/>
          <w:szCs w:val="24"/>
          <w:shd w:fill="auto" w:val="clear"/>
        </w:rPr>
        <w:t>Наименование производителя: ______________________;</w:t>
      </w:r>
    </w:p>
    <w:p>
      <w:pPr>
        <w:pStyle w:val="Normal"/>
        <w:widowControl w:val="false"/>
        <w:numPr>
          <w:ilvl w:val="0"/>
          <w:numId w:val="23"/>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_______________________.</w:t>
      </w:r>
    </w:p>
    <w:p>
      <w:pPr>
        <w:pStyle w:val="Normal"/>
        <w:widowControl w:val="false"/>
        <w:numPr>
          <w:ilvl w:val="0"/>
          <w:numId w:val="24"/>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требованиями:_________________.</w:t>
      </w:r>
    </w:p>
    <w:p>
      <w:pPr>
        <w:pStyle w:val="BodyText"/>
        <w:spacing w:before="0" w:after="120"/>
        <w:ind w:firstLine="567"/>
        <w:rPr>
          <w:highlight w:val="none"/>
          <w:shd w:fill="auto" w:val="clear"/>
        </w:rPr>
      </w:pPr>
      <w:r>
        <w:rPr>
          <w:b/>
          <w:sz w:val="24"/>
          <w:szCs w:val="24"/>
          <w:shd w:fill="auto" w:val="clear"/>
        </w:rPr>
        <w:t>*</w:t>
      </w:r>
      <w:r>
        <w:rPr>
          <w:sz w:val="24"/>
          <w:szCs w:val="24"/>
          <w:shd w:fill="auto" w:val="clear"/>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color w:val="1F497D"/>
          <w:sz w:val="24"/>
          <w:szCs w:val="24"/>
          <w:highlight w:val="none"/>
          <w:shd w:fill="auto" w:val="clear"/>
        </w:rPr>
      </w:pPr>
      <w:r>
        <w:rPr>
          <w:color w:val="1F497D"/>
          <w:sz w:val="24"/>
          <w:szCs w:val="24"/>
          <w:shd w:fill="auto" w:val="clear"/>
        </w:rPr>
      </w:r>
    </w:p>
    <w:p>
      <w:pPr>
        <w:pStyle w:val="Normal"/>
        <w:spacing w:before="0" w:after="120"/>
        <w:jc w:val="both"/>
        <w:rPr>
          <w:sz w:val="24"/>
          <w:szCs w:val="24"/>
          <w:highlight w:val="none"/>
          <w:shd w:fill="auto" w:val="clear"/>
        </w:rPr>
      </w:pPr>
      <w:r>
        <w:rPr>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sectPr>
          <w:headerReference w:type="default" r:id="rId12"/>
          <w:headerReference w:type="first" r:id="rId13"/>
          <w:footerReference w:type="even" r:id="rId14"/>
          <w:footerReference w:type="default" r:id="rId15"/>
          <w:footerReference w:type="first" r:id="rId16"/>
          <w:footnotePr>
            <w:numFmt w:val="decimal"/>
          </w:footnotePr>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2</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u w:val="single"/>
          <w:shd w:fill="auto" w:val="clear"/>
        </w:rPr>
      </w:pPr>
      <w:r>
        <w:rPr>
          <w:b/>
          <w:sz w:val="24"/>
          <w:szCs w:val="24"/>
          <w:u w:val="single"/>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Календарный график поставки</w:t>
      </w:r>
    </w:p>
    <w:tbl>
      <w:tblPr>
        <w:tblW w:w="1003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27"/>
        <w:gridCol w:w="1621"/>
        <w:gridCol w:w="2439"/>
        <w:gridCol w:w="673"/>
        <w:gridCol w:w="776"/>
        <w:gridCol w:w="1918"/>
        <w:gridCol w:w="1676"/>
      </w:tblGrid>
      <w:tr>
        <w:trPr>
          <w:trHeight w:val="507" w:hRule="atLeast"/>
        </w:trPr>
        <w:tc>
          <w:tcPr>
            <w:tcW w:w="9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highlight w:val="none"/>
                <w:shd w:fill="auto" w:val="clear"/>
              </w:rPr>
            </w:pPr>
            <w:r>
              <w:rPr>
                <w:bCs/>
                <w:sz w:val="22"/>
                <w:szCs w:val="24"/>
                <w:shd w:fill="auto" w:val="clear"/>
              </w:rPr>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highlight w:val="none"/>
                <w:shd w:fill="auto" w:val="clear"/>
              </w:rPr>
            </w:pPr>
            <w:r>
              <w:rPr>
                <w:bCs/>
                <w:sz w:val="22"/>
                <w:szCs w:val="24"/>
                <w:shd w:fill="auto" w:val="clear"/>
              </w:rPr>
            </w:r>
          </w:p>
        </w:tc>
        <w:tc>
          <w:tcPr>
            <w:tcW w:w="2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highlight w:val="none"/>
                <w:shd w:fill="auto" w:val="clear"/>
              </w:rPr>
            </w:pPr>
            <w:r>
              <w:rPr>
                <w:bCs/>
                <w:sz w:val="22"/>
                <w:szCs w:val="24"/>
                <w:shd w:fill="auto" w:val="clear"/>
              </w:rPr>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highlight w:val="none"/>
                <w:shd w:fill="auto" w:val="clear"/>
              </w:rPr>
            </w:pPr>
            <w:r>
              <w:rPr>
                <w:bCs/>
                <w:sz w:val="22"/>
                <w:szCs w:val="24"/>
                <w:shd w:fill="auto" w:val="clear"/>
              </w:rPr>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highlight w:val="none"/>
                <w:shd w:fill="auto" w:val="clear"/>
              </w:rPr>
            </w:pPr>
            <w:r>
              <w:rPr>
                <w:bCs/>
                <w:sz w:val="22"/>
                <w:szCs w:val="24"/>
                <w:shd w:fill="auto" w:val="clear"/>
              </w:rPr>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highlight w:val="none"/>
                <w:shd w:fill="auto" w:val="clear"/>
              </w:rPr>
            </w:pPr>
            <w:r>
              <w:rPr>
                <w:bCs/>
                <w:sz w:val="22"/>
                <w:szCs w:val="24"/>
                <w:shd w:fill="auto" w:val="clear"/>
              </w:rPr>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highlight w:val="none"/>
                <w:shd w:fill="auto" w:val="clear"/>
              </w:rPr>
            </w:pPr>
            <w:r>
              <w:rPr>
                <w:bCs/>
                <w:sz w:val="22"/>
                <w:szCs w:val="24"/>
                <w:shd w:fill="auto" w:val="clear"/>
              </w:rPr>
            </w:r>
          </w:p>
        </w:tc>
      </w:tr>
      <w:tr>
        <w:trPr>
          <w:trHeight w:val="520" w:hRule="atLeast"/>
        </w:trPr>
        <w:tc>
          <w:tcPr>
            <w:tcW w:w="92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24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0" w:hRule="atLeast"/>
        </w:trPr>
        <w:tc>
          <w:tcPr>
            <w:tcW w:w="92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24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Normal"/>
        <w:widowControl w:val="false"/>
        <w:tabs>
          <w:tab w:val="left" w:pos="720" w:leader="none"/>
        </w:tabs>
        <w:spacing w:before="0" w:after="120"/>
        <w:ind w:left="284" w:hanging="0"/>
        <w:jc w:val="both"/>
        <w:rPr>
          <w:sz w:val="24"/>
          <w:szCs w:val="24"/>
          <w:highlight w:val="none"/>
          <w:shd w:fill="auto" w:val="clear"/>
        </w:rPr>
      </w:pPr>
      <w:r>
        <w:rPr>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mc:AlternateContent>
          <mc:Choice Requires="wps">
            <w:drawing>
              <wp:anchor behindDoc="0" distT="6985" distB="6350" distL="6350" distR="6985" simplePos="0" locked="0" layoutInCell="0" allowOverlap="1" relativeHeight="52" wp14:anchorId="2E285076">
                <wp:simplePos x="0" y="0"/>
                <wp:positionH relativeFrom="column">
                  <wp:posOffset>147955</wp:posOffset>
                </wp:positionH>
                <wp:positionV relativeFrom="paragraph">
                  <wp:posOffset>1155700</wp:posOffset>
                </wp:positionV>
                <wp:extent cx="5943600" cy="635"/>
                <wp:effectExtent l="6350" t="6985" r="6985" b="6350"/>
                <wp:wrapNone/>
                <wp:docPr id="13"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2E285076">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3</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widowControl w:val="false"/>
        <w:jc w:val="right"/>
        <w:rPr>
          <w:highlight w:val="none"/>
          <w:shd w:fill="auto" w:val="clear"/>
        </w:rPr>
      </w:pPr>
      <w:r>
        <w:rPr>
          <w:bCs/>
          <w:sz w:val="24"/>
          <w:szCs w:val="24"/>
          <w:shd w:fill="auto" w:val="clear"/>
        </w:rPr>
        <w:t xml:space="preserve">№ </w:t>
      </w:r>
      <w:r>
        <w:rPr>
          <w:sz w:val="24"/>
          <w:shd w:fill="auto" w:val="clear"/>
        </w:rPr>
        <w:t xml:space="preserve">____________ </w:t>
      </w:r>
      <w:r>
        <w:rPr>
          <w:bCs/>
          <w:sz w:val="24"/>
          <w:szCs w:val="24"/>
          <w:shd w:fill="auto" w:val="clear"/>
        </w:rPr>
        <w:t>от «___» _________ 2023</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Normal"/>
        <w:widowControl w:val="false"/>
        <w:shd w:val="clear" w:color="auto" w:fill="FFFFFF"/>
        <w:tabs>
          <w:tab w:val="clear" w:pos="720"/>
          <w:tab w:val="left" w:pos="3054" w:leader="none"/>
        </w:tabs>
        <w:spacing w:before="0" w:after="120"/>
        <w:jc w:val="center"/>
        <w:rPr>
          <w:highlight w:val="none"/>
          <w:shd w:fill="auto" w:val="clear"/>
        </w:rPr>
      </w:pPr>
      <w:r>
        <w:rPr>
          <w:b/>
          <w:sz w:val="24"/>
          <w:szCs w:val="24"/>
          <w:shd w:fill="auto" w:val="clear"/>
        </w:rPr>
        <w:t>Финансовое обеспечение исполнения обязательств</w:t>
      </w:r>
    </w:p>
    <w:p>
      <w:pPr>
        <w:pStyle w:val="Normal"/>
        <w:spacing w:before="120" w:after="120"/>
        <w:ind w:firstLine="709"/>
        <w:jc w:val="both"/>
        <w:rPr>
          <w:highlight w:val="none"/>
          <w:shd w:fill="auto" w:val="clear"/>
        </w:rPr>
      </w:pPr>
      <w:r>
        <w:rPr>
          <w:bCs/>
          <w:sz w:val="24"/>
          <w:szCs w:val="24"/>
          <w:shd w:fill="auto" w:val="clear"/>
        </w:rPr>
        <w:t>Условия банковской гарантии возврата предварительной оплаты (аванса)</w:t>
      </w:r>
      <w:r>
        <w:rPr>
          <w:bCs/>
          <w:sz w:val="28"/>
          <w:szCs w:val="28"/>
          <w:shd w:fill="auto" w:val="clear"/>
        </w:rPr>
        <w:t xml:space="preserve"> </w:t>
      </w:r>
      <w:r>
        <w:rPr>
          <w:bCs/>
          <w:sz w:val="24"/>
          <w:szCs w:val="24"/>
          <w:shd w:fill="auto" w:val="clear"/>
        </w:rPr>
        <w:t>/надлежащего исполнения обязательств по Договору</w:t>
      </w:r>
    </w:p>
    <w:p>
      <w:pPr>
        <w:pStyle w:val="Normal"/>
        <w:tabs>
          <w:tab w:val="clear" w:pos="720"/>
          <w:tab w:val="left" w:pos="540" w:leader="none"/>
        </w:tabs>
        <w:spacing w:before="20" w:after="20"/>
        <w:ind w:firstLine="709"/>
        <w:jc w:val="both"/>
        <w:rPr>
          <w:highlight w:val="none"/>
          <w:shd w:fill="auto" w:val="clear"/>
        </w:rPr>
      </w:pPr>
      <w:r>
        <w:rPr>
          <w:bCs/>
          <w:sz w:val="24"/>
          <w:szCs w:val="24"/>
          <w:shd w:fill="auto" w:val="clear"/>
        </w:rPr>
        <w:t>Под банковской гарантией понимается гарантия согласованного Обществом Банка</w:t>
      </w:r>
      <w:r>
        <w:rPr>
          <w:sz w:val="24"/>
          <w:szCs w:val="24"/>
          <w:shd w:fill="auto" w:val="clear"/>
        </w:rPr>
        <w:t xml:space="preserve">, </w:t>
      </w:r>
      <w:r>
        <w:rPr>
          <w:bCs/>
          <w:sz w:val="24"/>
          <w:szCs w:val="24"/>
          <w:shd w:fill="auto" w:val="clear"/>
        </w:rPr>
        <w:t>которая будет регулироваться 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Pr>
          <w:color w:val="000000"/>
          <w:sz w:val="24"/>
          <w:szCs w:val="24"/>
          <w:shd w:fill="auto" w:val="clear"/>
        </w:rPr>
        <w:t>:</w:t>
      </w:r>
    </w:p>
    <w:p>
      <w:pPr>
        <w:pStyle w:val="Normal"/>
        <w:numPr>
          <w:ilvl w:val="0"/>
          <w:numId w:val="14"/>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банковская гарантия должна быть безотзывной и безусловной (гарантия по первому требованию);</w:t>
      </w:r>
    </w:p>
    <w:p>
      <w:pPr>
        <w:pStyle w:val="Normal"/>
        <w:numPr>
          <w:ilvl w:val="0"/>
          <w:numId w:val="14"/>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бенефициар по банковской гарантии - Покупатель, принципал – Поставщик;</w:t>
      </w:r>
    </w:p>
    <w:p>
      <w:pPr>
        <w:pStyle w:val="Normal"/>
        <w:numPr>
          <w:ilvl w:val="0"/>
          <w:numId w:val="14"/>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 xml:space="preserve">сумма банковской гарантии выражена в валюте расчетов </w:t>
        <w:br/>
        <w:t>по Договору;</w:t>
      </w:r>
    </w:p>
    <w:p>
      <w:pPr>
        <w:pStyle w:val="Normal"/>
        <w:numPr>
          <w:ilvl w:val="0"/>
          <w:numId w:val="14"/>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 xml:space="preserve">сумма банковской гарантии возврата авансового платежа – не менее 100 (ста) процентов от суммы уплачиваемого по Договору аванса </w:t>
        <w:br/>
        <w:t>(в совокупной сумме с учетом ранее выплаченных и неотработанных авансовых платежей);</w:t>
      </w:r>
    </w:p>
    <w:p>
      <w:pPr>
        <w:pStyle w:val="Normal"/>
        <w:numPr>
          <w:ilvl w:val="0"/>
          <w:numId w:val="14"/>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сумма банковской гарантии надлежащего исполнения обязательств по Договору должна составлять не менее:</w:t>
      </w:r>
    </w:p>
    <w:p>
      <w:pPr>
        <w:pStyle w:val="Normal"/>
        <w:numPr>
          <w:ilvl w:val="0"/>
          <w:numId w:val="15"/>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10 (десяти) процентов от цены Договора / объекта;</w:t>
      </w:r>
    </w:p>
    <w:p>
      <w:pPr>
        <w:pStyle w:val="Normal"/>
        <w:numPr>
          <w:ilvl w:val="0"/>
          <w:numId w:val="14"/>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в целом, предусмотренной Договором.</w:t>
      </w:r>
    </w:p>
    <w:p>
      <w:pPr>
        <w:pStyle w:val="Normal"/>
        <w:spacing w:before="20" w:after="20"/>
        <w:ind w:firstLine="709"/>
        <w:jc w:val="both"/>
        <w:rPr>
          <w:highlight w:val="none"/>
          <w:shd w:fill="auto" w:val="clear"/>
        </w:rPr>
      </w:pPr>
      <w:r>
        <w:rPr>
          <w:bCs/>
          <w:sz w:val="24"/>
          <w:szCs w:val="24"/>
          <w:shd w:fill="auto" w:val="clear"/>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 как полностью, так </w:t>
        <w:br/>
        <w:t xml:space="preserve">и частично, с указанием на существо допущенных Поставщиком нарушений, </w:t>
        <w:br/>
        <w:t>в том числе в случаях</w:t>
      </w:r>
      <w:r>
        <w:rPr>
          <w:sz w:val="24"/>
          <w:szCs w:val="24"/>
          <w:shd w:fill="auto" w:val="clear"/>
        </w:rPr>
        <w:t>:</w:t>
      </w:r>
    </w:p>
    <w:p>
      <w:pPr>
        <w:pStyle w:val="Normal"/>
        <w:numPr>
          <w:ilvl w:val="0"/>
          <w:numId w:val="13"/>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отказа Поставщика от исполнения обязательств по Договору, в том числе одностороннего отказа от Договора;</w:t>
      </w:r>
    </w:p>
    <w:p>
      <w:pPr>
        <w:pStyle w:val="Normal"/>
        <w:numPr>
          <w:ilvl w:val="0"/>
          <w:numId w:val="13"/>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 xml:space="preserve">отказа Поставщика от возврата неотработанного аванса </w:t>
        <w:br/>
        <w:t xml:space="preserve">при досрочном прекращении Договора/признании Договора недействительным; </w:t>
      </w:r>
    </w:p>
    <w:p>
      <w:pPr>
        <w:pStyle w:val="Normal"/>
        <w:numPr>
          <w:ilvl w:val="0"/>
          <w:numId w:val="13"/>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 xml:space="preserve">нарушения Поставщиком сроков поставки, установленных Календарным графиком, более чем </w:t>
        <w:br/>
        <w:t>на 15 (пятнадцать) календарных дней;</w:t>
      </w:r>
    </w:p>
    <w:p>
      <w:pPr>
        <w:pStyle w:val="Normal"/>
        <w:numPr>
          <w:ilvl w:val="0"/>
          <w:numId w:val="13"/>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 xml:space="preserve"> </w:t>
      </w:r>
      <w:r>
        <w:rPr>
          <w:color w:val="000000"/>
          <w:sz w:val="24"/>
          <w:szCs w:val="24"/>
          <w:shd w:fill="auto" w:val="clear"/>
        </w:rPr>
        <w:t>утраты Поставщиком специальных разрешений (в том числе отзыв, прекращение (приостановление) действие допусков, разрешений) и / или лицензий, предоставляющих Поставщику возможность надлежащего исполнения обязательств по Договору;</w:t>
      </w:r>
    </w:p>
    <w:p>
      <w:pPr>
        <w:pStyle w:val="Normal"/>
        <w:numPr>
          <w:ilvl w:val="0"/>
          <w:numId w:val="13"/>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3"/>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введения арбитражным судом процедуры несостоятельности (банкротства) в отношении Поставщика;</w:t>
      </w:r>
    </w:p>
    <w:p>
      <w:pPr>
        <w:pStyle w:val="Normal"/>
        <w:numPr>
          <w:ilvl w:val="0"/>
          <w:numId w:val="13"/>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 xml:space="preserve">установления в ходе исполнения Договора фактов несоответствия Поставщика установленным документацией о закупке требованиям </w:t>
        <w:br/>
        <w:t xml:space="preserve">к участникам закупки и / или предоставления недостоверной информации </w:t>
        <w:br/>
        <w:t>о своем соответствии таким требованиям, а также недостоверности, неточности или неполноты заверений Поставщика об обстоятельствах, указанных в Договоре, и имеющих существенное значение для его заключения и исполнения;</w:t>
      </w:r>
    </w:p>
    <w:p>
      <w:pPr>
        <w:pStyle w:val="Normal"/>
        <w:numPr>
          <w:ilvl w:val="0"/>
          <w:numId w:val="13"/>
        </w:numPr>
        <w:tabs>
          <w:tab w:val="clear" w:pos="720"/>
          <w:tab w:val="left" w:pos="1134" w:leader="none"/>
        </w:tabs>
        <w:spacing w:before="20" w:after="20"/>
        <w:ind w:left="0" w:firstLine="709"/>
        <w:jc w:val="both"/>
        <w:rPr>
          <w:highlight w:val="none"/>
          <w:shd w:fill="auto" w:val="clear"/>
        </w:rPr>
      </w:pPr>
      <w:r>
        <w:rPr>
          <w:color w:val="000000"/>
          <w:sz w:val="24"/>
          <w:szCs w:val="24"/>
          <w:shd w:fill="auto" w:val="clear"/>
        </w:rPr>
        <w:t>признания Договора недействительным по причинам отсутствия необходимых</w:t>
      </w:r>
      <w:r>
        <w:rPr>
          <w:sz w:val="24"/>
          <w:szCs w:val="24"/>
          <w:shd w:fill="auto" w:val="clear"/>
        </w:rPr>
        <w:t xml:space="preserve"> корпоративных одобрений у </w:t>
      </w:r>
      <w:r>
        <w:rPr>
          <w:color w:val="000000"/>
          <w:sz w:val="24"/>
          <w:szCs w:val="24"/>
          <w:shd w:fill="auto" w:val="clear"/>
        </w:rPr>
        <w:t>Поставщика</w:t>
      </w:r>
      <w:r>
        <w:rPr>
          <w:sz w:val="24"/>
          <w:szCs w:val="24"/>
          <w:shd w:fill="auto" w:val="clear"/>
        </w:rPr>
        <w:t>;</w:t>
      </w:r>
    </w:p>
    <w:p>
      <w:pPr>
        <w:pStyle w:val="Normal"/>
        <w:numPr>
          <w:ilvl w:val="0"/>
          <w:numId w:val="13"/>
        </w:numPr>
        <w:tabs>
          <w:tab w:val="clear" w:pos="720"/>
          <w:tab w:val="left" w:pos="1134" w:leader="none"/>
        </w:tabs>
        <w:spacing w:before="20" w:after="20"/>
        <w:ind w:left="0" w:firstLine="709"/>
        <w:jc w:val="both"/>
        <w:rPr>
          <w:highlight w:val="none"/>
          <w:shd w:fill="auto" w:val="clear"/>
        </w:rPr>
      </w:pPr>
      <w:r>
        <w:rPr>
          <w:sz w:val="24"/>
          <w:szCs w:val="24"/>
          <w:shd w:fill="auto" w:val="clear"/>
        </w:rPr>
        <w:t xml:space="preserve">не предоставления </w:t>
      </w:r>
      <w:r>
        <w:rPr>
          <w:color w:val="000000"/>
          <w:sz w:val="24"/>
          <w:szCs w:val="24"/>
          <w:shd w:fill="auto" w:val="clear"/>
        </w:rPr>
        <w:t xml:space="preserve">Поставщиком </w:t>
      </w:r>
      <w:r>
        <w:rPr>
          <w:sz w:val="24"/>
          <w:szCs w:val="24"/>
          <w:shd w:fill="auto" w:val="clear"/>
        </w:rPr>
        <w:t xml:space="preserve">в срок не позднее чем </w:t>
        <w:br/>
        <w:t xml:space="preserve">за 30 (тридцать) календарных дней до даты истечения срока действия банковской гарантии новой банковской гарантии или изменения </w:t>
        <w:br/>
        <w:t xml:space="preserve">к действующей гарантии в части увеличения срока ее действия на новый период, в случаях если срок исполнения обязательств </w:t>
      </w:r>
      <w:r>
        <w:rPr>
          <w:color w:val="000000"/>
          <w:sz w:val="24"/>
          <w:szCs w:val="24"/>
          <w:shd w:fill="auto" w:val="clear"/>
        </w:rPr>
        <w:t>Поставщика</w:t>
      </w:r>
      <w:r>
        <w:rPr>
          <w:sz w:val="24"/>
          <w:szCs w:val="24"/>
          <w:shd w:fill="auto" w:val="clear"/>
        </w:rPr>
        <w:br/>
        <w:t>по Договору превышает срок действия банковской гарантии либо срок исполнения обязательств продлен.</w:t>
      </w:r>
    </w:p>
    <w:p>
      <w:pPr>
        <w:pStyle w:val="Normal"/>
        <w:spacing w:before="20" w:after="20"/>
        <w:ind w:firstLine="709"/>
        <w:jc w:val="both"/>
        <w:rPr>
          <w:highlight w:val="none"/>
          <w:shd w:fill="auto" w:val="clear"/>
        </w:rPr>
      </w:pPr>
      <w:r>
        <w:rPr>
          <w:color w:val="000000"/>
          <w:sz w:val="24"/>
          <w:szCs w:val="24"/>
          <w:shd w:fill="auto" w:val="clear"/>
        </w:rPr>
        <w:t>Вместе с требованием о предъявлении суммы обеспечения к оплате Покупатель направляет Банку-гаранту копию банковской гарантии.</w:t>
      </w:r>
    </w:p>
    <w:p>
      <w:pPr>
        <w:pStyle w:val="Normal"/>
        <w:spacing w:before="20" w:after="20"/>
        <w:ind w:firstLine="709"/>
        <w:jc w:val="both"/>
        <w:rPr>
          <w:highlight w:val="none"/>
          <w:shd w:fill="auto" w:val="clear"/>
        </w:rPr>
      </w:pPr>
      <w:r>
        <w:rPr>
          <w:bCs/>
          <w:sz w:val="24"/>
          <w:szCs w:val="24"/>
          <w:shd w:fill="auto" w:val="clear"/>
        </w:rPr>
        <w:t xml:space="preserve">Банковской гарантией возврата авансового платежа может быть предусмотрено условие о предоставлении вместе с требованием </w:t>
        <w:br/>
        <w:t>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Normal"/>
        <w:spacing w:before="20" w:after="20"/>
        <w:ind w:firstLine="709"/>
        <w:jc w:val="both"/>
        <w:rPr>
          <w:highlight w:val="none"/>
          <w:shd w:fill="auto" w:val="clear"/>
        </w:rPr>
      </w:pPr>
      <w:r>
        <w:rPr>
          <w:sz w:val="24"/>
          <w:szCs w:val="24"/>
          <w:shd w:fill="auto" w:val="clear"/>
        </w:rPr>
        <w:t xml:space="preserve">Платеж по банковской гарантии осуществляется Банком-гарантом </w:t>
        <w:br/>
        <w:t>в течение 10 (десяти) рабочих дней после обращения бенефициара (Покупателя).</w:t>
      </w:r>
    </w:p>
    <w:p>
      <w:pPr>
        <w:pStyle w:val="Normal"/>
        <w:spacing w:before="20" w:after="20"/>
        <w:ind w:firstLine="709"/>
        <w:jc w:val="both"/>
        <w:rPr>
          <w:highlight w:val="none"/>
          <w:shd w:fill="auto" w:val="clear"/>
        </w:rPr>
      </w:pPr>
      <w:r>
        <w:rPr>
          <w:sz w:val="24"/>
          <w:szCs w:val="24"/>
          <w:shd w:fill="auto" w:val="clear"/>
        </w:rPr>
        <w:t>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Normal"/>
        <w:spacing w:before="20" w:after="20"/>
        <w:ind w:firstLine="709"/>
        <w:jc w:val="both"/>
        <w:rPr>
          <w:highlight w:val="none"/>
          <w:shd w:fill="auto" w:val="clear"/>
        </w:rPr>
      </w:pPr>
      <w:r>
        <w:rPr>
          <w:sz w:val="24"/>
          <w:szCs w:val="24"/>
          <w:shd w:fill="auto" w:val="clear"/>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pPr>
        <w:pStyle w:val="Normal"/>
        <w:ind w:firstLine="709"/>
        <w:jc w:val="both"/>
        <w:rPr>
          <w:highlight w:val="none"/>
          <w:shd w:fill="auto" w:val="clear"/>
        </w:rPr>
      </w:pPr>
      <w:r>
        <w:rPr>
          <w:sz w:val="24"/>
          <w:szCs w:val="24"/>
          <w:shd w:fill="auto" w:val="clear"/>
        </w:rPr>
        <w:t>Принадлежащее Покупателю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Normal"/>
        <w:spacing w:before="20" w:after="20"/>
        <w:ind w:firstLine="709"/>
        <w:jc w:val="both"/>
        <w:rPr>
          <w:highlight w:val="none"/>
          <w:shd w:fill="auto" w:val="clear"/>
        </w:rPr>
      </w:pPr>
      <w:r>
        <w:rPr>
          <w:bCs/>
          <w:sz w:val="24"/>
          <w:szCs w:val="24"/>
          <w:shd w:fill="auto" w:val="clear"/>
        </w:rPr>
        <w:t xml:space="preserve">Банковская гарантия должна быть подчинена материальному праву Российской Федерации и предусматривать Арбитражный суд г. Москвы </w:t>
        <w:br/>
        <w:t>в качестве органа, компетентного разрешать споры из банковской гарантии.</w:t>
      </w:r>
    </w:p>
    <w:p>
      <w:pPr>
        <w:pStyle w:val="BodyText"/>
        <w:numPr>
          <w:ilvl w:val="0"/>
          <w:numId w:val="0"/>
        </w:numPr>
        <w:ind w:left="0" w:hanging="0"/>
        <w:outlineLvl w:val="0"/>
        <w:rPr>
          <w:highlight w:val="none"/>
          <w:shd w:fill="auto" w:val="clear"/>
        </w:rPr>
      </w:pPr>
      <w:r>
        <w:rPr>
          <w:sz w:val="24"/>
          <w:szCs w:val="24"/>
          <w:shd w:fill="auto" w:val="clear"/>
        </w:rPr>
        <w:t>Банковская гарантия не должна содержать условий или требований, противоречащих изложенному или делающих изложенное неисполнимым.</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highlight w:val="none"/>
          <w:shd w:fill="auto" w:val="clear"/>
        </w:rPr>
      </w:pPr>
      <w:r>
        <w:rPr>
          <w:shd w:fill="auto" w:val="clea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0">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0">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7">
              <wp:simplePos x="0" y="0"/>
              <wp:positionH relativeFrom="margin">
                <wp:align>right</wp:align>
              </wp:positionH>
              <wp:positionV relativeFrom="paragraph">
                <wp:posOffset>635</wp:posOffset>
              </wp:positionV>
              <wp:extent cx="127635" cy="145415"/>
              <wp:effectExtent l="0" t="0" r="0" b="0"/>
              <wp:wrapSquare wrapText="bothSides"/>
              <wp:docPr id="14"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highlight w:val="yellow"/>
        </w:rPr>
        <w:t xml:space="preserve"> </w:t>
      </w:r>
      <w:r>
        <w:rPr>
          <w:highlight w:val="yellow"/>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4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6"/>
    <w:lvlOverride w:ilvl="0">
      <w:startOverride w:val="1"/>
    </w:lvlOverride>
  </w:num>
  <w:num w:numId="22">
    <w:abstractNumId w:val="16"/>
  </w:num>
  <w:num w:numId="23">
    <w:abstractNumId w:val="16"/>
  </w:num>
  <w:num w:numId="24">
    <w:abstractNumId w:val="16"/>
  </w:num>
</w:numbering>
</file>

<file path=word/settings.xml><?xml version="1.0" encoding="utf-8"?>
<w:settings xmlns:w="http://schemas.openxmlformats.org/wordprocessingml/2006/main">
  <w:zoom w:percent="98"/>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13dd6"/>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character" w:styleId="1">
    <w:name w:val="1. Статья Знак"/>
    <w:qFormat/>
    <w:rPr>
      <w:sz w:val="24"/>
      <w:szCs w:val="24"/>
      <w:lang w:val="x-none" w:eastAsia="x-non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Таблица текст"/>
    <w:basedOn w:val="Normal"/>
    <w:qFormat/>
    <w:pPr>
      <w:spacing w:before="40" w:after="40"/>
      <w:ind w:left="57" w:right="57" w:hanging="0"/>
    </w:pPr>
    <w:rPr>
      <w:sz w:val="24"/>
      <w:szCs w:val="24"/>
    </w:rPr>
  </w:style>
  <w:style w:type="paragraph" w:styleId="Style23">
    <w:name w:val="Знак Знак Знак Знак"/>
    <w:basedOn w:val="Normal"/>
    <w:qFormat/>
    <w:pPr>
      <w:spacing w:lineRule="exact" w:line="240" w:before="0" w:after="160"/>
    </w:pPr>
    <w:rPr>
      <w:rFonts w:ascii="Verdana" w:hAnsi="Verdana" w:cs="Verdana"/>
      <w:lang w:val="en-US" w:eastAsia="en-US"/>
    </w:rPr>
  </w:style>
  <w:style w:type="paragraph" w:styleId="12">
    <w:name w:val="1. Статья"/>
    <w:basedOn w:val="Heading3"/>
    <w:qFormat/>
    <w:pPr>
      <w:keepNext w:val="false"/>
      <w:widowControl w:val="false"/>
      <w:numPr>
        <w:ilvl w:val="0"/>
        <w:numId w:val="10"/>
      </w:numPr>
      <w:tabs>
        <w:tab w:val="left" w:pos="0" w:leader="none"/>
        <w:tab w:val="left" w:pos="2340" w:leader="none"/>
      </w:tabs>
      <w:overflowPunct w:val="true"/>
      <w:ind w:left="0" w:right="1462" w:hanging="0"/>
      <w:textAlignment w:val="baseline"/>
    </w:pPr>
    <w:rPr>
      <w:b w:val="false"/>
      <w:sz w:val="24"/>
      <w:szCs w:val="24"/>
      <w:lang w:val="x-none" w:eastAsia="x-none"/>
    </w:rPr>
  </w:style>
  <w:style w:type="paragraph" w:styleId="21">
    <w:name w:val="2. Пункт"/>
    <w:basedOn w:val="Heading3"/>
    <w:qFormat/>
    <w:pPr>
      <w:keepNext w:val="false"/>
      <w:widowControl w:val="false"/>
      <w:numPr>
        <w:ilvl w:val="1"/>
        <w:numId w:val="10"/>
      </w:numPr>
      <w:overflowPunct w:val="true"/>
      <w:jc w:val="both"/>
      <w:textAlignment w:val="baseline"/>
    </w:pPr>
    <w:rPr>
      <w:b w:val="false"/>
      <w:sz w:val="24"/>
      <w:szCs w:val="24"/>
      <w:lang w:val="x-none" w:eastAsia="x-none"/>
    </w:rPr>
  </w:style>
  <w:style w:type="paragraph" w:styleId="32">
    <w:name w:val="3. Подпункт"/>
    <w:basedOn w:val="Heading3"/>
    <w:qFormat/>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ABACE-F918-4826-B4B5-7DFEA4F2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Application>AlterOffice/3.4.0.9$Linux_X86_64 LibreOffice_project/b8daf9e823b1a5463a2f48435ddc2e8696e7d4fc</Application>
  <AppVersion>15.0000</AppVersion>
  <Pages>23</Pages>
  <Words>7834</Words>
  <Characters>55848</Characters>
  <CharactersWithSpaces>63165</CharactersWithSpaces>
  <Paragraphs>427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2017-11-07T14:48:00Z</dcterms:created>
  <dc:creator>Света &amp; Алла (Twix)</dc:creator>
  <dc:description/>
  <dc:language>ru-RU</dc:language>
  <cp:lastModifiedBy>kuzmichevatav@corp.gidroogk.com</cp:lastModifiedBy>
  <cp:lastPrinted>2017-11-07T14:47:00Z</cp:lastPrinted>
  <dcterms:modified xsi:type="dcterms:W3CDTF">2026-09-15T13:31:15Z</dcterms:modified>
  <cp:revision>63</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