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4"/>
        <w:ind w:firstLine="0"/>
        <w:jc w:val="center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Сублицензионный договор №</w:t>
      </w:r>
      <w:r>
        <w:rPr>
          <w:b/>
          <w:sz w:val="24"/>
          <w:szCs w:val="24"/>
        </w:rPr>
      </w:r>
    </w:p>
    <w:p>
      <w:pPr>
        <w:pStyle w:val="814"/>
        <w:ind w:firstLine="0"/>
        <w:jc w:val="center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предоставление прав использования программы для ЭВМ</w:t>
      </w:r>
      <w:r>
        <w:rPr>
          <w:b/>
          <w:sz w:val="24"/>
          <w:szCs w:val="24"/>
        </w:rPr>
      </w:r>
    </w:p>
    <w:p>
      <w:pPr>
        <w:pStyle w:val="814"/>
        <w:jc w:val="center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14"/>
        <w:ind w:firstLine="0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г. Санкт-Петербург                                                                                 «____» _________ 2026 г.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Акционерное общество «Всероссийский научно-исследовательский институт гидротехники имени Б.Е. Веденеева» (АО «ВНИИГ им. Б.Е. Веденеева»)</w:t>
      </w:r>
      <w:r>
        <w:rPr>
          <w:sz w:val="24"/>
          <w:szCs w:val="24"/>
        </w:rPr>
        <w:t xml:space="preserve">, (далее – «Сублицензиат»), в лице _________________________, действующего на основании __________________, с одной стороны, и 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</w:t>
      </w:r>
      <w:r>
        <w:rPr>
          <w:sz w:val="24"/>
          <w:szCs w:val="24"/>
        </w:rPr>
        <w:t xml:space="preserve"> (далее – «Лицензиат»), в лице _____________________________, действующего на основании _________________________, с другой стороны, 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совместно в дальнейшем именуемые «Стороны», а по отдельности </w:t>
      </w:r>
      <w:r>
        <w:rPr>
          <w:sz w:val="24"/>
          <w:szCs w:val="24"/>
          <w:lang w:eastAsia="en-US"/>
        </w:rPr>
        <w:t xml:space="preserve">–</w:t>
      </w:r>
      <w:r>
        <w:rPr>
          <w:sz w:val="24"/>
          <w:szCs w:val="24"/>
        </w:rPr>
        <w:t xml:space="preserve"> «Сторона»,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заключили настоящий договор (далее – «Договор») о нижеследующем: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14"/>
        <w:ind w:firstLine="0"/>
        <w:jc w:val="center"/>
        <w:spacing w:line="240" w:lineRule="auto"/>
        <w:shd w:val="clear" w:color="auto" w:fill="ffffff"/>
        <w:tabs>
          <w:tab w:val="left" w:pos="284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Термины и определения</w:t>
      </w:r>
      <w:r>
        <w:rPr>
          <w:b/>
          <w:bCs/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Термины и определения, приведенные в настоящем разделе, предназначены для однозначного понимания формулировок Договора, и будут иметь по тексту Договора следующие значения, если иное прямо не указано в Договоре: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rPr>
          <w:rFonts w:eastAsia="Calibri" w:eastAsiaTheme="minorHAnsi"/>
          <w:sz w:val="24"/>
          <w:szCs w:val="24"/>
        </w:rPr>
      </w:pPr>
      <w:r>
        <w:rPr>
          <w:b/>
          <w:sz w:val="24"/>
          <w:szCs w:val="24"/>
        </w:rPr>
        <w:t xml:space="preserve">«База данных» </w:t>
      </w:r>
      <w:r>
        <w:rPr>
          <w:bCs/>
          <w:sz w:val="24"/>
          <w:szCs w:val="24"/>
          <w:lang w:eastAsia="en-US"/>
        </w:rPr>
        <w:t xml:space="preserve">–</w:t>
      </w:r>
      <w:r>
        <w:rPr>
          <w:b/>
          <w:sz w:val="24"/>
          <w:szCs w:val="24"/>
        </w:rPr>
        <w:t xml:space="preserve"> </w:t>
      </w:r>
      <w:r>
        <w:rPr>
          <w:rFonts w:eastAsia="Calibri" w:eastAsiaTheme="minorHAnsi"/>
          <w:sz w:val="24"/>
          <w:szCs w:val="24"/>
          <w:lang w:eastAsia="en-US"/>
        </w:rPr>
        <w:t xml:space="preserve">представленная в объективной форме совок</w:t>
      </w:r>
      <w:r>
        <w:rPr>
          <w:rFonts w:eastAsia="Calibri" w:eastAsiaTheme="minorHAnsi"/>
          <w:sz w:val="24"/>
          <w:szCs w:val="24"/>
          <w:lang w:eastAsia="en-US"/>
        </w:rPr>
        <w:t xml:space="preserve">упность самостоятельных материалов (статей, расчетов, нормативных актов, судебных решений и иных подобных материалов), систематизированных таким образом, чтобы эти материалы могли быть найдены и обработаны с помощью электронной вычислительной машины (ЭВМ).</w:t>
      </w:r>
      <w:r>
        <w:rPr>
          <w:rFonts w:eastAsia="Calibri" w:eastAsiaTheme="minorHAnsi"/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«Коммерческая тайна»</w:t>
      </w:r>
      <w:r>
        <w:rPr>
          <w:sz w:val="24"/>
          <w:szCs w:val="24"/>
        </w:rPr>
        <w:t xml:space="preserve"> – режим конфиденциальности информации, позволяющий </w:t>
        <w:br/>
        <w:t xml:space="preserve">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eastAsia="en-US"/>
        </w:rPr>
        <w:t xml:space="preserve">«Отказ от Договора» </w:t>
      </w:r>
      <w:r>
        <w:rPr>
          <w:color w:val="000000"/>
          <w:sz w:val="24"/>
          <w:szCs w:val="24"/>
          <w:lang w:eastAsia="en-US"/>
        </w:rPr>
        <w:t xml:space="preserve">– односторонний внесудебный отказ от исполнения Договора, совершенный Стороной в соответствии со статьей 450.1 Гражданского кодекса Российской Федерации (далее – ГК РФ) в случаях, установленных Договором. </w:t>
      </w:r>
      <w:r>
        <w:rPr>
          <w:color w:val="000000"/>
          <w:sz w:val="24"/>
          <w:szCs w:val="24"/>
        </w:rPr>
      </w:r>
    </w:p>
    <w:p>
      <w:pPr>
        <w:pStyle w:val="814"/>
        <w:ind w:firstLine="709"/>
        <w:spacing w:line="240" w:lineRule="auto"/>
        <w:shd w:val="clear" w:color="auto" w:fill="ffffff"/>
        <w:widowControl w:val="off"/>
        <w:tabs>
          <w:tab w:val="left" w:pos="567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/>
      <w:bookmarkStart w:id="0" w:name="p85"/>
      <w:r/>
      <w:bookmarkStart w:id="1" w:name="p84"/>
      <w:r/>
      <w:bookmarkEnd w:id="0"/>
      <w:r/>
      <w:bookmarkEnd w:id="1"/>
      <w:r>
        <w:rPr>
          <w:b/>
          <w:sz w:val="24"/>
          <w:szCs w:val="24"/>
          <w:lang w:eastAsia="en-US"/>
        </w:rPr>
        <w:t xml:space="preserve">«Правообладатель»</w:t>
      </w:r>
      <w:r>
        <w:rPr>
          <w:sz w:val="24"/>
          <w:szCs w:val="24"/>
          <w:lang w:eastAsia="en-US"/>
        </w:rPr>
        <w:t xml:space="preserve"> – лицо, обладающее исключительными правами на </w:t>
      </w:r>
      <w:r>
        <w:rPr>
          <w:sz w:val="24"/>
          <w:szCs w:val="24"/>
        </w:rPr>
        <w:t xml:space="preserve">результат интеллектуальной деятельности</w:t>
      </w:r>
      <w:r>
        <w:rPr>
          <w:rFonts w:eastAsia="Calibri"/>
          <w:sz w:val="24"/>
          <w:szCs w:val="24"/>
        </w:rPr>
        <w:t xml:space="preserve"> или средство индивидуализации</w:t>
      </w:r>
      <w:r>
        <w:rPr>
          <w:sz w:val="24"/>
          <w:szCs w:val="24"/>
          <w:lang w:eastAsia="en-US"/>
        </w:rPr>
        <w:t xml:space="preserve">, и имеющее право использовать его по своему усмотрению любым способом, не противоречащим законодательству Российской Федерации. </w:t>
      </w:r>
      <w:r>
        <w:rPr>
          <w:sz w:val="24"/>
          <w:szCs w:val="24"/>
        </w:rPr>
      </w:r>
    </w:p>
    <w:p>
      <w:pPr>
        <w:ind w:firstLine="709"/>
        <w:spacing w:line="240" w:lineRule="auto"/>
        <w:shd w:val="clear" w:color="auto" w:fill="ffffff"/>
        <w:widowControl w:val="off"/>
        <w:tabs>
          <w:tab w:val="left" w:pos="567" w:leader="none"/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2"/>
      </w:pPr>
      <w:r>
        <w:rPr>
          <w:b/>
          <w:bCs/>
          <w:sz w:val="24"/>
          <w:szCs w:val="24"/>
          <w:lang w:eastAsia="en-US"/>
        </w:rPr>
        <w:t xml:space="preserve">«Применимое право»</w:t>
      </w:r>
      <w:r>
        <w:rPr>
          <w:bCs/>
          <w:sz w:val="24"/>
          <w:szCs w:val="24"/>
          <w:lang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</w:t>
      </w:r>
      <w:r>
        <w:rPr>
          <w:bCs/>
          <w:sz w:val="24"/>
          <w:szCs w:val="24"/>
          <w:lang w:eastAsia="en-US"/>
        </w:rPr>
        <w:t xml:space="preserve"> Федерации, нормативные правовые акты органов государственной власти Российской Федерации и местного самоуправления, технические регламенты, национальные стандарты (ГОСТ Р), иные нормативные правовые и нормативно-технические документы Российской Федерации.</w:t>
      </w:r>
      <w:r>
        <w:rPr>
          <w:bCs/>
          <w:sz w:val="24"/>
          <w:szCs w:val="24"/>
        </w:rPr>
      </w:r>
    </w:p>
    <w:p>
      <w:pPr>
        <w:ind w:firstLine="709"/>
        <w:spacing w:line="240" w:lineRule="auto"/>
        <w:shd w:val="clear" w:color="auto" w:fill="ffffff"/>
        <w:widowControl w:val="off"/>
        <w:tabs>
          <w:tab w:val="left" w:pos="567" w:leader="none"/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2"/>
      </w:pPr>
      <w:r>
        <w:rPr>
          <w:b/>
          <w:bCs/>
          <w:sz w:val="24"/>
          <w:szCs w:val="24"/>
          <w:lang w:eastAsia="en-US"/>
        </w:rPr>
        <w:t xml:space="preserve">«Программа для электронной вычислительной машины (ЭВМ)»</w:t>
      </w:r>
      <w:r>
        <w:rPr>
          <w:b/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 xml:space="preserve">– представленная в объективной форме совокупность данных </w:t>
      </w:r>
      <w:r>
        <w:rPr>
          <w:bCs/>
          <w:sz w:val="24"/>
          <w:szCs w:val="24"/>
          <w:lang w:eastAsia="en-US"/>
        </w:rPr>
        <w:t xml:space="preserve">и команд, предназначенных для функционирования ЭВМ и других компьютерных устройств в целях получения определенного результата, включая подготовительные материалы, полученные в ходе разработки программы для ЭВМ, и порождаемые ею аудиовизуальные отображения.</w:t>
      </w:r>
      <w:r>
        <w:rPr>
          <w:bCs/>
          <w:sz w:val="24"/>
          <w:szCs w:val="24"/>
        </w:rPr>
      </w:r>
    </w:p>
    <w:p>
      <w:pPr>
        <w:pStyle w:val="814"/>
        <w:ind w:firstLine="709"/>
        <w:spacing w:line="240" w:lineRule="auto"/>
        <w:shd w:val="clear" w:color="auto" w:fill="ffffff"/>
        <w:widowControl w:val="off"/>
        <w:tabs>
          <w:tab w:val="left" w:pos="567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  <w:lang w:eastAsia="en-US"/>
        </w:rPr>
        <w:t xml:space="preserve">«Простая (неисключительная) лицензия» </w:t>
      </w:r>
      <w:r>
        <w:rPr>
          <w:sz w:val="24"/>
          <w:szCs w:val="24"/>
          <w:lang w:eastAsia="en-US"/>
        </w:rPr>
        <w:t xml:space="preserve">–</w:t>
      </w:r>
      <w:r>
        <w:rPr>
          <w:b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предоставление Сублицензиату права использования </w:t>
      </w:r>
      <w:r>
        <w:rPr>
          <w:sz w:val="24"/>
          <w:szCs w:val="24"/>
        </w:rPr>
        <w:t xml:space="preserve">результата интеллектуальной деятельности</w:t>
      </w:r>
      <w:r>
        <w:rPr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</w:rPr>
        <w:t xml:space="preserve">(средства индивидуализации)</w:t>
      </w:r>
      <w:r>
        <w:rPr>
          <w:sz w:val="24"/>
          <w:szCs w:val="24"/>
          <w:lang w:eastAsia="en-US"/>
        </w:rPr>
        <w:t xml:space="preserve"> с сохранением за Лицензиатом права выдачи лицензий другим лицам.</w:t>
      </w:r>
      <w:r>
        <w:rPr>
          <w:rFonts w:ascii="Arial" w:hAnsi="Arial" w:eastAsia="Calibri" w:cs="Arial" w:eastAsiaTheme="minorHAns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«Программное обеспечение (ПО)» – </w:t>
      </w:r>
      <w:r>
        <w:rPr>
          <w:sz w:val="24"/>
          <w:szCs w:val="24"/>
          <w:lang w:eastAsia="en-US"/>
        </w:rPr>
        <w:t xml:space="preserve">программы для ЭВМ и базы данных, </w:t>
      </w:r>
      <w:r>
        <w:rPr>
          <w:sz w:val="24"/>
          <w:szCs w:val="24"/>
        </w:rPr>
        <w:t xml:space="preserve">которым предоставляется правовая охрана и на которые признаются интеллектуальные права.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«Территория»</w:t>
      </w:r>
      <w:r>
        <w:rPr>
          <w:b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–</w:t>
      </w:r>
      <w:r>
        <w:rPr>
          <w:b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вся территория Российской Федерации или территория, на которой Сублицензиату предоставлено право использования программы для ЭВМ (базы данных), если территория определена (ограничена) Договором.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«Технические средства защиты»</w:t>
      </w:r>
      <w:r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любые технологии, технические устройства или их компоненты, контролирующие доступ к программе ЭВМ (базе данных), предотвращающие либо ограничивающие осуществление действий, которые не разрешены Правообладателем в отношении программы для ЭВМ (базы данных).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Cs/>
          <w:sz w:val="24"/>
          <w:szCs w:val="24"/>
        </w:rPr>
        <w:t xml:space="preserve">«</w:t>
      </w:r>
      <w:r>
        <w:rPr>
          <w:b/>
          <w:bCs/>
          <w:sz w:val="24"/>
          <w:szCs w:val="24"/>
        </w:rPr>
        <w:t xml:space="preserve">УПД</w:t>
      </w:r>
      <w:r>
        <w:rPr>
          <w:bCs/>
          <w:sz w:val="24"/>
          <w:szCs w:val="24"/>
        </w:rPr>
        <w:t xml:space="preserve">» - Универсальный передаточный документ о передаче товаров (работ, услуг и имущ</w:t>
      </w:r>
      <w:r>
        <w:rPr>
          <w:bCs/>
          <w:sz w:val="24"/>
          <w:szCs w:val="24"/>
        </w:rPr>
        <w:t xml:space="preserve">ественных прав), который одновременно соответствует требованиям статьи 169 Налогового Кодекса РФ и общим требованиям к первичным учетным документам, установленным в пункте 2 статьи 9 Федерального закона от 6 декабря 2011 г. N 402-ФЗ "О бухгалтерском учете"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14"/>
        <w:numPr>
          <w:ilvl w:val="0"/>
          <w:numId w:val="1"/>
        </w:numPr>
        <w:ind w:left="0" w:firstLine="0"/>
        <w:jc w:val="center"/>
        <w:spacing w:line="240" w:lineRule="auto"/>
        <w:tabs>
          <w:tab w:val="left" w:pos="284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Предмет Договора</w:t>
      </w:r>
      <w:r>
        <w:rPr>
          <w:sz w:val="24"/>
          <w:szCs w:val="24"/>
        </w:rPr>
      </w:r>
    </w:p>
    <w:p>
      <w:pPr>
        <w:pStyle w:val="889"/>
        <w:numPr>
          <w:ilvl w:val="1"/>
          <w:numId w:val="1"/>
        </w:numPr>
        <w:ind w:left="0" w:firstLine="709"/>
        <w:jc w:val="both"/>
        <w:tabs>
          <w:tab w:val="clear" w:pos="709" w:leader="none"/>
          <w:tab w:val="left" w:pos="853" w:leader="none"/>
          <w:tab w:val="left" w:pos="1134" w:leader="none"/>
        </w:tabs>
        <w:rPr>
          <w:b/>
          <w:caps/>
          <w:sz w:val="24"/>
          <w:szCs w:val="24"/>
        </w:rPr>
        <w:outlineLvl w:val="1"/>
      </w:pPr>
      <w:r/>
      <w:bookmarkStart w:id="2" w:name="_Ref55840208"/>
      <w:r>
        <w:rPr>
          <w:bCs/>
          <w:sz w:val="24"/>
          <w:szCs w:val="24"/>
        </w:rPr>
        <w:t xml:space="preserve">Лицензиат обязуется в порядке, установленном Дог</w:t>
      </w:r>
      <w:r>
        <w:rPr>
          <w:bCs/>
          <w:sz w:val="24"/>
          <w:szCs w:val="24"/>
          <w:highlight w:val="white"/>
        </w:rPr>
        <w:t xml:space="preserve">овором, предоставить Сублицензиату право использования</w:t>
      </w:r>
      <w:r>
        <w:rPr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 xml:space="preserve">программы для ЭВМ (далее – ПО), адаптированных в целях функционирования на конкретных технических средствах конечного пользователя на условиях простой (неисключительной) лицензии </w:t>
      </w:r>
      <w:r>
        <w:rPr>
          <w:sz w:val="24"/>
          <w:szCs w:val="24"/>
          <w:highlight w:val="white"/>
        </w:rPr>
        <w:t xml:space="preserve">в пределах (объеме) и на сро</w:t>
      </w:r>
      <w:r>
        <w:rPr>
          <w:sz w:val="24"/>
          <w:szCs w:val="24"/>
        </w:rPr>
        <w:t xml:space="preserve">к, предусмотренные Договором, а Сублицензиат обязуется уплатить Лицензиату вознаграждение за предоставленное право использования.</w:t>
      </w:r>
      <w:bookmarkEnd w:id="2"/>
      <w:r/>
      <w:r>
        <w:rPr>
          <w:b/>
          <w:caps/>
          <w:sz w:val="24"/>
          <w:szCs w:val="24"/>
        </w:rPr>
      </w:r>
    </w:p>
    <w:p>
      <w:pPr>
        <w:pStyle w:val="889"/>
        <w:ind w:left="0" w:firstLine="709"/>
        <w:jc w:val="both"/>
        <w:tabs>
          <w:tab w:val="clear" w:pos="709" w:leader="none"/>
          <w:tab w:val="left" w:pos="1134" w:leader="none"/>
        </w:tabs>
        <w:rPr>
          <w:sz w:val="24"/>
          <w:szCs w:val="24"/>
        </w:rPr>
      </w:pPr>
      <w:r/>
      <w:bookmarkStart w:id="3" w:name="_Ref528730826"/>
      <w:r/>
      <w:bookmarkStart w:id="4" w:name="_Ref351123838"/>
      <w:r/>
      <w:bookmarkEnd w:id="3"/>
      <w:r/>
      <w:bookmarkEnd w:id="4"/>
      <w:r>
        <w:rPr>
          <w:sz w:val="24"/>
          <w:szCs w:val="24"/>
        </w:rPr>
        <w:t xml:space="preserve">Перечень ПО, право использования которых передается Сублицензиату, а также срок предоставления такого права, указаны в Спецификации (</w:t>
      </w:r>
      <w:r>
        <w:rPr>
          <w:bCs/>
          <w:sz w:val="24"/>
          <w:szCs w:val="24"/>
        </w:rPr>
        <w:t xml:space="preserve">Приложение № 2 к Договору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</w:p>
    <w:p>
      <w:pPr>
        <w:pStyle w:val="814"/>
        <w:numPr>
          <w:ilvl w:val="1"/>
          <w:numId w:val="1"/>
        </w:numPr>
        <w:ind w:left="0" w:firstLine="709"/>
        <w:spacing w:line="240" w:lineRule="auto"/>
        <w:tabs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Принадлежность Лицензиату неисключительного права на ПО подтверждается __________ </w:t>
      </w:r>
      <w:r>
        <w:rPr>
          <w:i/>
          <w:iCs/>
          <w:sz w:val="24"/>
          <w:szCs w:val="24"/>
        </w:rPr>
        <w:t xml:space="preserve">(наименование правоустанавливающего документа)</w:t>
      </w:r>
      <w:r>
        <w:rPr>
          <w:sz w:val="24"/>
          <w:szCs w:val="24"/>
        </w:rPr>
        <w:t xml:space="preserve"> № _____ от «___» __________ _____ г., выдан __________ </w:t>
      </w:r>
      <w:r>
        <w:rPr>
          <w:i/>
          <w:sz w:val="24"/>
          <w:szCs w:val="24"/>
        </w:rPr>
        <w:t xml:space="preserve">(наименование органа государственной власти Российской Федерации, выдавшего документ),</w:t>
      </w:r>
      <w:r>
        <w:rPr>
          <w:sz w:val="24"/>
          <w:szCs w:val="24"/>
        </w:rPr>
        <w:t xml:space="preserve"> срок действия __________ (</w:t>
      </w:r>
      <w:r>
        <w:rPr>
          <w:i/>
          <w:sz w:val="24"/>
          <w:szCs w:val="24"/>
        </w:rPr>
        <w:t xml:space="preserve">если на документе указан срок действия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</w:p>
    <w:p>
      <w:pPr>
        <w:pStyle w:val="814"/>
        <w:ind w:left="709" w:firstLine="0"/>
        <w:spacing w:line="240" w:lineRule="auto"/>
        <w:tabs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Либо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1.2 Принадлежность Лицензиару исключительного / неисключительного права на ПО подтверждается _____________________ от «____» __________ ____ г. (</w:t>
      </w:r>
      <w:r>
        <w:rPr>
          <w:i/>
          <w:iCs/>
          <w:sz w:val="24"/>
          <w:szCs w:val="24"/>
        </w:rPr>
        <w:t xml:space="preserve">реквизиты договора, на основании которого Лицензиар приобрел право на ПО или иное основание</w:t>
      </w:r>
      <w:r>
        <w:rPr>
          <w:sz w:val="24"/>
          <w:szCs w:val="24"/>
        </w:rPr>
        <w:t xml:space="preserve">)</w:t>
      </w:r>
      <w:r>
        <w:rPr>
          <w:rStyle w:val="852"/>
          <w:sz w:val="24"/>
          <w:szCs w:val="24"/>
        </w:rPr>
        <w:footnoteReference w:id="2"/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889"/>
        <w:numPr>
          <w:ilvl w:val="0"/>
          <w:numId w:val="0"/>
        </w:numPr>
        <w:ind w:left="0" w:firstLine="709"/>
        <w:jc w:val="both"/>
        <w:tabs>
          <w:tab w:val="clear" w:pos="709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4"/>
        <w:numPr>
          <w:ilvl w:val="0"/>
          <w:numId w:val="1"/>
        </w:numPr>
        <w:ind w:left="0" w:firstLine="0"/>
        <w:jc w:val="center"/>
        <w:spacing w:line="240" w:lineRule="auto"/>
        <w:tabs>
          <w:tab w:val="left" w:pos="284" w:leader="none"/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Цена Договора и порядок расчетов</w:t>
      </w:r>
      <w:r>
        <w:rPr>
          <w:b/>
          <w:sz w:val="24"/>
          <w:szCs w:val="24"/>
        </w:rPr>
      </w:r>
    </w:p>
    <w:p>
      <w:pPr>
        <w:pStyle w:val="889"/>
        <w:numPr>
          <w:ilvl w:val="1"/>
          <w:numId w:val="7"/>
        </w:numPr>
        <w:ind w:left="0" w:firstLine="709"/>
        <w:jc w:val="both"/>
        <w:widowControl w:val="o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  <w:highlight w:val="white"/>
        </w:rPr>
      </w:pPr>
      <w:r/>
      <w:bookmarkStart w:id="5" w:name="_Ref62113458"/>
      <w:r>
        <w:rPr>
          <w:bCs/>
          <w:sz w:val="24"/>
          <w:szCs w:val="24"/>
        </w:rPr>
        <w:t xml:space="preserve">Сублицензиат обязуется уплатить Лицензиату вознаграждение за предоставленное право использования ПО (далее – «Цена </w:t>
      </w:r>
      <w:r>
        <w:rPr>
          <w:sz w:val="24"/>
          <w:szCs w:val="24"/>
          <w:highlight w:val="white"/>
        </w:rPr>
        <w:t xml:space="preserve">Договора») в размере </w:t>
      </w:r>
      <w:r>
        <w:rPr>
          <w:sz w:val="24"/>
          <w:szCs w:val="24"/>
          <w:highlight w:val="white"/>
        </w:rPr>
        <w:t xml:space="preserve">____________________ (___________________) рублей ___ копеек, НДС не облагается на основании подпункта 26 пункта 2 статьи 149 Налогового кодекса Российской Федерации. Стоимость лицензионного вознаграждения за конкретную лицензию указывается в Спецификации.</w:t>
      </w:r>
      <w:bookmarkEnd w:id="5"/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</w:r>
    </w:p>
    <w:p>
      <w:pPr>
        <w:pStyle w:val="889"/>
        <w:numPr>
          <w:ilvl w:val="1"/>
          <w:numId w:val="7"/>
        </w:numPr>
        <w:ind w:left="0" w:firstLine="709"/>
        <w:jc w:val="both"/>
        <w:widowControl w:val="o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Размер вознаграждения, указанного </w:t>
      </w:r>
      <w:r>
        <w:rPr>
          <w:color w:val="000000"/>
          <w:sz w:val="24"/>
          <w:szCs w:val="24"/>
        </w:rPr>
        <w:t xml:space="preserve">в пункте 2.1 Договора, является фиксированным и не подлежит изменению в течение всего срока, на который Лицензиату предоставлено право использования ПО.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7"/>
        </w:numPr>
        <w:contextualSpacing w:val="0"/>
        <w:ind w:left="0" w:firstLine="709"/>
        <w:jc w:val="both"/>
        <w:spacing w:before="0" w:after="0" w:line="276" w:lineRule="auto"/>
        <w:tabs>
          <w:tab w:val="clear" w:pos="709" w:leader="none"/>
          <w:tab w:val="left" w:pos="1134" w:leader="none"/>
        </w:tabs>
        <w:rPr>
          <w:rFonts w:eastAsia="Calibri"/>
          <w:sz w:val="24"/>
          <w:szCs w:val="24"/>
        </w:rPr>
      </w:pPr>
      <w:r/>
      <w:bookmarkStart w:id="6" w:name="_Ref72506971"/>
      <w:r>
        <w:rPr>
          <w:sz w:val="24"/>
          <w:szCs w:val="24"/>
        </w:rPr>
        <w:t xml:space="preserve">Оплата Сублицензиатом цены настоящего Договора производится в следующем порядке:</w:t>
      </w:r>
      <w:bookmarkEnd w:id="6"/>
      <w:r/>
      <w:r>
        <w:rPr>
          <w:rFonts w:eastAsia="Calibri"/>
          <w:sz w:val="24"/>
          <w:szCs w:val="24"/>
        </w:rPr>
      </w:r>
    </w:p>
    <w:p>
      <w:pPr>
        <w:pStyle w:val="889"/>
        <w:numPr>
          <w:ilvl w:val="2"/>
          <w:numId w:val="7"/>
        </w:numPr>
        <w:contextualSpacing w:val="0"/>
        <w:ind w:left="0" w:firstLine="1134"/>
        <w:jc w:val="both"/>
        <w:spacing w:before="0" w:after="0" w:line="276" w:lineRule="auto"/>
        <w:widowControl w:val="off"/>
        <w:tabs>
          <w:tab w:val="clear" w:pos="709" w:leader="none"/>
        </w:tabs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платеж в размере 100 (Ста) % от стоимости принятых прав на использование ПО  выплачивается в течение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sz w:val="24"/>
          <w:szCs w:val="24"/>
          <w:highlight w:val="lightGray"/>
        </w:rPr>
        <w:t xml:space="preserve">30 (тридцати) календарных дней / 7 (семи) рабочих дней</w:t>
      </w:r>
      <w:r>
        <w:rPr>
          <w:rStyle w:val="852"/>
          <w:sz w:val="24"/>
          <w:szCs w:val="24"/>
          <w:highlight w:val="lightGray"/>
        </w:rPr>
        <w:footnoteReference w:id="3"/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sz w:val="24"/>
          <w:szCs w:val="24"/>
        </w:rPr>
        <w:t xml:space="preserve"> с даты подписания между Сторонами </w:t>
      </w:r>
      <w:hyperlink r:id="rId18" w:tooltip="consultantplus://offline/ref=8C84DA515E544E2EFB69A3048192FED505B0BFDC5386D4AEFE4FD64EED2E473F109E5C2D42B33CEE1A4773ECYD4FK" w:history="1">
        <w:r>
          <w:rPr>
            <w:bCs/>
            <w:sz w:val="24"/>
            <w:szCs w:val="24"/>
          </w:rPr>
          <w:t xml:space="preserve">Акт</w:t>
        </w:r>
      </w:hyperlink>
      <w:r>
        <w:rPr>
          <w:bCs/>
          <w:sz w:val="24"/>
          <w:szCs w:val="24"/>
        </w:rPr>
        <w:t xml:space="preserve">а об исполнении обязательств по предоставлению права использования ПО (Приложение № 1 к Договору)</w:t>
      </w:r>
      <w:r>
        <w:rPr>
          <w:sz w:val="24"/>
          <w:szCs w:val="24"/>
        </w:rPr>
        <w:t xml:space="preserve"> (или УПД) на основании счета, выставленного Лицензиатом, с учетом п.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_Ref55832462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2.5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7"/>
        </w:numPr>
        <w:contextualSpacing w:val="0"/>
        <w:ind w:left="0" w:firstLine="709"/>
        <w:jc w:val="both"/>
        <w:spacing w:before="0" w:after="0"/>
        <w:widowControl w:val="o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Расчеты по Договору осуществляются в валюте Российской Федерации. Оплата п</w:t>
      </w:r>
      <w:r>
        <w:rPr>
          <w:bCs/>
          <w:sz w:val="24"/>
          <w:szCs w:val="24"/>
        </w:rPr>
        <w:t xml:space="preserve">роизводится Сублицензиатом путем перечисления денежных средств на расчетный счет Лицензиата, указанный в Договоре. Обязательство Сублицензиата по осуществлению платежа считается исполненным с даты списания денежных средств с расчетного счета Сублицензиата.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7"/>
        </w:numPr>
        <w:contextualSpacing w:val="0"/>
        <w:ind w:left="0" w:firstLine="709"/>
        <w:jc w:val="both"/>
        <w:spacing w:before="0" w:after="0"/>
        <w:widowControl w:val="o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  <w:highlight w:val="white"/>
        </w:rPr>
      </w:pPr>
      <w:r/>
      <w:bookmarkStart w:id="7" w:name="_Ref55832462"/>
      <w:r>
        <w:rPr>
          <w:sz w:val="24"/>
          <w:szCs w:val="24"/>
        </w:rPr>
        <w:t xml:space="preserve">В случае выставления Лицензиатом счета на сумму менее р</w:t>
      </w:r>
      <w:r>
        <w:rPr>
          <w:sz w:val="24"/>
          <w:szCs w:val="24"/>
        </w:rPr>
        <w:t xml:space="preserve">азмера предусмотренного Договором платежа, оплата осуществляется по сумме счета. В случае выставления текущего или дополнительных счетов в отношении того же платежа на сумму, превышающую размер предусмотренного Договором платежа, такой счет к оплате Сублиц</w:t>
      </w:r>
      <w:r>
        <w:rPr>
          <w:sz w:val="24"/>
          <w:szCs w:val="24"/>
        </w:rPr>
        <w:t xml:space="preserve">ензиатом не принимается и подлежит замене Лицензиатом независимо от его фактического вручения Сублицензиату. В случае выставления Лицензиатом счета позднее чем за 10 (десять) календарных дней до предусмотренной Договором даты платежа, оплата осуществляется</w:t>
      </w:r>
      <w:r>
        <w:rPr>
          <w:sz w:val="24"/>
          <w:szCs w:val="24"/>
          <w:highlight w:val="white"/>
        </w:rPr>
        <w:t xml:space="preserve"> в течение 10 (десяти) календарных дней с даты фактического получения счета Сублицензиатом.</w:t>
      </w:r>
      <w:bookmarkEnd w:id="7"/>
      <w:r/>
      <w:r>
        <w:rPr>
          <w:sz w:val="24"/>
          <w:szCs w:val="24"/>
          <w:highlight w:val="white"/>
        </w:rPr>
      </w:r>
    </w:p>
    <w:p>
      <w:pPr>
        <w:pStyle w:val="889"/>
        <w:numPr>
          <w:ilvl w:val="1"/>
          <w:numId w:val="7"/>
        </w:numPr>
        <w:contextualSpacing w:val="0"/>
        <w:ind w:left="0" w:firstLine="709"/>
        <w:jc w:val="both"/>
        <w:spacing w:before="0" w:after="0"/>
        <w:widowControl w:val="o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Индексация Цены Договора не допускается</w:t>
      </w:r>
      <w:r>
        <w:rPr>
          <w:sz w:val="24"/>
          <w:szCs w:val="24"/>
          <w:highlight w:val="white"/>
        </w:rPr>
      </w:r>
    </w:p>
    <w:p>
      <w:pPr>
        <w:pStyle w:val="814"/>
        <w:numPr>
          <w:ilvl w:val="1"/>
          <w:numId w:val="7"/>
        </w:numPr>
        <w:ind w:left="0" w:firstLine="709"/>
        <w:spacing w:line="240" w:lineRule="auto"/>
        <w:shd w:val="clear" w:color="auto" w:fill="ffffff"/>
        <w:widowControl w:val="off"/>
        <w:rPr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Сублицензиат вправе без письменного согласия Лицензиата передать первичные бухгалтерские документы по Договору (договор с приложениями, все заключаемые д</w:t>
      </w:r>
      <w:r>
        <w:rPr>
          <w:color w:val="000000"/>
          <w:sz w:val="24"/>
          <w:szCs w:val="24"/>
          <w:highlight w:val="white"/>
        </w:rPr>
        <w:t xml:space="preserve">ополнительные соглашения к нему, счета, акты, акты выполненных работ/услуг акты сверки взаимных расчетов и иные документы в рамках исполнения договора) в АО «РусГидро - ОЦО» осуществляющее оказание услуг Сублицензиату  по бухгалтерскому и налоговому учету.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</w:r>
    </w:p>
    <w:p>
      <w:pPr>
        <w:pStyle w:val="814"/>
        <w:numPr>
          <w:ilvl w:val="1"/>
          <w:numId w:val="7"/>
        </w:numPr>
        <w:ind w:left="0" w:firstLine="709"/>
        <w:spacing w:line="240" w:lineRule="auto"/>
        <w:shd w:val="clear" w:color="auto" w:fill="ffffff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Обязательство Сублицензиата по осуществлению платежа считается исполненным с даты списания денежных средств с расчетного счета Сублицензиата.</w:t>
      </w:r>
      <w:r>
        <w:rPr>
          <w:sz w:val="24"/>
          <w:szCs w:val="24"/>
          <w:highlight w:val="white"/>
        </w:rPr>
      </w:r>
    </w:p>
    <w:p>
      <w:pPr>
        <w:pStyle w:val="889"/>
        <w:numPr>
          <w:ilvl w:val="0"/>
          <w:numId w:val="0"/>
        </w:numPr>
        <w:ind w:left="0" w:firstLine="709"/>
        <w:jc w:val="both"/>
        <w:tabs>
          <w:tab w:val="clear" w:pos="709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1"/>
        </w:numPr>
        <w:jc w:val="center"/>
        <w:tabs>
          <w:tab w:val="left" w:pos="284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предоставления права использования, пределы (объем) и способы использования ПО 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tabs>
          <w:tab w:val="clear" w:pos="709" w:leader="none"/>
          <w:tab w:val="left" w:pos="1134" w:leader="none"/>
        </w:tabs>
        <w:rPr>
          <w:sz w:val="24"/>
          <w:szCs w:val="24"/>
        </w:rPr>
      </w:pPr>
      <w:r/>
      <w:bookmarkStart w:id="8" w:name="_Ref55832547"/>
      <w:r>
        <w:rPr>
          <w:sz w:val="24"/>
          <w:szCs w:val="24"/>
        </w:rPr>
        <w:t xml:space="preserve">Предоставление Лицензиатом права использования ПО на условиях простой (неисключительной) лицензии осуществляется в течение 10 (десяти) рабочих дней с даты подписания Договора путем передачи Сублицензиату:</w:t>
      </w:r>
      <w:bookmarkEnd w:id="8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720" w:leader="none"/>
          <w:tab w:val="left" w:pos="1418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необходимых ключей доступа, паролей и иной информации, обеспечивающей Сублицензиату возможность использования ПО (в случае, если ПО защищен техническими средствами защиты, контролирующими доступ к ПО).</w:t>
      </w:r>
      <w:bookmarkStart w:id="9" w:name="_Ref55832383"/>
      <w:r/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720" w:leader="none"/>
          <w:tab w:val="left" w:pos="1418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на материальном носителе (дистрибутиве);</w:t>
      </w:r>
      <w:r>
        <w:rPr>
          <w:bCs/>
          <w:sz w:val="24"/>
          <w:szCs w:val="24"/>
          <w:highlight w:val="white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720" w:leader="none"/>
          <w:tab w:val="left" w:pos="1418" w:leader="none"/>
        </w:tabs>
        <w:rPr>
          <w:bCs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сетевым</w:t>
      </w:r>
      <w:r>
        <w:rPr>
          <w:bCs/>
          <w:sz w:val="24"/>
          <w:szCs w:val="24"/>
          <w:highlight w:val="white"/>
        </w:rPr>
        <w:t xml:space="preserve"> способом доставки путем передачи Лицензиаром документации Лицензиату, содержащей информацию об условиях (программных ключах, кодах, паролях, сетевых путях и т.п.) доступа к сетевому ресурсу правообладателя / производителя ПО;</w:t>
      </w:r>
      <w:r>
        <w:rPr>
          <w:bCs/>
          <w:sz w:val="24"/>
          <w:szCs w:val="24"/>
          <w:highlight w:val="white"/>
        </w:rPr>
      </w:r>
    </w:p>
    <w:p>
      <w:pPr>
        <w:pStyle w:val="889"/>
        <w:numPr>
          <w:ilvl w:val="1"/>
          <w:numId w:val="8"/>
        </w:numPr>
        <w:ind w:left="0" w:firstLine="567"/>
        <w:jc w:val="both"/>
        <w:tabs>
          <w:tab w:val="clear" w:pos="709" w:leader="none"/>
          <w:tab w:val="left" w:pos="720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Лицензиат в подтверждение предоставления Сублицензиату права использования ПО представляет Сублицензиату подписанный со своей стороны в 2 (двух) экземплярах </w:t>
      </w:r>
      <w:hyperlink r:id="rId19" w:tooltip="consultantplus://offline/ref=8C84DA515E544E2EFB69A3048192FED505B0BFDC5386D4AEFE4FD64EED2E473F109E5C2D42B33CEE1A4773ECYD4FK" w:history="1">
        <w:r>
          <w:rPr>
            <w:bCs/>
            <w:sz w:val="24"/>
            <w:szCs w:val="24"/>
          </w:rPr>
          <w:t xml:space="preserve">Акт</w:t>
        </w:r>
      </w:hyperlink>
      <w:r>
        <w:rPr>
          <w:bCs/>
          <w:sz w:val="24"/>
          <w:szCs w:val="24"/>
        </w:rPr>
        <w:t xml:space="preserve"> об исполнении обязательств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по предоставлению права использования ПО по форме Приложения № 1 к Договору (далее </w:t>
      </w:r>
      <w:r>
        <w:rPr>
          <w:sz w:val="24"/>
          <w:szCs w:val="24"/>
          <w:lang w:eastAsia="en-US"/>
        </w:rPr>
        <w:t xml:space="preserve">– «Акт об исполнении обязательств») или УПД</w:t>
      </w:r>
      <w:r>
        <w:rPr>
          <w:bCs/>
          <w:sz w:val="24"/>
          <w:szCs w:val="24"/>
        </w:rPr>
        <w:t xml:space="preserve">.</w:t>
      </w:r>
      <w:bookmarkEnd w:id="9"/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567"/>
        <w:jc w:val="both"/>
        <w:spacing w:before="0" w:after="0"/>
        <w:tabs>
          <w:tab w:val="clear" w:pos="709" w:leader="none"/>
          <w:tab w:val="left" w:pos="1134" w:leader="none"/>
        </w:tabs>
        <w:rPr>
          <w:sz w:val="24"/>
          <w:szCs w:val="24"/>
        </w:rPr>
      </w:pPr>
      <w:r/>
      <w:bookmarkStart w:id="10" w:name="_Ref55832624"/>
      <w:r>
        <w:rPr>
          <w:bCs/>
          <w:sz w:val="24"/>
          <w:szCs w:val="24"/>
        </w:rPr>
        <w:t xml:space="preserve">В течение 15 (пятнадцати) рабочих дней с даты исполнения Лицензиатом обязательств, предусмотренных пунктом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_Ref55832547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3.1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. Договора, и получения Сублицензиатом Акта об исполнении обязательств (или УПД), Сублицензиат подписывает и передает Лицензиату 1 (один) экземпляр Акта об исполнении обязательств (или УПД) либо </w:t>
      </w:r>
      <w:r>
        <w:rPr>
          <w:sz w:val="24"/>
          <w:szCs w:val="24"/>
        </w:rPr>
        <w:t xml:space="preserve">направляет Лицензиату письменный мотивированный отказ от подписания Акта </w:t>
      </w:r>
      <w:r>
        <w:rPr>
          <w:bCs/>
          <w:sz w:val="24"/>
          <w:szCs w:val="24"/>
        </w:rPr>
        <w:t xml:space="preserve">(или УПД),</w:t>
      </w:r>
      <w:r>
        <w:rPr>
          <w:sz w:val="24"/>
          <w:szCs w:val="24"/>
        </w:rPr>
        <w:t xml:space="preserve"> в котором отражает несоответствия / недостатки, а также срок на их устранение.</w:t>
      </w:r>
      <w:bookmarkEnd w:id="10"/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Устранение несоответствий / недостатков, выявленных Сублицензиатом, производится Лицензиатом своими силами и за свой счет.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Повторное подписание </w:t>
      </w:r>
      <w:r>
        <w:rPr>
          <w:sz w:val="24"/>
          <w:szCs w:val="24"/>
        </w:rPr>
        <w:t xml:space="preserve">Акта</w:t>
      </w:r>
      <w:r>
        <w:rPr>
          <w:bCs/>
          <w:sz w:val="24"/>
          <w:szCs w:val="24"/>
        </w:rPr>
        <w:t xml:space="preserve"> об исполнении обязательств (или УПД) после</w:t>
      </w:r>
      <w:r>
        <w:rPr>
          <w:sz w:val="24"/>
          <w:szCs w:val="24"/>
        </w:rPr>
        <w:t xml:space="preserve"> устранения несоответствий / недостатков, осуществляется</w:t>
      </w:r>
      <w:r>
        <w:rPr>
          <w:bCs/>
          <w:sz w:val="24"/>
          <w:szCs w:val="24"/>
        </w:rPr>
        <w:t xml:space="preserve"> в порядке, предусмотренном пунктом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_Ref55832624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3.3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  Договора.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Право использования ПО считается предоставленным Сублицензиату в дату подписания Сторонами Акта</w:t>
      </w:r>
      <w:r>
        <w:rPr>
          <w:bCs/>
          <w:sz w:val="24"/>
          <w:szCs w:val="24"/>
        </w:rPr>
        <w:t xml:space="preserve"> об исполнении обязательств (или УПД), указанного в пункте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_Ref55832383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3.1.1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 Договора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С даты предоставления права использования ПО Сублицензиат получает право на его инсталляцию (установку) и запуск с целью использования по его прямому назначению в конфигурации и на количество пользователей, указанные в Спецификации (</w:t>
      </w:r>
      <w:r>
        <w:rPr>
          <w:bCs/>
          <w:sz w:val="24"/>
          <w:szCs w:val="24"/>
        </w:rPr>
        <w:t xml:space="preserve">Приложение № 2 к Договору)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С даты предоставления права использования Сублицензиат вправе использовать ПО любыми способами, не противоречащим закону.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Использование Сублицензиатом ПО допускается на Территории: Российской Федерации.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left" w:pos="284" w:leader="none"/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89"/>
        <w:numPr>
          <w:ilvl w:val="0"/>
          <w:numId w:val="8"/>
        </w:numPr>
        <w:jc w:val="center"/>
        <w:rPr>
          <w:bCs/>
          <w:iCs/>
          <w:sz w:val="24"/>
          <w:szCs w:val="24"/>
        </w:rPr>
      </w:pPr>
      <w:r/>
      <w:bookmarkStart w:id="11" w:name="_Ref441639778"/>
      <w:r/>
      <w:bookmarkStart w:id="12" w:name="_Ref5702758"/>
      <w:r/>
      <w:bookmarkEnd w:id="11"/>
      <w:r/>
      <w:bookmarkEnd w:id="12"/>
      <w:r>
        <w:rPr>
          <w:b/>
          <w:sz w:val="24"/>
          <w:szCs w:val="24"/>
        </w:rPr>
        <w:t xml:space="preserve">Права и обязанности Сторон</w:t>
      </w:r>
      <w:r>
        <w:rPr>
          <w:bCs/>
          <w:i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spacing w:before="0" w:after="0"/>
        <w:tabs>
          <w:tab w:val="clear" w:pos="709" w:leader="none"/>
          <w:tab w:val="left" w:pos="1276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t xml:space="preserve">Сублицензиат обязан</w:t>
      </w:r>
      <w:r>
        <w:rPr>
          <w:bCs/>
          <w:sz w:val="24"/>
          <w:szCs w:val="24"/>
        </w:rPr>
        <w:t xml:space="preserve">: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 использовать ПО способами, не предусмотренными Договором,</w:t>
      </w:r>
      <w:r>
        <w:rPr>
          <w:sz w:val="24"/>
          <w:szCs w:val="24"/>
        </w:rPr>
        <w:t xml:space="preserve"> не совершать по отношению к ПО действия, нарушающие нормы Применимого права, в том числе</w:t>
      </w:r>
      <w:r>
        <w:rPr>
          <w:bCs/>
          <w:sz w:val="24"/>
          <w:szCs w:val="24"/>
        </w:rPr>
        <w:t xml:space="preserve">:</w:t>
      </w:r>
      <w:r>
        <w:rPr>
          <w:bCs/>
          <w:sz w:val="24"/>
          <w:szCs w:val="24"/>
        </w:rPr>
      </w:r>
    </w:p>
    <w:p>
      <w:pPr>
        <w:pStyle w:val="889"/>
        <w:numPr>
          <w:ilvl w:val="3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  <w:tab w:val="left" w:pos="1701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Дизассемблировать, декомпилировать (преобразовывать объектный код в исходный текст) ПО и другие компоненты ПО, за исключением случаев, когда возможность осуществления таких действий прямо предусмотрена Применимым правом или Договором.</w:t>
      </w:r>
      <w:r>
        <w:rPr>
          <w:bCs/>
          <w:sz w:val="24"/>
          <w:szCs w:val="24"/>
        </w:rPr>
      </w:r>
    </w:p>
    <w:p>
      <w:pPr>
        <w:pStyle w:val="889"/>
        <w:numPr>
          <w:ilvl w:val="3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  <w:tab w:val="left" w:pos="1701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Модифицировать ПО, в том числе вносить изменения в объектный код, за исключением случаев, указанных в пункте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_Ref55832702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4.2.1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_Ref96000433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4.2.4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 Договора. 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Незамедлительно информировать о случаях противоправного использования ПО третьими лицами; 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По требованию Лицензиата предоставлять отчеты об использовании ПО</w:t>
      </w:r>
      <w:r>
        <w:rPr>
          <w:bCs/>
          <w:sz w:val="24"/>
          <w:szCs w:val="24"/>
        </w:rPr>
        <w:t xml:space="preserve"> в порядке и в сроки, указанные в таком требовании.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 xml:space="preserve">Оплатить Лицензиату вознаграждение</w:t>
      </w:r>
      <w:r>
        <w:rPr>
          <w:bCs/>
          <w:iCs/>
          <w:sz w:val="24"/>
          <w:szCs w:val="24"/>
        </w:rPr>
        <w:t xml:space="preserve"> за предоставление права использования ПО в размере, порядке и сроки, предусмотренные Договором.</w:t>
      </w:r>
      <w:r>
        <w:rPr>
          <w:bCs/>
          <w:iCs/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Исполнять иные обязанности, предусмотренные Договором и законодательством Российской Федерации.</w:t>
      </w:r>
      <w:r>
        <w:rPr>
          <w:bCs/>
          <w:i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  <w:u w:val="single"/>
        </w:rPr>
        <w:t xml:space="preserve">Сублицензиат вправе</w:t>
      </w:r>
      <w:r>
        <w:rPr>
          <w:sz w:val="24"/>
          <w:szCs w:val="24"/>
        </w:rPr>
        <w:t xml:space="preserve">:</w:t>
      </w:r>
      <w:bookmarkStart w:id="13" w:name="Par8"/>
      <w:r/>
      <w:bookmarkEnd w:id="13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/>
      <w:bookmarkStart w:id="14" w:name="_Ref55832702"/>
      <w:r>
        <w:rPr>
          <w:sz w:val="24"/>
          <w:szCs w:val="24"/>
        </w:rPr>
        <w:t xml:space="preserve">Осуществлять действия, необходимые для функционирования </w:t>
      </w:r>
      <w:r>
        <w:rPr>
          <w:sz w:val="24"/>
          <w:szCs w:val="24"/>
        </w:rPr>
        <w:t xml:space="preserve">ПО (в том числе в ходе использования в соответствии с назначением), включая запись и хранение в памяти ЭВМ (пользователя сети), внесение в ПО изменений исключительно в целях функционирования на технических средствах Сублицензиата, исправления явных ошибок.</w:t>
      </w:r>
      <w:bookmarkEnd w:id="14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Изготовлять копии ПО при условии, что такие копии предназначены исключительно для архивных целей или для замены правомерно приобрете</w:t>
      </w:r>
      <w:r>
        <w:rPr>
          <w:sz w:val="24"/>
          <w:szCs w:val="24"/>
        </w:rPr>
        <w:t xml:space="preserve">нного экземпляра ПО в случаях, когда такой экземпляр утерян, уничтожен или стал непригоден для использования. При этом копии ПО не могут быть использованы в иных целях и должны быть уничтожены, если владение экземпляром такой ПО перестало быть правомерным.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Усовершенствовать ПО при условии предварительного </w:t>
      </w:r>
      <w:r>
        <w:rPr>
          <w:sz w:val="24"/>
          <w:szCs w:val="24"/>
        </w:rPr>
        <w:t xml:space="preserve">письменного согласия от Лицензиата в срок не позднее 10 (десяти) календарных дней до даты начала работ по усовершенствованию ПО. В случае возникновения в результате усовершенствования ПО патентоспособного результата, Сублицензиат не позднее 10 (десяти) кал</w:t>
      </w:r>
      <w:r>
        <w:rPr>
          <w:sz w:val="24"/>
          <w:szCs w:val="24"/>
        </w:rPr>
        <w:t xml:space="preserve">ендарных дней обязуется письменно сообщить об этом Лицензиату, и Стороны обязуются в разумный срок заключить дополнительное соглашение к Договору о порядке регистрации прав Сублицензиата на такой ПО без уплаты Сублицензиатом дополнительного вознаграждения.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/>
      <w:bookmarkStart w:id="15" w:name="_Ref96000433"/>
      <w:r>
        <w:rPr>
          <w:sz w:val="24"/>
          <w:szCs w:val="24"/>
        </w:rPr>
        <w:t xml:space="preserve">Использовать ПО в пределах (объеме) и способами, установленными Договором.</w:t>
      </w:r>
      <w:bookmarkEnd w:id="15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sz w:val="24"/>
          <w:szCs w:val="24"/>
        </w:rPr>
        <w:t xml:space="preserve">. Сублицензиат вправе произвести сальдо взаимных обязательств сторон путем уменьшения сумм причитающихся Лицензиату платежей по </w:t>
      </w:r>
      <w:r>
        <w:rPr>
          <w:sz w:val="24"/>
          <w:szCs w:val="24"/>
        </w:rPr>
        <w:t xml:space="preserve">Договору, а также по взаимосвязанным договорам (цепочке договоров), в рамках единого комплекса хозяйственных взаимоотношений сторон, направленных на исполнение Договора, на суммы задолженности Лицензиата перед Сублицензиатом, в том числе (включая, но не ог</w:t>
      </w:r>
      <w:r>
        <w:rPr>
          <w:sz w:val="24"/>
          <w:szCs w:val="24"/>
        </w:rPr>
        <w:t xml:space="preserve">раничиваясь), суммы неотработанного аванса по Договору, суммы неустоек (пени, штрафы) за неисполнение и / или ненадлежащее исполнение обязательств Сублицензиат  направляет Лицензиату уведомление о проведении сальдо взаимных обязательств Сторон по Договору.</w:t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0"/>
        </w:numPr>
        <w:contextualSpacing w:val="0"/>
        <w:ind w:left="709" w:firstLine="0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  <w:u w:val="single"/>
        </w:rPr>
        <w:t xml:space="preserve">Лицензиат обязан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Предоставить Сублицензиату право использования ПО в порядке и сроки, установленные Договором.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Предоставить Субли</w:t>
      </w:r>
      <w:r>
        <w:rPr>
          <w:sz w:val="24"/>
          <w:szCs w:val="24"/>
        </w:rPr>
        <w:t xml:space="preserve">цензиату документацию, необходимую для использования ПО в пределах (объеме) и способами, установленными Договором, в том числе передать инструкцию по установке и использованию ПО или оказать необходимую техническую поддержку силами специалистов Лицензиата.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За свой счет устранить неполадки в функционировании ПО в случае, если неполадки произошли не по вине Сублицензиата, в срок, указанный в соответствующем обращении Сублицензиата.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В течение срока действия Договора воздерживаться от каких-либо действий, способных затруднить осуществление Сублицензиатом предоставленного ему права использования ПО в установленных Договором пределах (объеме).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Исполнять иные обязанности, предусмотренные Договором и законодательством Российской Федерации.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  <w:u w:val="single"/>
        </w:rPr>
        <w:t xml:space="preserve">Лицензиат вправе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Самостоятельно передавать право использования ПО третьим лицам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 w:val="0"/>
        <w:ind w:left="0" w:firstLine="709"/>
        <w:jc w:val="both"/>
        <w:spacing w:before="0" w:after="0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t xml:space="preserve">Отказаться от Договора (исполнения Договора) в одностороннем порядке по основаниям, предусмотренным Договором и законодательством Российской Федерации.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284" w:leader="none"/>
          <w:tab w:val="clear" w:pos="709" w:leader="none"/>
        </w:tabs>
        <w:rPr>
          <w:b/>
          <w:sz w:val="24"/>
          <w:szCs w:val="24"/>
        </w:rPr>
      </w:pPr>
      <w:r/>
      <w:bookmarkStart w:id="16" w:name="_Ref420926340"/>
      <w:r>
        <w:rPr>
          <w:b/>
          <w:sz w:val="24"/>
          <w:szCs w:val="24"/>
        </w:rPr>
        <w:t xml:space="preserve">Техническая поддержка от Лицензиата</w:t>
      </w:r>
      <w:bookmarkEnd w:id="16"/>
      <w:r/>
      <w:r>
        <w:rPr>
          <w:b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Базовая техническая поддержка в отношении использования программ для ЭВМ, предусмотренных </w:t>
      </w:r>
      <w:r>
        <w:rPr>
          <w:sz w:val="24"/>
          <w:szCs w:val="24"/>
        </w:rPr>
        <w:t xml:space="preserve">настоящим Договором и Спецификацией, осуществляется Лицензиатом в течение 1 года с момента получения лицензии к каждой программе, если больший срок не предоставляется Правообладателем. Под базовой технической поддержкой понимается предоставляемая по выделе</w:t>
      </w:r>
      <w:r>
        <w:rPr>
          <w:sz w:val="24"/>
          <w:szCs w:val="24"/>
        </w:rPr>
        <w:t xml:space="preserve">нной линии службы приема и разрешения технических запросов (телефон, e-mail, Help Desk) специалистами Лицензиата консультационная помощь, включающая в себя: предоставление информации о новых версиях и исправлениях программного обеспечения, предоставление и</w:t>
      </w:r>
      <w:r>
        <w:rPr>
          <w:sz w:val="24"/>
          <w:szCs w:val="24"/>
        </w:rPr>
        <w:t xml:space="preserve">нформации о базовых функциях продукта, консультации по проблемам с первичной инсталляцией и активацией программного обеспечения. Время предоставления поддержки и приема заявок осуществляется с понедельника по пятницу с 9:00 до 18:00 по Московскому времени.</w:t>
      </w:r>
      <w:r>
        <w:rPr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 запросу Сублицензиата Лицензиат обязуется предоставить адреса центров технической поддержки Правообладателя.</w:t>
      </w:r>
      <w:r>
        <w:rPr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Гарантия на работу программ для ЭВМ предоставляется Правообладателем согласно Лицензионному соглашению Правообладателя с конечным пользователем.</w:t>
      </w:r>
      <w:r>
        <w:rPr>
          <w:sz w:val="24"/>
          <w:szCs w:val="24"/>
        </w:rPr>
      </w:r>
    </w:p>
    <w:p>
      <w:pPr>
        <w:pStyle w:val="889"/>
        <w:contextualSpacing w:val="0"/>
        <w:ind w:left="709" w:firstLine="0"/>
        <w:jc w:val="both"/>
        <w:spacing w:before="0" w:after="0"/>
        <w:tabs>
          <w:tab w:val="left" w:pos="142" w:leader="none"/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284" w:leader="none"/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Ответственность Сторон</w:t>
      </w:r>
      <w:r>
        <w:rPr>
          <w:b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За </w:t>
      </w:r>
      <w:r>
        <w:rPr>
          <w:sz w:val="24"/>
          <w:szCs w:val="24"/>
        </w:rPr>
        <w:t xml:space="preserve">неисполнение</w:t>
      </w:r>
      <w:r>
        <w:rPr>
          <w:bCs/>
          <w:sz w:val="24"/>
          <w:szCs w:val="24"/>
        </w:rPr>
        <w:t xml:space="preserve"> или ненадлежащее исполнение принятых обязательств по Договору Стороны несут ответственность в соответствии с законодательством Российской Ф</w:t>
      </w:r>
      <w:r>
        <w:rPr>
          <w:bCs/>
          <w:sz w:val="24"/>
          <w:szCs w:val="24"/>
        </w:rPr>
        <w:t xml:space="preserve">едерации и Договором. Меры ответственности, предусмотренные Договором, не освобождают Стороны от ответственности, установленной законодательством Российской Федерации и должны рассматриваться как дополнительные, если Договором прямо не предусмотрено иное. 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left" w:pos="432" w:leader="none"/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В случае нарушения Сублицензиатом сроков оплаты, установленных Договором</w:t>
      </w:r>
      <w:r>
        <w:rPr>
          <w:bCs/>
          <w:sz w:val="24"/>
          <w:szCs w:val="24"/>
        </w:rPr>
        <w:t xml:space="preserve">, Лицензиат вправе требовать уплаты Сублицензиатом исключительной неустойки в размере 0,05 % (ноль целых и три сотых процента) от несвоевременно оплаченной суммы за каждый день просрочки, но не более 5 % (пяти процентов) от несвоевременно оплаченной суммы.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left" w:pos="432" w:leader="none"/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В случае нарушения Лицензиатом обязательств по предоставлению права использования ПО, в том числе сроков предоставления права исполь</w:t>
      </w:r>
      <w:r>
        <w:rPr>
          <w:bCs/>
          <w:sz w:val="24"/>
          <w:szCs w:val="24"/>
        </w:rPr>
        <w:t xml:space="preserve">зования, а также в случае несвоевременного устранения выявленных несоответствий / недостатков, Сублицензиат вправе требовать уплаты Лицензиатом штрафной неустойки в размере 0,1 (ноль целых и одна десятая) процента от Цены Договора за каждый день просрочки.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tabs>
          <w:tab w:val="clear" w:pos="709" w:leader="none"/>
          <w:tab w:val="left" w:pos="170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 несвоевременного устранения Лицензиатом  выявленных недостатков ПО, Сублицензиат вправе потребовать уплаты Лицензиатом: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tabs>
          <w:tab w:val="clear" w:pos="709" w:leader="none"/>
          <w:tab w:val="left" w:pos="1701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неустойки в размере 0,1 (ноль целых и одна десятая) процента от цены Договора за каждый день просрочки – в случае несвоевременного устранения выявленных недостатков ПО, влияющих на возможность эксплуатации (использования) в целом;</w:t>
      </w:r>
      <w:r>
        <w:rPr>
          <w:rFonts w:eastAsia="Calibri"/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tabs>
          <w:tab w:val="clear" w:pos="709" w:leader="none"/>
          <w:tab w:val="left" w:pos="1701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неустойки в размере 0,1 (ноль целых и одна десятая) процента от стоимости Договора за каждый день просрочки – в случае несвоевременного устранения выявленных недостатков ПО, не влияющих на возможность эксплуатации (использования) в целом.</w:t>
      </w:r>
      <w:r>
        <w:rPr>
          <w:rFonts w:eastAsia="Calibri"/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tabs>
          <w:tab w:val="clear" w:pos="709" w:leader="none"/>
          <w:tab w:val="left" w:pos="170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Лицензиатом  обязательств несвоевременного </w:t>
      </w:r>
      <w:r>
        <w:rPr>
          <w:sz w:val="24"/>
          <w:szCs w:val="24"/>
        </w:rPr>
        <w:t xml:space="preserve">предоставления прав на ПО а также  </w:t>
      </w:r>
      <w:r>
        <w:rPr>
          <w:sz w:val="24"/>
          <w:szCs w:val="24"/>
        </w:rPr>
        <w:t xml:space="preserve">устранения выявленных недостатков результатов работ / услуг, Сублицензиат  вправе потребовать уплаты Лицензиатом неустойки в размере 0,1 (ноль целых и одна десятая) процента от цены Договора за каждый день просрочки</w:t>
      </w:r>
      <w:r>
        <w:rPr>
          <w:bCs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sz w:val="24"/>
          <w:szCs w:val="24"/>
        </w:rPr>
        <w:t xml:space="preserve">В случае наруш</w:t>
      </w:r>
      <w:r>
        <w:rPr>
          <w:sz w:val="24"/>
          <w:szCs w:val="24"/>
        </w:rPr>
        <w:t xml:space="preserve">ения Лицензиатом  обязательств по предоставлению права использования ПО, оказанию услуг на срок свыше 20 (двадцать) календарных дней, Сублицензиат имеет право расторгнуть Договор в одностороннем внесудебном порядке, а также потребовать возмещения убытков. 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Ответственность Сублицензиата за причиненные Лицензиату убытки ограничивается реальным ущербом, но не более Цены Договора.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Обязанность по уплате неустойки и / 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Стороны. 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Уплата неустойки и / или штрафа не освобождает Стороны от исполнения обязательств по Договору, обязанности по устранению допущенных нарушений условий Договора и / или их последствий.</w:t>
      </w:r>
      <w:r>
        <w:rPr>
          <w:bCs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0" w:firstLine="709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Учитывая, что для Сублицензиата надлежащее и своевременное выполнение Лицензиато</w:t>
      </w:r>
      <w:r>
        <w:rPr>
          <w:bCs/>
          <w:sz w:val="24"/>
          <w:szCs w:val="24"/>
        </w:rPr>
        <w:t xml:space="preserve">м своих обязательств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Лицензиатом соответствующих обязательств по Договору.</w:t>
      </w:r>
      <w:r>
        <w:rPr>
          <w:bCs/>
          <w:sz w:val="24"/>
          <w:szCs w:val="24"/>
        </w:rPr>
      </w:r>
    </w:p>
    <w:p>
      <w:pPr>
        <w:pStyle w:val="814"/>
        <w:numPr>
          <w:ilvl w:val="0"/>
          <w:numId w:val="0"/>
        </w:numPr>
        <w:ind w:left="709" w:firstLine="0"/>
        <w:spacing w:line="240" w:lineRule="auto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284" w:leader="none"/>
          <w:tab w:val="clear" w:pos="709" w:leader="none"/>
          <w:tab w:val="left" w:pos="851" w:leader="none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Конфиденциальность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 конфиденциальной информацией (далее – «Информация») для целей Договора понимается любая информация, передаваемая Сублицензиатом Лицензиату в документарной форме, </w:t>
      </w:r>
      <w:r>
        <w:rPr>
          <w:bCs/>
          <w:sz w:val="24"/>
          <w:szCs w:val="24"/>
        </w:rPr>
        <w:t xml:space="preserve">в виде электронного файла, в любом другом виде, а также полученная Лицензиатом самостоятельно в ходе визитов на территорию Сублицензиата в процессе проведения переговоров, заключения и исполнения Договора, в отношении которой соблюдаются следующие условия:</w:t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данная Информация имеет действительную или потенциальную коммерческую ценность для Сублицензиата в силу неизвестности ее третьим лицам, в том числе по причине введения в отношении нее режима Коммерческой тайны;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данная Информация не относится к категории общедоступной или обязательной к раскрытию Сублицензиатом в соответствии с законодательством Российской Федерации.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Условия Договора и сам факт его заключения составляют Информацию в той части, в которой такие обстоятельства не были известны третьим лицам на момент заключения Договора.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Информация может содержаться в письмах, отчетах, аналитических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 </w:t>
      </w:r>
      <w:r>
        <w:rPr>
          <w:sz w:val="24"/>
          <w:szCs w:val="24"/>
        </w:rPr>
        <w:t xml:space="preserve">документ</w:t>
      </w:r>
      <w:r>
        <w:rPr>
          <w:bCs/>
          <w:sz w:val="24"/>
          <w:szCs w:val="24"/>
        </w:rPr>
        <w:t xml:space="preserve">, содержащий Информацию, Сублицензиатом может быть нанесен гриф «Коммерческая тайна» с указанием обладателя этой информации.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Информация</w:t>
      </w:r>
      <w:r>
        <w:rPr>
          <w:bCs/>
          <w:sz w:val="24"/>
          <w:szCs w:val="24"/>
        </w:rPr>
        <w:t xml:space="preserve"> может включать в себя, в том числе, но не ограничиваясь:</w:t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финансовую (бухгалтерскую) отчетность;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учетные регистры бухгалтерского учета;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бизнес-планы;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договоры (соглашения), заключаемые или заключенные непосредственно Сублицензиатом либо в его пользу, а также информацию и сведения, содержащиеся в данных договорах (соглашениях);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сведения о финансовых, правовых, организационных и других взаимоотношениях между Сублицензиатом и третьими лицами;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сведения о находящихся на регистрации товарных знаках Сублицензиата, а также об объектах интеллектуальной собственности Сублицензиата, сведения о которых не являются опубликованными;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сведения о подрядчиках, поставщиках оборудования и материалов, а также о покупателях продукции Сублицензиата и их аффилированных лицах;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сведения об объемах производства и / или реализации продукции и услуг Сублицензиата или его аффилированных лиц;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2"/>
        </w:numPr>
        <w:ind w:left="0" w:firstLine="709"/>
        <w:jc w:val="both"/>
        <w:shd w:val="clear" w:color="auto" w:fill="ffffff"/>
        <w:tabs>
          <w:tab w:val="left" w:pos="-3544" w:leader="none"/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материалы обобщения, анализа, оценки, иных действий по обработке вышеуказанной Информации и документов.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/>
      <w:bookmarkStart w:id="17" w:name="_Ref361337849"/>
      <w:r>
        <w:rPr>
          <w:sz w:val="24"/>
          <w:szCs w:val="24"/>
        </w:rPr>
        <w:t xml:space="preserve">Лицензиат</w:t>
      </w:r>
      <w:r>
        <w:rPr>
          <w:bCs/>
          <w:sz w:val="24"/>
          <w:szCs w:val="24"/>
        </w:rPr>
        <w:t xml:space="preserve"> обязан безусловно обеспечить защиту и сохранение конфиденциальности Информации в течение срока действия Договора и в течение 3 (трех) лет после его прекращения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(расторжения) или исполнения, в том числе:</w:t>
      </w:r>
      <w:bookmarkEnd w:id="17"/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 </w:t>
      </w:r>
      <w:r>
        <w:rPr>
          <w:sz w:val="24"/>
          <w:szCs w:val="24"/>
        </w:rPr>
        <w:t xml:space="preserve">разглашать</w:t>
      </w:r>
      <w:r>
        <w:rPr>
          <w:bCs/>
          <w:sz w:val="24"/>
          <w:szCs w:val="24"/>
        </w:rPr>
        <w:t xml:space="preserve">, не обсуждать содержание, не п</w:t>
      </w:r>
      <w:r>
        <w:rPr>
          <w:bCs/>
          <w:sz w:val="24"/>
          <w:szCs w:val="24"/>
        </w:rPr>
        <w:t xml:space="preserve">редоставлять копий, не публиковать и не раскрывать в какой-либо иной форме третьим лицам Информацию без получения предварительного письменного согласия Сублицензиата, за исключением случаев, предусмотренных законодательством Российской Федерации и пунктом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_Ref361337832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7.6.7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 Договора;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принимать меры предосторожности, обычно используемые для защиты такого рода информации в деловом обороте, при этом если Лицен</w:t>
      </w:r>
      <w:r>
        <w:rPr>
          <w:bCs/>
          <w:sz w:val="24"/>
          <w:szCs w:val="24"/>
        </w:rPr>
        <w:t xml:space="preserve">зиатом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Лицензиат обязан использовать в отношении защиты Информации, обычно используемые им меры защиты;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использовать Информацию исключительно для целей, для которых она была предоставлена; 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 осуществлять действий (бездействия), результатом которых может быть несанкционированное раскрытие Информации третьим лицам; 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возникновения угрозы несан</w:t>
      </w:r>
      <w:r>
        <w:rPr>
          <w:bCs/>
          <w:sz w:val="24"/>
          <w:szCs w:val="24"/>
        </w:rPr>
        <w:t xml:space="preserve">кционированного раскрытия Информации, немедленно, но в любом случае не позднее следующего рабочего дня, уведомить об этом Сублицензиата, а также обеспечить содействие, которое потребует Сублицензиат для предотвращения такого несанкционированного раскрытия;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 требованию Сублицензиата уничтожить всю Информацию, которую будет невозможно передать Сублицензиату по его запросу или которая будет находиться на технических средствах Лицензиата. При этом Лицензиат признает, что обязательства по возврату или у</w:t>
      </w:r>
      <w:r>
        <w:rPr>
          <w:bCs/>
          <w:sz w:val="24"/>
          <w:szCs w:val="24"/>
        </w:rPr>
        <w:t xml:space="preserve">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или методики создания резервных копий; </w:t>
      </w:r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/>
      <w:bookmarkStart w:id="18" w:name="_Ref361337832"/>
      <w:r>
        <w:rPr>
          <w:bCs/>
          <w:sz w:val="24"/>
          <w:szCs w:val="24"/>
        </w:rPr>
        <w:t xml:space="preserve">р</w:t>
      </w:r>
      <w:r>
        <w:rPr>
          <w:bCs/>
          <w:sz w:val="24"/>
          <w:szCs w:val="24"/>
        </w:rPr>
        <w:t xml:space="preserve">аскрывать Информацию своим работникам, членам органов управления и контроля, акционерам и аудиторам только в случае служебной необходимости в объеме, требуемом для исполнения Договора, оставаясь ответственным за действия таких лиц, как за свои собственные;</w:t>
      </w:r>
      <w:bookmarkEnd w:id="18"/>
      <w:r/>
      <w:r>
        <w:rPr>
          <w:bCs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 разглашать третьим лицам факты передачи или получения Информации.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/>
      <w:bookmarkStart w:id="19" w:name="_Ref361337863"/>
      <w:r>
        <w:rPr>
          <w:bCs/>
          <w:sz w:val="24"/>
          <w:szCs w:val="24"/>
        </w:rPr>
        <w:t xml:space="preserve">Лицензиат, нарушивший условия настоящего раздела Договора, возмещает Сублицензиату убытки, вызванные таким нарушением, в течение 10 (десяти) календарных дней с даты получения соответствующего письменного требования Сублицензиата.</w:t>
      </w:r>
      <w:bookmarkEnd w:id="19"/>
      <w:r/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tabs>
          <w:tab w:val="clear" w:pos="709" w:leader="none"/>
          <w:tab w:val="left" w:pos="113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Сублицензиат обязуется обеспечить повторение условий Договора в части соблюдения режима конфиденциальности Информации в договорах, заключаемых с Субсублицензиатами, если это применимо. 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Условия защиты Информации, представляемой Сторонами друг другу, могут быть дополнительно урегулированы отдельно заключаемым Сторонами соглашением.</w:t>
      </w:r>
      <w:r>
        <w:rPr>
          <w:bCs/>
          <w:sz w:val="24"/>
          <w:szCs w:val="24"/>
        </w:rPr>
      </w:r>
    </w:p>
    <w:p>
      <w:pPr>
        <w:pStyle w:val="889"/>
        <w:ind w:left="0" w:firstLine="709"/>
        <w:jc w:val="both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284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Антикоррупционная</w:t>
      </w:r>
      <w:r>
        <w:rPr>
          <w:b/>
          <w:bCs/>
          <w:sz w:val="24"/>
          <w:szCs w:val="24"/>
        </w:rPr>
        <w:t xml:space="preserve"> оговорка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134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Стороны</w:t>
      </w:r>
      <w:r>
        <w:rPr>
          <w:color w:val="000000"/>
          <w:sz w:val="24"/>
          <w:szCs w:val="24"/>
        </w:rPr>
        <w:t xml:space="preserve"> обязуются обеспечить, чтобы при исполнении обязательств, возникающих по договору или в связи с ним, их аффилированные лица, работники и / или предста</w:t>
      </w:r>
      <w:r>
        <w:rPr>
          <w:color w:val="000000"/>
          <w:sz w:val="24"/>
          <w:szCs w:val="24"/>
        </w:rPr>
        <w:t xml:space="preserve">вители не осуществляли, прямо или косвенно не предлагали и 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</w:t>
      </w:r>
      <w:r>
        <w:rPr>
          <w:color w:val="000000"/>
          <w:sz w:val="24"/>
          <w:szCs w:val="24"/>
        </w:rPr>
        <w:t xml:space="preserve">роны, а также лицам, аффилированным по отношению к таким работникам и / 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исполнении своих обязательств по Договору, Стороны, их аффилированные лица, работники и / или представители </w:t>
      </w:r>
      <w:r>
        <w:rPr>
          <w:sz w:val="24"/>
          <w:szCs w:val="24"/>
        </w:rPr>
        <w:t xml:space="preserve">также</w:t>
      </w:r>
      <w:r>
        <w:rPr>
          <w:color w:val="000000"/>
          <w:sz w:val="24"/>
          <w:szCs w:val="24"/>
        </w:rPr>
        <w:t xml:space="preserve"> обязуются не осуществлять действия, квалифицируемые Применимым для</w:t>
      </w:r>
      <w:r>
        <w:rPr>
          <w:color w:val="000000"/>
          <w:sz w:val="24"/>
          <w:szCs w:val="24"/>
        </w:rPr>
        <w:t xml:space="preserve"> целей Договора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 коррупции, легализации (отмыванию) доходов, полученных преступным путем.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возникновения у любой Стороны обоснованных предположений, что в процессе исполнения </w:t>
      </w:r>
      <w:r>
        <w:rPr>
          <w:sz w:val="24"/>
          <w:szCs w:val="24"/>
        </w:rPr>
        <w:t xml:space="preserve">Договора</w:t>
      </w:r>
      <w:r>
        <w:rPr>
          <w:color w:val="000000"/>
          <w:sz w:val="24"/>
          <w:szCs w:val="24"/>
        </w:rPr>
        <w:t xml:space="preserve"> произошло или может произойти нарушение каких-либо положений настоящего раздела Договора, такая Сторона обязуется письменно уведо</w:t>
      </w:r>
      <w:r>
        <w:rPr>
          <w:color w:val="000000"/>
          <w:sz w:val="24"/>
          <w:szCs w:val="24"/>
        </w:rPr>
        <w:t xml:space="preserve">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что произошло или может произойти нарушение положений настоящего раздела.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Стороны, что нарушения не </w:t>
      </w:r>
      <w:r>
        <w:rPr>
          <w:sz w:val="24"/>
          <w:szCs w:val="24"/>
        </w:rPr>
        <w:t xml:space="preserve">произошло</w:t>
      </w:r>
      <w:r>
        <w:rPr>
          <w:color w:val="000000"/>
          <w:sz w:val="24"/>
          <w:szCs w:val="24"/>
        </w:rPr>
        <w:t xml:space="preserve">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Стороны гарантируют осуществление надлежащего разбирательства по фактам нарушения </w:t>
      </w:r>
      <w:r>
        <w:rPr>
          <w:sz w:val="24"/>
          <w:szCs w:val="24"/>
        </w:rPr>
        <w:t xml:space="preserve">положений</w:t>
      </w:r>
      <w:r>
        <w:rPr>
          <w:color w:val="000000"/>
          <w:sz w:val="24"/>
          <w:szCs w:val="24"/>
        </w:rPr>
        <w:t xml:space="preserve"> настоящего раздела Договора с соблюдением принципов конфиденциальнос</w:t>
      </w:r>
      <w:r>
        <w:rPr>
          <w:color w:val="000000"/>
          <w:sz w:val="24"/>
          <w:szCs w:val="24"/>
        </w:rPr>
        <w:t xml:space="preserve">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подтверждения факта нарушения одной Стороной положений настоящего раздела Договора и/или неполучения </w:t>
      </w:r>
      <w:r>
        <w:rPr>
          <w:sz w:val="24"/>
          <w:szCs w:val="24"/>
        </w:rPr>
        <w:t xml:space="preserve">другой</w:t>
      </w:r>
      <w:r>
        <w:rPr>
          <w:color w:val="000000"/>
          <w:sz w:val="24"/>
          <w:szCs w:val="24"/>
        </w:rPr>
        <w:t xml:space="preserve"> Стороной информации о</w:t>
      </w:r>
      <w:r>
        <w:rPr>
          <w:color w:val="000000"/>
          <w:sz w:val="24"/>
          <w:szCs w:val="24"/>
        </w:rPr>
        <w:t xml:space="preserve">б итогах рассмотрения уведомления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Договора. </w:t>
      </w:r>
      <w:r>
        <w:rPr>
          <w:color w:val="000000"/>
          <w:sz w:val="24"/>
          <w:szCs w:val="24"/>
        </w:rPr>
      </w:r>
    </w:p>
    <w:p>
      <w:pPr>
        <w:pStyle w:val="814"/>
        <w:numPr>
          <w:ilvl w:val="1"/>
          <w:numId w:val="8"/>
        </w:numPr>
        <w:ind w:left="1146" w:hanging="437"/>
        <w:spacing w:line="240" w:lineRule="auto"/>
        <w:shd w:val="clear" w:color="auto" w:fill="ffffff"/>
        <w:widowControl w:val="off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Каналы</w:t>
      </w:r>
      <w:r>
        <w:rPr>
          <w:color w:val="000000"/>
          <w:sz w:val="24"/>
          <w:szCs w:val="24"/>
        </w:rPr>
        <w:t xml:space="preserve"> связи Линия доверия Группы РусГидро: </w:t>
      </w:r>
      <w:r>
        <w:rPr>
          <w:color w:val="000000"/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1854" w:hanging="1145"/>
        <w:jc w:val="both"/>
        <w:shd w:val="clear" w:color="auto" w:fill="ffffff"/>
        <w:widowControl w:val="off"/>
        <w:tabs>
          <w:tab w:val="left" w:pos="567" w:leader="none"/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Электронная почта: ld@rushydro.ru.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widowControl w:val="off"/>
        <w:tabs>
          <w:tab w:val="left" w:pos="567" w:leader="none"/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Специальная форма «обратной связи», размещенная на официальном сайте ПАО «РусГидро» в сети интернет: http://www.rushydro.ru/ (далее перейти по ссылке «Линия доверия» и заполнить поля специальной формы «обратной связи»);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widowControl w:val="off"/>
        <w:tabs>
          <w:tab w:val="left" w:pos="284" w:leader="none"/>
          <w:tab w:val="left" w:pos="567" w:leader="none"/>
          <w:tab w:val="clear" w:pos="709" w:leader="none"/>
          <w:tab w:val="left" w:pos="1418" w:leader="none"/>
        </w:tabs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  <w:r>
        <w:rPr>
          <w:color w:val="0000ff"/>
          <w:sz w:val="24"/>
          <w:szCs w:val="24"/>
          <w:u w:val="single"/>
        </w:rPr>
      </w:r>
    </w:p>
    <w:p>
      <w:pPr>
        <w:pStyle w:val="889"/>
        <w:ind w:left="0" w:firstLine="709"/>
        <w:jc w:val="both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284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Разрешение</w:t>
      </w:r>
      <w:r>
        <w:rPr>
          <w:b/>
          <w:bCs/>
          <w:sz w:val="24"/>
          <w:szCs w:val="24"/>
        </w:rPr>
        <w:t xml:space="preserve"> споров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/>
      <w:bookmarkStart w:id="20" w:name="_Ref62114633"/>
      <w:r>
        <w:rPr>
          <w:bCs/>
          <w:sz w:val="24"/>
          <w:szCs w:val="24"/>
        </w:rPr>
        <w:t xml:space="preserve">Все споры, разногласия и требования, возникающие между Сторонами из Договора или в связи с ним, в том числе связанные с его заключением, исполнением, изменением, прекращением (расторжением) и / или действительностью, разрешаются путем переговоров.</w:t>
      </w:r>
      <w:bookmarkEnd w:id="20"/>
      <w:r/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Споры, указанные в пункте 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REF _Ref62114633 \r \h </w:instrText>
      </w:r>
      <w:r>
        <w:rPr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t xml:space="preserve">9.1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 Договора, которые не были урегулированы Сторонами путем переговоров, подлежат разрешению в Арбитражном суде города Санкт-Петербурга и Ленинградской области в соответствии с законодательством Российской Федерации.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</w:rPr>
        <w:t xml:space="preserve">Сторонами применяется обяза</w:t>
      </w:r>
      <w:r>
        <w:rPr>
          <w:bCs/>
          <w:sz w:val="24"/>
          <w:szCs w:val="24"/>
          <w:highlight w:val="white"/>
        </w:rPr>
        <w:t xml:space="preserve">тельный досудебный (претензионный) порядок разрешения споров. Сторона, права которой нарушены, до обращения в суд направляет другой Стороне письменную претензию с изложением своих требований. Претензии направляются в порядке, предусмотренном пунктом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 REF _Ref528731596 \r \h 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13.8</w:t>
      </w:r>
      <w:r>
        <w:rPr>
          <w:sz w:val="24"/>
          <w:szCs w:val="24"/>
          <w:highlight w:val="white"/>
        </w:rPr>
        <w:fldChar w:fldCharType="end"/>
      </w:r>
      <w:r>
        <w:rPr>
          <w:bCs/>
          <w:sz w:val="24"/>
          <w:szCs w:val="24"/>
          <w:highlight w:val="white"/>
        </w:rPr>
        <w:t xml:space="preserve"> Договора.</w:t>
      </w:r>
      <w:r>
        <w:rPr>
          <w:bCs/>
          <w:sz w:val="24"/>
          <w:szCs w:val="24"/>
          <w:highlight w:val="white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Срок для рассмотрения претензии – 20 (двадцать) рабочих дней со дня </w:t>
        <w:br/>
        <w:t xml:space="preserve">ее получения. Если в указанный срок требования не удовлетворены и не направлены мотивированные возражения, то Сторона, право которой нарушено, вправе обратиться </w:t>
        <w:br/>
        <w:t xml:space="preserve">с иском в суд.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Условия настоящего раздела сохраняют свою силу в случае признания Договора незаключенным и / или недействительным.</w:t>
      </w:r>
      <w:r>
        <w:rPr>
          <w:bCs/>
          <w:sz w:val="24"/>
          <w:szCs w:val="24"/>
        </w:rPr>
      </w:r>
    </w:p>
    <w:p>
      <w:pPr>
        <w:pStyle w:val="889"/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426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Обстоятельства</w:t>
      </w:r>
      <w:r>
        <w:rPr>
          <w:b/>
          <w:bCs/>
          <w:sz w:val="24"/>
          <w:szCs w:val="24"/>
        </w:rPr>
        <w:t xml:space="preserve"> непреодолимой силы (форс-мажор)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Стороны освобождаются от ответственности за неисполнение </w:t>
        <w:br/>
        <w:t xml:space="preserve">или ненадлежащее исполнение обязательств по Договору, возникшее вследствие непреодолимой </w:t>
      </w:r>
      <w:r>
        <w:rPr>
          <w:bCs/>
          <w:sz w:val="24"/>
          <w:szCs w:val="24"/>
        </w:rPr>
        <w:t xml:space="preserve">силы, то есть чрезвычайных и непредотвратимых при данных условиях обстоятельств, которые возникли после заключения Договора, и которые Стороны не могли ни предвидеть, ни предотвратить разумными мерами, в том числе: стихийные бедствия (землетрясение, наводн</w:t>
      </w:r>
      <w:r>
        <w:rPr>
          <w:bCs/>
          <w:sz w:val="24"/>
          <w:szCs w:val="24"/>
        </w:rPr>
        <w:t xml:space="preserve">ение, ураган), пожар, массовые заболевания (эпидемии), забастовки, военные действия, террористические акты, диверсии, и других, не зависящих от воли Сторон обстоятельств, повлекших за собой невозможность выполнения Сторонами своих обязательств по Договору.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Сторона имеет право ссылаться на обстоятельства непреодолимой силы только </w:t>
        <w:br/>
        <w:t xml:space="preserve">в случае, если такие обстоятельства непосредственно повлияли на возможность исполнения этой Стороной условий Договора.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Сторона, для которой наступили обстоятельства непреодолимой силы, должна незамедлительно, но в любом случае не позднее 5 </w:t>
      </w:r>
      <w:r>
        <w:rPr>
          <w:bCs/>
          <w:sz w:val="24"/>
          <w:szCs w:val="24"/>
        </w:rPr>
        <w:t xml:space="preserve">(пяти) календарных дней с момента возникновения таких обстоятельств, письменно известить другую Сторону о наступлении </w:t>
        <w:br/>
        <w:t xml:space="preserve">и предполагаемом сроке действия обстоятельств непреодолимой силы, и в разумный срок представить необходимые документальные подтверждения.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Надлежащим (достаточным) доказательством наличия / возникновения и про</w:t>
      </w:r>
      <w:r>
        <w:rPr>
          <w:bCs/>
          <w:sz w:val="24"/>
          <w:szCs w:val="24"/>
        </w:rPr>
        <w:t xml:space="preserve">должительности действия обстоятельств непреодолимой силы являются документы, выдаваемые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Отсутствие уведомления или не</w:t>
      </w:r>
      <w:r>
        <w:rPr>
          <w:bCs/>
          <w:sz w:val="24"/>
          <w:szCs w:val="24"/>
        </w:rPr>
        <w:t xml:space="preserve">своевременное уведомление </w:t>
        <w:br/>
        <w:t xml:space="preserve">об обстоятельствах непреодолимой силы лишает соответствующую Сторону права </w:t>
        <w:br/>
        <w:t xml:space="preserve">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 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276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наличии обстоятельств непреодолимой силы сроки выполнения Сторонами обязательств по Договору продлеваются на время, в течение которого действуют обстоя</w:t>
      </w:r>
      <w:r>
        <w:rPr>
          <w:bCs/>
          <w:sz w:val="24"/>
          <w:szCs w:val="24"/>
        </w:rPr>
        <w:t xml:space="preserve">тельства непреодолимой силы либо на время, необходимое для устранения Сторонами последствий действия таких обстоятельств. В случае если обстоятельства непреодолимой силы продолжают действовать более 30 (тридцати) календарных дней либо сроки, требующиеся дл</w:t>
      </w:r>
      <w:r>
        <w:rPr>
          <w:bCs/>
          <w:sz w:val="24"/>
          <w:szCs w:val="24"/>
        </w:rPr>
        <w:t xml:space="preserve">я устранения Сторонами последствий действия таких обстоятельств непреодолимой силы, превышают указанный срок, Стороны обязуются в кратчайший срок провести переговоры с целью выявления приемлемых для обеих Сторон альтернативных способов исполнения Договора.</w:t>
      </w:r>
      <w:r>
        <w:rPr>
          <w:bCs/>
          <w:sz w:val="24"/>
          <w:szCs w:val="24"/>
        </w:rPr>
      </w:r>
    </w:p>
    <w:p>
      <w:pPr>
        <w:pStyle w:val="814"/>
        <w:ind w:firstLine="709"/>
        <w:spacing w:line="240" w:lineRule="auto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426" w:leader="none"/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Заверения</w:t>
      </w:r>
      <w:r>
        <w:rPr>
          <w:b/>
          <w:sz w:val="24"/>
          <w:szCs w:val="24"/>
        </w:rPr>
        <w:t xml:space="preserve"> Сторон</w:t>
      </w:r>
      <w:r>
        <w:rPr>
          <w:b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Cs/>
          <w:sz w:val="24"/>
          <w:szCs w:val="24"/>
        </w:rPr>
        <w:t xml:space="preserve">Каждая</w:t>
      </w:r>
      <w:r>
        <w:rPr>
          <w:sz w:val="24"/>
          <w:szCs w:val="24"/>
        </w:rPr>
        <w:t xml:space="preserve"> из Сторон заявляет и подтверждает другой Стороне, что: </w:t>
      </w:r>
      <w:r>
        <w:rPr>
          <w:sz w:val="24"/>
          <w:szCs w:val="24"/>
        </w:rPr>
      </w:r>
    </w:p>
    <w:p>
      <w:pPr>
        <w:pStyle w:val="814"/>
        <w:numPr>
          <w:ilvl w:val="0"/>
          <w:numId w:val="3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она является юридическим лицом, надлежащим образом учрежденным и правомерно осуществляющим свою деятельность в соответствии с законодательством Российской Федерации;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3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она обладает полной правоспособностью на заключение Договора и исполнение всех своих обязательств, возникающих из Договора или в связи с ним;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3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она получила все корпоративные одо</w:t>
      </w:r>
      <w:r>
        <w:rPr>
          <w:sz w:val="24"/>
          <w:szCs w:val="24"/>
        </w:rPr>
        <w:t xml:space="preserve">брения Договора органами управления по основаниям, установленным законодательством Российской Федерации и / или учредительными документами такой Стороны, а также согласования и разрешения органов и иных лиц необходимые для заключения и исполнения Договора;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3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лица, подписывающие от имени Сторон Договор, надлежащим образом уполномочены на его подписание;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3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она располагает ресурсами, необходимыми и достаточными для своевременного и надлежащего исполнения обязательств, возникающих из Договора или в связи с ним.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заявляет и заверяет Сублицензиата, что</w:t>
      </w:r>
      <w:r>
        <w:rPr>
          <w:bCs/>
          <w:sz w:val="24"/>
          <w:szCs w:val="24"/>
        </w:rPr>
        <w:t xml:space="preserve"> на момент заключения Договора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</w:r>
    </w:p>
    <w:p>
      <w:pPr>
        <w:pStyle w:val="889"/>
        <w:numPr>
          <w:ilvl w:val="0"/>
          <w:numId w:val="3"/>
        </w:numPr>
        <w:ind w:left="0" w:firstLine="709"/>
        <w:jc w:val="both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неисключительное право на ПО, указанное в пункте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_Ref55840208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Договора, не отчуждено, не арестовано, не заложено, не передано в доверительное управление</w:t>
      </w:r>
      <w:r>
        <w:rPr>
          <w:sz w:val="24"/>
          <w:szCs w:val="24"/>
        </w:rPr>
        <w:t xml:space="preserve">, в уставной (складочный) капитал третьих лиц, отсутствуют иные права третьих лиц в отношении ПО, не является предметом судебного, административного или иного разбирательства, не обременено правами третьих лиц, вытекающими из лицензионных и иных договоров;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3"/>
        </w:numPr>
        <w:ind w:left="0" w:firstLine="709"/>
        <w:jc w:val="both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bCs/>
          <w:sz w:val="24"/>
          <w:szCs w:val="24"/>
        </w:rPr>
        <w:t xml:space="preserve">ПО</w:t>
      </w:r>
      <w:r>
        <w:rPr>
          <w:sz w:val="24"/>
          <w:szCs w:val="24"/>
        </w:rPr>
        <w:t xml:space="preserve"> не используются никакие элементы, права на которые принадлежат третьим лицам, и которые могут уменьшить или ограничить неисключительное право на ПО, в том числе возможность распоряжения таким ПО;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3"/>
        </w:numPr>
        <w:ind w:left="0" w:firstLine="709"/>
        <w:jc w:val="both"/>
        <w:shd w:val="clear" w:color="auto" w:fill="ffffff"/>
        <w:tabs>
          <w:tab w:val="left" w:pos="709" w:leader="none"/>
          <w:tab w:val="left" w:pos="1418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Лицензиат </w:t>
      </w:r>
      <w:r>
        <w:rPr>
          <w:bCs/>
          <w:sz w:val="24"/>
          <w:szCs w:val="24"/>
        </w:rPr>
        <w:t xml:space="preserve">вправе предоставлять право использования </w:t>
      </w:r>
      <w:r>
        <w:rPr>
          <w:sz w:val="24"/>
          <w:szCs w:val="24"/>
        </w:rPr>
        <w:t xml:space="preserve">ПО</w:t>
      </w:r>
      <w:r>
        <w:rPr>
          <w:bCs/>
          <w:sz w:val="24"/>
          <w:szCs w:val="24"/>
        </w:rPr>
        <w:t xml:space="preserve"> на условиях Договора, и что ему ничего не известно о правах третьих лиц, которые могли бы быть нарушены предоставлением прав использования </w:t>
      </w:r>
      <w:r>
        <w:rPr>
          <w:sz w:val="24"/>
          <w:szCs w:val="24"/>
        </w:rPr>
        <w:t xml:space="preserve">ПО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Лицензиат заявляет и заверяет Сублицензиата в том, что на момент заключения Договора:</w:t>
      </w:r>
      <w:r>
        <w:rPr>
          <w:bCs/>
          <w:sz w:val="24"/>
          <w:szCs w:val="24"/>
        </w:rPr>
      </w:r>
    </w:p>
    <w:p>
      <w:pPr>
        <w:pStyle w:val="814"/>
        <w:numPr>
          <w:ilvl w:val="0"/>
          <w:numId w:val="5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фактически находится по адресу, указанному в Едином государственном реестре юридических лиц; </w:t>
      </w:r>
      <w:r>
        <w:rPr>
          <w:sz w:val="24"/>
          <w:szCs w:val="24"/>
        </w:rPr>
      </w:r>
    </w:p>
    <w:p>
      <w:pPr>
        <w:pStyle w:val="814"/>
        <w:numPr>
          <w:ilvl w:val="0"/>
          <w:numId w:val="5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своевременно и в полном объеме уплачивает налоги и сборы в соответствии с законодательством Российской Федерации;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4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567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не находится в процедуре несостоятельности (банкротства) в соответствии с законодательством Российской Федерации; отсутствуют любые обстоятельства, включая, но не о</w:t>
      </w:r>
      <w:r>
        <w:rPr>
          <w:sz w:val="24"/>
          <w:szCs w:val="24"/>
        </w:rPr>
        <w:t xml:space="preserve">граничиваясь: решения судов различных юрисдикций, решения органов государственной власти и должностных лиц, иные обстоятельства способные повлиять на возможность Лицензиата должным образом исполнять обязательства, возникающие из Договору или в связи с ним;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4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567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тщательно изучил всю информацию, и принимает на себя все расходы, риски и трудности исполнения обязательств, возникающих из Договора или в связи с ним; </w:t>
      </w:r>
      <w:r>
        <w:rPr>
          <w:sz w:val="24"/>
          <w:szCs w:val="24"/>
        </w:rPr>
      </w:r>
    </w:p>
    <w:p>
      <w:pPr>
        <w:pStyle w:val="814"/>
        <w:numPr>
          <w:ilvl w:val="0"/>
          <w:numId w:val="4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567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тщательно изучил все регламенты Сублицензиата и подтверждает готовность неукоснительного соблюдения в полном объеме предъявляемых Сублицензиатом требований;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4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567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своевременно и в полном объеме в соответствии с законодательством Российской Федерации намерен отражать все финансово-хозяйственные операции, связанные с исполнением Договора;</w:t>
      </w:r>
      <w:r>
        <w:rPr>
          <w:sz w:val="24"/>
          <w:szCs w:val="24"/>
        </w:rPr>
      </w:r>
    </w:p>
    <w:p>
      <w:pPr>
        <w:pStyle w:val="814"/>
        <w:numPr>
          <w:ilvl w:val="0"/>
          <w:numId w:val="4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567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Лицензиат имеет все необходимые разрешения, лицензии, сертификаты и иные разрешительные формы документов, необходимые для осуществления своей деятельности в соответствии с действующим законодательством РФ;</w:t>
      </w:r>
      <w:bookmarkStart w:id="21" w:name="_GoBack"/>
      <w:r/>
      <w:bookmarkEnd w:id="21"/>
      <w:r/>
      <w:r>
        <w:rPr>
          <w:sz w:val="24"/>
          <w:szCs w:val="24"/>
        </w:rPr>
      </w:r>
    </w:p>
    <w:p>
      <w:pPr>
        <w:pStyle w:val="814"/>
        <w:numPr>
          <w:ilvl w:val="0"/>
          <w:numId w:val="4"/>
        </w:numPr>
        <w:contextualSpacing/>
        <w:ind w:left="0" w:firstLine="709"/>
        <w:spacing w:before="0" w:after="0" w:line="240" w:lineRule="auto"/>
        <w:shd w:val="clear" w:color="auto" w:fill="ffffff"/>
        <w:tabs>
          <w:tab w:val="left" w:pos="567" w:leader="none"/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вся информация, предоставленная Сублицензиату, является достоверной, полной и точной, и Лицензиат не скрыл никаких обстоятельств, которые при их обнаружении могли бы негативно повлиять на решение Сублицензиата заключить Договор на указанных в нем условиях.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 заключении и исполнении Договора каждая Сторона полагается на достоверность, точность и полноту заверений другой Стороны, изложенных в настоящем разделе </w:t>
      </w:r>
      <w:r>
        <w:rPr>
          <w:bCs/>
          <w:sz w:val="24"/>
          <w:szCs w:val="24"/>
        </w:rPr>
        <w:t xml:space="preserve">Договора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</w:t>
      </w:r>
      <w:r>
        <w:rPr>
          <w:bCs/>
          <w:sz w:val="24"/>
          <w:szCs w:val="24"/>
        </w:rPr>
        <w:t xml:space="preserve">Лицензиат</w:t>
      </w:r>
      <w:r>
        <w:rPr>
          <w:sz w:val="24"/>
          <w:szCs w:val="24"/>
        </w:rPr>
        <w:t xml:space="preserve"> при заключении Договора предоставил Сублицензиату недостоверные заверения о любом из указанных в настоящем разделе обстоятельств, имеющих существенное значение для заключения и исполнения Договора, </w:t>
      </w:r>
      <w:r>
        <w:rPr>
          <w:bCs/>
          <w:sz w:val="24"/>
          <w:szCs w:val="24"/>
        </w:rPr>
        <w:t xml:space="preserve">Лицензиат </w:t>
      </w:r>
      <w:r>
        <w:rPr>
          <w:sz w:val="24"/>
          <w:szCs w:val="24"/>
        </w:rPr>
        <w:t xml:space="preserve">обязан по письменному требованию Сублицензиата возместить убытки, причиненные недостоверностью таких заверений.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Недостоверность, неточность или неполнота любых указанных в настоящем разделе обстоятельств в значительной степени лишает получ</w:t>
      </w:r>
      <w:r>
        <w:rPr>
          <w:bCs/>
          <w:sz w:val="24"/>
          <w:szCs w:val="24"/>
        </w:rPr>
        <w:t xml:space="preserve">ившую указанные заверения Сторону того, на что она была вправе рассчитывать при заключении Договора, и дает ей право на односторонний отказ от Договора без возмещения другой Стороне каких-либо убытков, причиненных отказом от Договора (исполнения Договора).</w:t>
      </w:r>
      <w:r>
        <w:rPr>
          <w:bCs/>
          <w:sz w:val="24"/>
          <w:szCs w:val="24"/>
        </w:rPr>
      </w:r>
    </w:p>
    <w:p>
      <w:pPr>
        <w:pStyle w:val="814"/>
        <w:ind w:firstLine="0"/>
        <w:spacing w:line="240" w:lineRule="auto"/>
        <w:shd w:val="clear" w:color="auto" w:fill="ffffff"/>
        <w:tabs>
          <w:tab w:val="clear" w:pos="709" w:leader="none"/>
          <w:tab w:val="left" w:pos="1418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426" w:leader="none"/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(расторжение) Договора</w:t>
      </w:r>
      <w:r>
        <w:rPr>
          <w:b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Договор может быть прекращен (расторгнут) по соглашению Сторон. Сторона, имеющая намерение </w:t>
      </w:r>
      <w:r>
        <w:rPr>
          <w:bCs/>
          <w:sz w:val="24"/>
          <w:szCs w:val="24"/>
        </w:rPr>
        <w:t xml:space="preserve">расторгнуть</w:t>
      </w:r>
      <w:r>
        <w:rPr>
          <w:sz w:val="24"/>
          <w:szCs w:val="24"/>
        </w:rPr>
        <w:t xml:space="preserve"> Договор, направляет письменное уведомление об этом другой Стороне в порядке, предусмотренном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_Ref55832932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13.8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Договора, с приложением подписанного соглашения о расторжении Договора. Уведомление о расторжении Договора должно быть рассмотрено Стороной-получателем в течение 15 (пятнадцати) календарных дней со дня его получения.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 существенного нарушения Договора Лицензиатом Сублицензиат вправе в одностороннем внесудебном порядке отказаться от Договора и потребовать полного возмещения Лицензиатом убытков, причиненных отказом от Договора (исполнения Договора).</w:t>
      </w:r>
      <w:r>
        <w:rPr>
          <w:sz w:val="24"/>
          <w:szCs w:val="24"/>
        </w:rPr>
      </w:r>
    </w:p>
    <w:p>
      <w:pPr>
        <w:pStyle w:val="814"/>
        <w:contextualSpacing/>
        <w:ind w:firstLine="709"/>
        <w:spacing w:before="0" w:after="0" w:line="240" w:lineRule="auto"/>
        <w:shd w:val="clear" w:color="auto" w:fill="ffffff"/>
        <w:tabs>
          <w:tab w:val="clear" w:pos="709" w:leader="none"/>
          <w:tab w:val="left" w:pos="1134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Сублицензиат одновременно с уведомлением об отказе от Договора (исполнения Догово</w:t>
      </w:r>
      <w:r>
        <w:rPr>
          <w:sz w:val="24"/>
          <w:szCs w:val="24"/>
        </w:rPr>
        <w:t xml:space="preserve">ра) направляет Лицензиату письменное требование о возмещении убытков с приложением расчета суммы убытков. Лицензиат обязан оплатить Сублицензиату убытки не позднее 15 (пятнадцати) календарных дней с момента получения расчета суммы убытков от Сублицензиата.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Стороны установили, что существенным нарушением Договора является: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rPr>
          <w:sz w:val="24"/>
          <w:szCs w:val="24"/>
        </w:rPr>
      </w:pPr>
      <w:r/>
      <w:bookmarkStart w:id="22" w:name="_Ref55840320"/>
      <w:r>
        <w:rPr>
          <w:sz w:val="24"/>
          <w:szCs w:val="24"/>
        </w:rPr>
        <w:t xml:space="preserve">Установление Лицензиатом факта нарушения Сублицензиатом пределов (объема) и способов использования ПО, право использования которых передано по Договору;</w:t>
      </w:r>
      <w:bookmarkEnd w:id="22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Нарушение сроков передачи прав на ПО, установленных договором, более чем на 15 (пятнадцать) календарных дней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701" w:leader="none"/>
        </w:tabs>
        <w:rPr>
          <w:sz w:val="24"/>
          <w:szCs w:val="24"/>
        </w:rPr>
      </w:pPr>
      <w:r/>
      <w:bookmarkStart w:id="23" w:name="_Ref55840335"/>
      <w:r>
        <w:rPr>
          <w:sz w:val="24"/>
          <w:szCs w:val="24"/>
        </w:rPr>
        <w:t xml:space="preserve">Неисполнение Сублицензиатом обязательств по выплате Лицензиату вознаграждения за предоставленное право использования ПО в срок, установленный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_Ref72506971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2.3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Договора.</w:t>
      </w:r>
      <w:bookmarkEnd w:id="23"/>
      <w:r/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 отказа Лицензиата от Договора в случаях, предусмотренных Договором, последний считается прекращенным (расторгнутым):</w:t>
      </w:r>
      <w:r>
        <w:rPr>
          <w:sz w:val="24"/>
          <w:szCs w:val="24"/>
        </w:rPr>
      </w:r>
    </w:p>
    <w:p>
      <w:pPr>
        <w:pStyle w:val="889"/>
        <w:numPr>
          <w:ilvl w:val="0"/>
          <w:numId w:val="6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указанном в пункте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_Ref55840320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12.3.1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 – со дня, следующего за днем получения Сублицензиатом уведомления Лицензиата об отказе от Договора (исполнения Договора);</w:t>
      </w:r>
      <w:r>
        <w:rPr>
          <w:sz w:val="24"/>
          <w:szCs w:val="24"/>
        </w:rPr>
      </w:r>
    </w:p>
    <w:p>
      <w:pPr>
        <w:pStyle w:val="889"/>
        <w:numPr>
          <w:ilvl w:val="0"/>
          <w:numId w:val="6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указанном в пункте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_Ref55840335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12.3.3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 – по истечении 30 (тридцати) календарных дней с даты получения Сублицензиатом уведомления Лицензиата об отказе от Договора (исполнения Договора), если в указанный срок Сублицензиат не исполнит обязанность по уплате вознаграждения.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 даты</w:t>
      </w:r>
      <w:r>
        <w:rPr>
          <w:sz w:val="24"/>
          <w:szCs w:val="24"/>
        </w:rPr>
        <w:t xml:space="preserve"> прекращения (расторжения) Договора Сублицензиат обязан прекратить использование ПО, право использования которой предоставлено по Договору, и в согласованные Сторонами сроки передать Лицензиату ранее полученные Дистрибутив и Эксплуатационную документацию.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 прекращении (расторжении) </w:t>
      </w:r>
      <w:r>
        <w:rPr>
          <w:sz w:val="24"/>
          <w:szCs w:val="24"/>
        </w:rPr>
        <w:t xml:space="preserve">Договора по основаниям, указанным в настоящем разделе, все обязательства Сторон по Договору считаются прекратившимися, за исключением обязательств Лицензиата по возмещению неустойки (пени), штрафов и убытков в случаях и размерах, предусмотренных Договором.</w:t>
      </w:r>
      <w:r>
        <w:rPr>
          <w:sz w:val="24"/>
          <w:szCs w:val="24"/>
        </w:rPr>
      </w:r>
    </w:p>
    <w:p>
      <w:pPr>
        <w:pStyle w:val="889"/>
        <w:ind w:left="0" w:firstLine="709"/>
        <w:jc w:val="both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426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Заключительные положения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Договор вступает в силу с даты его подписания Сторонами и </w:t>
      </w:r>
      <w:r>
        <w:rPr>
          <w:bCs/>
          <w:sz w:val="24"/>
          <w:szCs w:val="24"/>
        </w:rPr>
        <w:t xml:space="preserve">действует до полного выполнения сторонами своих обязательств.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 xml:space="preserve">Договор заключается в электро</w:t>
      </w:r>
      <w:r>
        <w:rPr>
          <w:sz w:val="24"/>
          <w:szCs w:val="24"/>
          <w:highlight w:val="lightGray"/>
        </w:rPr>
        <w:t xml:space="preserve">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(далее – УКЭП) уполномоченных представителей Сторон.</w:t>
      </w:r>
      <w:r>
        <w:rPr>
          <w:sz w:val="24"/>
          <w:szCs w:val="24"/>
          <w:highlight w:val="lightGray"/>
        </w:rPr>
      </w:r>
    </w:p>
    <w:p>
      <w:pPr>
        <w:pStyle w:val="814"/>
        <w:ind w:left="0" w:right="0" w:firstLine="709"/>
        <w:jc w:val="both"/>
        <w:spacing w:before="0" w:after="0" w:line="240" w:lineRule="auto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 xml:space="preserve"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</w:t>
      </w:r>
      <w:r>
        <w:rPr>
          <w:rStyle w:val="852"/>
          <w:sz w:val="24"/>
          <w:szCs w:val="24"/>
          <w:highlight w:val="lightGray"/>
        </w:rPr>
        <w:footnoteReference w:id="4"/>
      </w:r>
      <w:r>
        <w:rPr>
          <w:sz w:val="24"/>
          <w:szCs w:val="24"/>
          <w:highlight w:val="lightGray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Все</w:t>
      </w:r>
      <w:r>
        <w:rPr>
          <w:sz w:val="24"/>
          <w:szCs w:val="24"/>
        </w:rPr>
        <w:t xml:space="preserve"> изменения и дополнения к Договору действительны при условии, что они совершены в письменной форме в виде единого документа и подписаны уполномоченными представителями Сторона, за исключением случаев изменения реквизитов Сторон, предусмотренных Договором.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Все приложения к Договору, а также любые изменения и дополнения, оформленные надлежащим образом, являются неотъемлемой частью Договора.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В слу</w:t>
      </w:r>
      <w:r>
        <w:rPr>
          <w:sz w:val="24"/>
          <w:szCs w:val="24"/>
          <w:highlight w:val="white"/>
        </w:rPr>
        <w:t xml:space="preserve">чае наличия любых расхождений между содержанием Договора и приложений к нему, приоритет имеет текст Договора.</w:t>
      </w:r>
      <w:r>
        <w:rPr>
          <w:sz w:val="24"/>
          <w:szCs w:val="24"/>
          <w:highlight w:val="white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Обмен информацией между Сторонами по любым вопросам, связанным с исполнением Договора, включая уведомления и иные сообщения, осуществляется только в письменной форме в порядке, предусмотренном пунктом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 REF _Ref55832932 \r \h 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13.8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Договора. Использование средств электронной связи не допускается, за исключением случаев оперативного обмена информацией, которая не влечет возникновения, изменения либо прекращения гражданских прав и обязанностей Стороны.</w:t>
      </w:r>
      <w:r>
        <w:rPr>
          <w:sz w:val="24"/>
          <w:szCs w:val="24"/>
          <w:highlight w:val="white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  <w:highlight w:val="white"/>
        </w:rPr>
      </w:pPr>
      <w:r/>
      <w:bookmarkStart w:id="24" w:name="_Ref361338004"/>
      <w:r>
        <w:rPr>
          <w:sz w:val="24"/>
          <w:szCs w:val="24"/>
          <w:highlight w:val="white"/>
        </w:rPr>
        <w:t xml:space="preserve">Стороны обязуются уведомлять друг друга об изменении адреса и / или реквизитов, указанных в Договоре, не позднее 3 (трех) рабочих дней после такого изменения в порядке, установленном пунктом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 REF _Ref528731596 \r \h 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13.8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Договора.</w:t>
      </w:r>
      <w:bookmarkEnd w:id="24"/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/>
      <w:bookmarkStart w:id="25" w:name="_Ref528731596"/>
      <w:r/>
      <w:bookmarkStart w:id="26" w:name="_Ref55832932"/>
      <w:r>
        <w:rPr>
          <w:sz w:val="24"/>
          <w:szCs w:val="24"/>
          <w:highlight w:val="white"/>
        </w:rPr>
        <w:t xml:space="preserve">Письма, уведомления и / или сообщения направляются Стороне-получателю по адресу ее места нахождения, указанному в разделе </w:t>
      </w:r>
      <w:r>
        <w:rPr>
          <w:sz w:val="24"/>
          <w:szCs w:val="24"/>
          <w:highlight w:val="white"/>
        </w:rPr>
        <w:fldChar w:fldCharType="begin"/>
      </w:r>
      <w:r>
        <w:rPr>
          <w:sz w:val="24"/>
          <w:szCs w:val="24"/>
          <w:highlight w:val="white"/>
        </w:rPr>
        <w:instrText xml:space="preserve"> REF _Ref55832514 \r \h </w:instrText>
      </w:r>
      <w:r>
        <w:rPr>
          <w:sz w:val="24"/>
          <w:szCs w:val="24"/>
          <w:highlight w:val="white"/>
        </w:rPr>
        <w:fldChar w:fldCharType="separate"/>
      </w:r>
      <w:r>
        <w:rPr>
          <w:sz w:val="24"/>
          <w:szCs w:val="24"/>
          <w:highlight w:val="white"/>
        </w:rPr>
        <w:t xml:space="preserve">15</w:t>
      </w:r>
      <w:r>
        <w:rPr>
          <w:sz w:val="24"/>
          <w:szCs w:val="24"/>
          <w:highlight w:val="white"/>
        </w:rPr>
        <w:fldChar w:fldCharType="end"/>
      </w:r>
      <w:r>
        <w:rPr>
          <w:sz w:val="24"/>
          <w:szCs w:val="24"/>
          <w:highlight w:val="white"/>
        </w:rPr>
        <w:t xml:space="preserve"> Договора, ил</w:t>
      </w:r>
      <w:r>
        <w:rPr>
          <w:sz w:val="24"/>
          <w:szCs w:val="24"/>
        </w:rPr>
        <w:t xml:space="preserve">и в ранее полученном уведомлении Стороны об изменении адреса, одним из следующих способов, при этом документ будет считаться полученным:</w:t>
      </w:r>
      <w:bookmarkEnd w:id="26"/>
      <w:r>
        <w:rPr>
          <w:sz w:val="24"/>
          <w:szCs w:val="24"/>
        </w:rPr>
        <w:t xml:space="preserve"> </w:t>
      </w:r>
      <w:bookmarkEnd w:id="25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rPr>
          <w:sz w:val="24"/>
          <w:szCs w:val="24"/>
        </w:rPr>
      </w:pPr>
      <w:r/>
      <w:bookmarkStart w:id="27" w:name="_Ref55840427"/>
      <w:r>
        <w:rPr>
          <w:sz w:val="24"/>
          <w:szCs w:val="24"/>
        </w:rPr>
        <w:t xml:space="preserve">Заказным почтовым отп</w:t>
      </w:r>
      <w:r>
        <w:rPr>
          <w:sz w:val="24"/>
          <w:szCs w:val="24"/>
        </w:rPr>
        <w:t xml:space="preserve">равлением с уведомлением о вручении – в дату фактического вручения почтового отправления, либо в день удостоверения работником почтовой службы факта отказа от принятия такого почтового отправления адресатом / факта отсутствия адресата по указанному адресу;</w:t>
      </w:r>
      <w:bookmarkEnd w:id="27"/>
      <w:r/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rPr>
          <w:sz w:val="24"/>
          <w:szCs w:val="24"/>
        </w:rPr>
      </w:pPr>
      <w:r/>
      <w:bookmarkStart w:id="28" w:name="_Ref55840429"/>
      <w:r>
        <w:rPr>
          <w:sz w:val="24"/>
          <w:szCs w:val="24"/>
        </w:rPr>
        <w:t xml:space="preserve">Доставкой лично или курьером Стороны-отправителя – в дату и время фактического приема уведомления Стороной-получателем с отметкой о получении;</w:t>
      </w:r>
      <w:bookmarkEnd w:id="28"/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ind w:left="0" w:firstLine="709"/>
        <w:jc w:val="both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Посредством электронной почты (e-mail) – в дату направления электронного сообщения, зафиксированную на почтовом сервере отправителя. </w:t>
      </w:r>
      <w:r>
        <w:rPr>
          <w:sz w:val="24"/>
          <w:szCs w:val="24"/>
        </w:rPr>
      </w:r>
    </w:p>
    <w:p>
      <w:pPr>
        <w:pStyle w:val="814"/>
        <w:ind w:firstLine="709"/>
        <w:spacing w:line="240" w:lineRule="auto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_Ref55840427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13.8.1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_Ref55840429 \r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13.8.2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Во избежание сомнений, кроме случаев, ког</w:t>
      </w:r>
      <w:r>
        <w:rPr>
          <w:sz w:val="24"/>
          <w:szCs w:val="24"/>
        </w:rPr>
        <w:t xml:space="preserve">да Договором прямо предусмотрено иное, любая задержка в реализации права, предоставленного Стороне законодательством Российской Федерации или Договором, не означает отказ от такого права и не влечет прекращения возможности реализовать это право в будущем.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Уступка, передача в залог прав (требований), принадлежащих Лицензиату на основании Договора, допускается только с предварительного письменного согласия Сублицензиата.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567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целях информационной безопасности стороны обязуются: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/>
        <w:ind w:left="0" w:firstLine="567"/>
        <w:jc w:val="both"/>
        <w:spacing w:before="0"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использовать отправку электронных писем с корпоративных почтовых доменов @vniig.ru и @____ размером не более 15 МБ, исключить использования общедоступных почтовых служб таких как  </w:t>
      </w:r>
      <w:r>
        <w:rPr>
          <w:sz w:val="24"/>
          <w:szCs w:val="24"/>
          <w:lang w:val="en-US"/>
        </w:rPr>
        <w:t xml:space="preserve">mail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ru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 xml:space="preserve">Yandex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ru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 xml:space="preserve">gmail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com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 xml:space="preserve">Hotmail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com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 xml:space="preserve">outlook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com</w:t>
      </w:r>
      <w:r>
        <w:rPr>
          <w:sz w:val="24"/>
          <w:szCs w:val="24"/>
        </w:rPr>
        <w:t xml:space="preserve"> и т.п.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/>
        <w:ind w:left="0" w:firstLine="567"/>
        <w:jc w:val="both"/>
        <w:spacing w:before="0"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Обмен файлов больших</w:t>
      </w:r>
      <w:r>
        <w:rPr>
          <w:sz w:val="24"/>
          <w:szCs w:val="24"/>
        </w:rPr>
        <w:t xml:space="preserve"> объемов осуществлять через облачные хранилища расположенные на территории Сублицензиата https://cloud.vniig.ru/ или Лицензиата https://_____ , а так же исключить передачу файлов больших объемов через общедоступные облачные сервисы таких как  яндекс диск, </w:t>
      </w:r>
      <w:r>
        <w:rPr>
          <w:sz w:val="24"/>
          <w:szCs w:val="24"/>
          <w:lang w:val="en-US"/>
        </w:rPr>
        <w:t xml:space="preserve">google</w:t>
      </w:r>
      <w:r>
        <w:rPr>
          <w:sz w:val="24"/>
          <w:szCs w:val="24"/>
        </w:rPr>
        <w:t xml:space="preserve"> диск, облако </w:t>
      </w:r>
      <w:r>
        <w:rPr>
          <w:sz w:val="24"/>
          <w:szCs w:val="24"/>
          <w:lang w:val="en-US"/>
        </w:rPr>
        <w:t xml:space="preserve">mail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ru</w:t>
      </w:r>
      <w:r>
        <w:rPr>
          <w:sz w:val="24"/>
          <w:szCs w:val="24"/>
        </w:rPr>
        <w:t xml:space="preserve"> и т.п. .</w:t>
      </w:r>
      <w:r>
        <w:rPr>
          <w:sz w:val="24"/>
          <w:szCs w:val="24"/>
        </w:rPr>
      </w:r>
    </w:p>
    <w:p>
      <w:pPr>
        <w:pStyle w:val="889"/>
        <w:numPr>
          <w:ilvl w:val="2"/>
          <w:numId w:val="8"/>
        </w:numPr>
        <w:contextualSpacing/>
        <w:ind w:left="0" w:firstLine="567"/>
        <w:jc w:val="both"/>
        <w:spacing w:before="0"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Проведения вид</w:t>
      </w:r>
      <w:r>
        <w:rPr>
          <w:sz w:val="24"/>
          <w:szCs w:val="24"/>
        </w:rPr>
        <w:t xml:space="preserve">еоконференций,  совещаний (ВКС) осуществлять на оборудовании Сублицензиата или Лицензиата  при этом  запрещается использование сервисов ZOOM, Skype или иных, располагающихся на иностранных серверах и находящихся за пределами территории Российской Федерации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Во всем остальном, что не урегулировано Договором, Стороны руководствуются законодательством Российской Федерации. 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567"/>
        <w:jc w:val="both"/>
        <w:shd w:val="clear" w:color="auto" w:fill="ffffff"/>
        <w:tabs>
          <w:tab w:val="left" w:pos="0" w:leader="none"/>
          <w:tab w:val="clear" w:pos="709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lightGray"/>
        </w:rPr>
        <w:t xml:space="preserve">Договор составлен в 2 (двух) оригинальных экземплярах, имеющих равную юридическую силу, по 1 (одному) для каждой из Сторон.</w:t>
      </w:r>
      <w:r>
        <w:rPr>
          <w:sz w:val="24"/>
          <w:szCs w:val="24"/>
          <w:highlight w:val="white"/>
        </w:rPr>
      </w:r>
    </w:p>
    <w:p>
      <w:pPr>
        <w:pStyle w:val="889"/>
        <w:ind w:left="0" w:firstLine="709"/>
        <w:jc w:val="both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426" w:leader="none"/>
          <w:tab w:val="clear" w:pos="709" w:leader="none"/>
          <w:tab w:val="left" w:pos="1418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Список приложений</w:t>
      </w:r>
      <w:r>
        <w:rPr>
          <w:b/>
          <w:bCs/>
          <w:sz w:val="24"/>
          <w:szCs w:val="24"/>
        </w:rPr>
      </w:r>
    </w:p>
    <w:p>
      <w:pPr>
        <w:pStyle w:val="889"/>
        <w:numPr>
          <w:ilvl w:val="1"/>
          <w:numId w:val="8"/>
        </w:numPr>
        <w:contextualSpacing w:val="0"/>
        <w:ind w:left="0" w:firstLine="709"/>
        <w:jc w:val="both"/>
        <w:spacing w:before="0" w:after="0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 №1 – Форма Акта об исполнении обязательств по предоставлению права использования ПО;</w:t>
      </w:r>
      <w:r>
        <w:rPr>
          <w:sz w:val="24"/>
          <w:szCs w:val="24"/>
        </w:rPr>
      </w:r>
    </w:p>
    <w:p>
      <w:pPr>
        <w:pStyle w:val="889"/>
        <w:numPr>
          <w:ilvl w:val="1"/>
          <w:numId w:val="8"/>
        </w:numPr>
        <w:ind w:left="0" w:firstLine="709"/>
        <w:jc w:val="both"/>
        <w:shd w:val="clear" w:color="auto" w:fill="ffffff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 № 2 – Спецификация</w:t>
      </w:r>
      <w:r>
        <w:rPr>
          <w:bCs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814"/>
        <w:numPr>
          <w:ilvl w:val="0"/>
          <w:numId w:val="0"/>
        </w:numPr>
        <w:ind w:firstLine="0"/>
        <w:jc w:val="center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</w:r>
      <w:r/>
      <w:r/>
      <w:r/>
      <w:r/>
      <w:bookmarkStart w:id="33" w:name="_Ref441639841"/>
      <w:r/>
      <w:bookmarkStart w:id="34" w:name="_Ref5702702"/>
      <w:r/>
      <w:bookmarkStart w:id="35" w:name="_Ref528731595"/>
      <w:r/>
      <w:bookmarkStart w:id="36" w:name="_Ref42665658"/>
      <w:r/>
      <w:bookmarkEnd w:id="33"/>
      <w:r/>
      <w:bookmarkEnd w:id="34"/>
      <w:r/>
      <w:bookmarkEnd w:id="35"/>
      <w:r/>
      <w:bookmarkEnd w:id="36"/>
      <w:r/>
      <w:r>
        <w:rPr>
          <w:sz w:val="24"/>
          <w:szCs w:val="24"/>
        </w:rPr>
      </w:r>
    </w:p>
    <w:p>
      <w:pPr>
        <w:pStyle w:val="889"/>
        <w:numPr>
          <w:ilvl w:val="0"/>
          <w:numId w:val="8"/>
        </w:numPr>
        <w:ind w:left="0" w:firstLine="0"/>
        <w:jc w:val="center"/>
        <w:tabs>
          <w:tab w:val="left" w:pos="426" w:leader="none"/>
          <w:tab w:val="clear" w:pos="709" w:leader="none"/>
          <w:tab w:val="left" w:pos="1418" w:leader="none"/>
        </w:tabs>
        <w:rPr>
          <w:b/>
          <w:sz w:val="24"/>
          <w:szCs w:val="24"/>
        </w:rPr>
      </w:pPr>
      <w:r/>
      <w:bookmarkStart w:id="37" w:name="_Ref55832514"/>
      <w:r/>
      <w:bookmarkStart w:id="38" w:name="_Toc349654413"/>
      <w:r/>
      <w:bookmarkEnd w:id="38"/>
      <w:r>
        <w:rPr>
          <w:b/>
          <w:sz w:val="24"/>
          <w:szCs w:val="24"/>
        </w:rPr>
        <w:t xml:space="preserve">Адреса и </w:t>
      </w:r>
      <w:r>
        <w:rPr>
          <w:b/>
          <w:bCs/>
          <w:sz w:val="24"/>
          <w:szCs w:val="24"/>
        </w:rPr>
        <w:t xml:space="preserve">реквизиты</w:t>
      </w:r>
      <w:r>
        <w:rPr>
          <w:b/>
          <w:sz w:val="24"/>
          <w:szCs w:val="24"/>
        </w:rPr>
        <w:t xml:space="preserve"> Сторон</w:t>
      </w:r>
      <w:bookmarkEnd w:id="37"/>
      <w:r/>
      <w:r>
        <w:rPr>
          <w:b/>
          <w:sz w:val="24"/>
          <w:szCs w:val="24"/>
        </w:rPr>
      </w:r>
    </w:p>
    <w:p>
      <w:pPr>
        <w:pStyle w:val="814"/>
        <w:ind w:firstLine="0"/>
        <w:jc w:val="left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9571" w:type="dxa"/>
        <w:tblInd w:w="14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968"/>
        <w:gridCol w:w="4602"/>
      </w:tblGrid>
      <w:tr>
        <w:tblPrEx/>
        <w:trPr/>
        <w:tc>
          <w:tcPr>
            <w:shd w:val="clear" w:color="auto" w:fill="auto"/>
            <w:tcW w:w="4968" w:type="dxa"/>
            <w:textDirection w:val="lrTb"/>
            <w:noWrap w:val="false"/>
          </w:tcPr>
          <w:p>
            <w:pPr>
              <w:pStyle w:val="814"/>
              <w:ind w:right="-113" w:firstLine="0"/>
              <w:jc w:val="left"/>
              <w:spacing w:line="276" w:lineRule="auto"/>
              <w:widowControl w:val="off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СУБЛИЦЕНЗИАТ:</w:t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814"/>
              <w:ind w:right="-113" w:firstLine="0"/>
              <w:jc w:val="left"/>
              <w:spacing w:line="276" w:lineRule="auto"/>
              <w:widowControl w:val="off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</w:rPr>
              <w:t xml:space="preserve">Акционерное общество «Всероссийский научно-исследовательский институт гидротехники имени Б.Е. Веденеева» (АО «ВНИИГ им. Б.Е. Веденеева»)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pStyle w:val="814"/>
              <w:ind w:firstLin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Место нахождения: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Почтовый адрес: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ОГРН 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ИНН ____________ / КПП___________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расчетного счета)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(наименование банка, в котором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открыт расчетный счет)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корреспондентского счета банка)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(БИК банка)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телефона)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факса)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83" w:lineRule="atLeast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_____________________ /______________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602" w:type="dxa"/>
            <w:textDirection w:val="lrTb"/>
            <w:noWrap w:val="false"/>
          </w:tcPr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ЛИЦЕНЗИАТ: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(наименование юридического лица)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Место нахождения: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Почтовый адрес: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ОГРН 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ИНН ____________ / КПП___________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расчетного счета)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(наименование банка, в котором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открыт расчетный счет)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корреспондентского счета банка)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(БИК банка)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телефона)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(номер факса)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lang w:eastAsia="ar-SA"/>
              </w:rPr>
              <w:t xml:space="preserve">___________________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_____________________ /______________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814"/>
              <w:ind w:left="0" w:right="0"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14"/>
        <w:ind w:firstLine="0"/>
        <w:spacing w:line="240" w:lineRule="auto"/>
        <w:tabs>
          <w:tab w:val="clear" w:pos="709" w:leader="none"/>
          <w:tab w:val="left" w:pos="1418" w:leader="none"/>
          <w:tab w:val="center" w:pos="4818" w:leader="none"/>
          <w:tab w:val="left" w:pos="52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4"/>
        <w:ind w:firstLine="0"/>
        <w:jc w:val="left"/>
        <w:spacing w:before="0" w:after="160" w:line="259" w:lineRule="auto"/>
        <w:rPr>
          <w:sz w:val="24"/>
          <w:szCs w:val="24"/>
        </w:rPr>
      </w:pPr>
      <w:r>
        <w:rPr>
          <w:sz w:val="24"/>
          <w:szCs w:val="24"/>
        </w:rPr>
      </w:r>
      <w:r>
        <w:br w:type="page" w:clear="all"/>
      </w:r>
      <w:r>
        <w:rPr>
          <w:sz w:val="24"/>
          <w:szCs w:val="24"/>
        </w:rPr>
      </w:r>
    </w:p>
    <w:p>
      <w:pPr>
        <w:pStyle w:val="814"/>
        <w:ind w:firstLine="5103"/>
        <w:jc w:val="right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Приложение № 1</w:t>
      </w:r>
      <w:r>
        <w:rPr>
          <w:sz w:val="24"/>
          <w:szCs w:val="24"/>
        </w:rPr>
      </w:r>
    </w:p>
    <w:p>
      <w:pPr>
        <w:pStyle w:val="814"/>
        <w:ind w:firstLine="5103"/>
        <w:jc w:val="right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 Сублицензионному договору </w:t>
      </w:r>
      <w:r>
        <w:rPr>
          <w:sz w:val="24"/>
          <w:szCs w:val="24"/>
        </w:rPr>
      </w:r>
    </w:p>
    <w:p>
      <w:pPr>
        <w:pStyle w:val="814"/>
        <w:ind w:firstLine="5103"/>
        <w:jc w:val="right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от «____» __________ 2026 г. № _____ </w:t>
      </w:r>
      <w:r>
        <w:rPr>
          <w:sz w:val="24"/>
          <w:szCs w:val="24"/>
        </w:rPr>
      </w:r>
    </w:p>
    <w:p>
      <w:pPr>
        <w:pStyle w:val="814"/>
        <w:ind w:firstLine="0"/>
        <w:jc w:val="center"/>
        <w:spacing w:line="240" w:lineRule="auto"/>
        <w:tabs>
          <w:tab w:val="clear" w:pos="709" w:leader="none"/>
          <w:tab w:val="left" w:pos="1418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pStyle w:val="814"/>
        <w:ind w:firstLine="0"/>
        <w:jc w:val="center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Акт об исполнении обязательств </w:t>
      </w:r>
      <w:r>
        <w:rPr>
          <w:b/>
          <w:sz w:val="24"/>
          <w:szCs w:val="24"/>
        </w:rPr>
      </w:r>
    </w:p>
    <w:p>
      <w:pPr>
        <w:pStyle w:val="814"/>
        <w:ind w:firstLine="0"/>
        <w:jc w:val="center"/>
        <w:spacing w:line="240" w:lineRule="auto"/>
        <w:tabs>
          <w:tab w:val="clear" w:pos="709" w:leader="none"/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предоставлению права использования ПО </w:t>
      </w:r>
      <w:r>
        <w:rPr>
          <w:b/>
          <w:sz w:val="24"/>
          <w:szCs w:val="24"/>
        </w:rPr>
      </w:r>
    </w:p>
    <w:p>
      <w:pPr>
        <w:pStyle w:val="814"/>
        <w:ind w:firstLine="0"/>
        <w:jc w:val="center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(форма)</w:t>
      </w:r>
      <w:r>
        <w:rPr>
          <w:rStyle w:val="852"/>
          <w:b/>
          <w:sz w:val="24"/>
          <w:szCs w:val="24"/>
        </w:rPr>
        <w:footnoteReference w:id="5"/>
      </w:r>
      <w:r>
        <w:rPr>
          <w:sz w:val="24"/>
          <w:szCs w:val="24"/>
        </w:rPr>
      </w:r>
    </w:p>
    <w:p>
      <w:pPr>
        <w:pStyle w:val="814"/>
        <w:ind w:firstLine="0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571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7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1" w:type="dxa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Акт № __</w:t>
            </w:r>
            <w:r>
              <w:rPr>
                <w:bCs/>
                <w:sz w:val="24"/>
                <w:szCs w:val="24"/>
              </w:rPr>
            </w:r>
          </w:p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исполнении обязательств по предоставлению права использования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                                                                           «_____» _________2026г.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____________________, именуемое далее «Лицензиат», в лице ________________, действующего на основании ______________,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Акционерное общество «Всероссийский научно-исследовательский институт гидротехники имени Б.Е. Веденеева» (АО «ВНИ</w:t>
            </w:r>
            <w:r>
              <w:rPr>
                <w:sz w:val="24"/>
                <w:szCs w:val="24"/>
              </w:rPr>
              <w:t xml:space="preserve">ИГ им. Б.Е. Веденеева»), именуемое далее «Сублицензиат», в лице ________________, действующего на основании ______________, составили настоящий акт о том, что Лицензиат надлежащим образом исполнил свое обязательство по предоставлению прав использования ПО </w:t>
            </w:r>
            <w:r>
              <w:rPr>
                <w:bCs/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Договору</w:t>
            </w:r>
            <w:r>
              <w:rPr>
                <w:bCs/>
                <w:sz w:val="24"/>
                <w:szCs w:val="24"/>
              </w:rPr>
              <w:t xml:space="preserve"> №______ от _____________на следующие ПО:</w:t>
            </w:r>
            <w:r>
              <w:rPr>
                <w:bCs/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tbl>
            <w:tblPr>
              <w:tblW w:w="9345" w:type="dxa"/>
              <w:jc w:val="center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1E0" w:firstRow="1" w:lastRow="1" w:firstColumn="1" w:lastColumn="1" w:noHBand="0" w:noVBand="0"/>
            </w:tblPr>
            <w:tblGrid>
              <w:gridCol w:w="452"/>
              <w:gridCol w:w="991"/>
              <w:gridCol w:w="1135"/>
              <w:gridCol w:w="849"/>
              <w:gridCol w:w="567"/>
              <w:gridCol w:w="1276"/>
              <w:gridCol w:w="1135"/>
              <w:gridCol w:w="991"/>
              <w:gridCol w:w="1948"/>
            </w:tblGrid>
            <w:tr>
              <w:tblPrEx/>
              <w:trPr>
                <w:cantSplit/>
                <w:tblHeader/>
              </w:trPr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52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  <w:t xml:space="preserve">п/п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991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Правообладатель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1135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Название ПО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49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Единица измерения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Кол-во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76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Стоимость ед., руб. (без НДС)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35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Общая стоимость, руб. (без НДС)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1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Срок предоставления права использования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auto" w:fill="d9d9d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8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center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Порядковый номер реестровой записи, под которой ПО включено в реестр российского программного обеспечения или реестр евразийского программного обеспечения</w:t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cantSplit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52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991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1135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49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76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35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991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8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cantSplit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52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991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1135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49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76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35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991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8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cantSplit/>
              </w:trPr>
              <w:tc>
                <w:tcPr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5270" w:type="dxa"/>
                  <w:vAlign w:val="center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white"/>
                    </w:rPr>
                    <w:t xml:space="preserve">Итого без НДС: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35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991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8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jc w:val="right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spacing w:line="259" w:lineRule="auto"/>
              <w:widowControl w:val="off"/>
              <w:rPr>
                <w:rFonts w:eastAsia="Calibri"/>
                <w:sz w:val="24"/>
                <w:szCs w:val="24"/>
                <w14:ligatures w14:val="none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Итого без НДС, руб.: </w:t>
            </w:r>
            <w:r>
              <w:rPr>
                <w:rFonts w:eastAsia="Calibri"/>
                <w:sz w:val="24"/>
                <w:szCs w:val="24"/>
              </w:rPr>
              <w:t xml:space="preserve">________ (__________________) рублей ___ копеек, НДС не облагается на основании подпункта 26 пункта 2 статьи 149 Налогового кодекса Российской Федерации.</w:t>
            </w:r>
            <w:r>
              <w:rPr>
                <w:rFonts w:eastAsia="Calibri"/>
                <w:sz w:val="24"/>
                <w:szCs w:val="24"/>
                <w14:ligatures w14:val="none"/>
              </w:rPr>
            </w:r>
          </w:p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tbl>
            <w:tblPr>
              <w:tblW w:w="935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77"/>
              <w:gridCol w:w="4677"/>
            </w:tblGrid>
            <w:tr>
              <w:tblPrEx/>
              <w:trPr/>
              <w:tc>
                <w:tcPr>
                  <w:tcW w:w="4677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Сублицензиат:</w:t>
                  </w:r>
                  <w:r>
                    <w:rPr>
                      <w:bCs/>
                      <w:sz w:val="24"/>
                      <w:szCs w:val="24"/>
                    </w:rPr>
                  </w:r>
                </w:p>
              </w:tc>
              <w:tc>
                <w:tcPr>
                  <w:tcW w:w="4677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Лицензиат:</w:t>
                  </w:r>
                  <w:r>
                    <w:rPr>
                      <w:bCs/>
                      <w:sz w:val="24"/>
                      <w:szCs w:val="24"/>
                    </w:rPr>
                  </w:r>
                </w:p>
              </w:tc>
            </w:tr>
            <w:tr>
              <w:tblPrEx/>
              <w:trPr/>
              <w:tc>
                <w:tcPr>
                  <w:tcW w:w="4677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 / _______________</w:t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М.П.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4677" w:type="dxa"/>
                  <w:textDirection w:val="lrTb"/>
                  <w:noWrap w:val="false"/>
                </w:tcPr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 / _______________</w:t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14"/>
                    <w:ind w:firstLine="0"/>
                    <w:spacing w:line="240" w:lineRule="auto"/>
                    <w:widowControl w:val="off"/>
                    <w:tabs>
                      <w:tab w:val="clear" w:pos="709" w:leader="none"/>
                      <w:tab w:val="left" w:pos="1418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М.П.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814"/>
              <w:ind w:firstLine="0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</w:r>
            <w:r>
              <w:rPr>
                <w:b/>
                <w:i/>
                <w:iCs/>
                <w:sz w:val="24"/>
                <w:szCs w:val="24"/>
              </w:rPr>
            </w:r>
          </w:p>
        </w:tc>
      </w:tr>
    </w:tbl>
    <w:p>
      <w:pPr>
        <w:pStyle w:val="814"/>
        <w:ind w:firstLine="0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88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5"/>
        <w:gridCol w:w="5103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Сублицензиат:</w:t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Лицензиат:</w:t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3"/>
          <w:footerReference w:type="first" r:id="rId14"/>
          <w:footnotePr>
            <w:numFmt w:val="decimal"/>
          </w:footnotePr>
          <w:endnotePr/>
          <w:type w:val="nextPage"/>
          <w:pgSz w:w="11906" w:h="16838" w:orient="portrait"/>
          <w:pgMar w:top="1134" w:right="851" w:bottom="1134" w:left="1418" w:header="709" w:footer="709" w:gutter="0"/>
          <w:cols w:num="1" w:sep="0" w:space="708" w:equalWidth="1"/>
          <w:docGrid w:linePitch="360"/>
          <w:titlePg/>
        </w:sectPr>
      </w:pPr>
      <w:r>
        <w:br w:type="page" w:clear="all"/>
      </w:r>
      <w:r/>
    </w:p>
    <w:p>
      <w:pPr>
        <w:pStyle w:val="814"/>
        <w:ind w:firstLine="5103"/>
        <w:jc w:val="right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 № 2</w:t>
      </w:r>
      <w:r>
        <w:rPr>
          <w:sz w:val="24"/>
          <w:szCs w:val="24"/>
        </w:rPr>
      </w:r>
    </w:p>
    <w:p>
      <w:pPr>
        <w:pStyle w:val="814"/>
        <w:ind w:firstLine="5103"/>
        <w:jc w:val="right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 Сублицензионному договору </w:t>
      </w:r>
      <w:r>
        <w:rPr>
          <w:sz w:val="24"/>
          <w:szCs w:val="24"/>
        </w:rPr>
      </w:r>
    </w:p>
    <w:p>
      <w:pPr>
        <w:pStyle w:val="814"/>
        <w:ind w:firstLine="5103"/>
        <w:jc w:val="right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от «____» __________ 2026 г. № _____ </w:t>
      </w:r>
      <w:r>
        <w:rPr>
          <w:sz w:val="24"/>
          <w:szCs w:val="24"/>
        </w:rPr>
      </w:r>
    </w:p>
    <w:p>
      <w:pPr>
        <w:pStyle w:val="814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4"/>
        <w:jc w:val="center"/>
        <w:spacing w:line="240" w:lineRule="auto"/>
        <w:tabs>
          <w:tab w:val="clear" w:pos="709" w:leader="none"/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Спецификация </w:t>
      </w:r>
      <w:r>
        <w:rPr>
          <w:sz w:val="24"/>
          <w:szCs w:val="24"/>
        </w:rPr>
      </w:r>
    </w:p>
    <w:p>
      <w:pPr>
        <w:pStyle w:val="814"/>
        <w:jc w:val="center"/>
        <w:spacing w:line="240" w:lineRule="auto"/>
        <w:tabs>
          <w:tab w:val="left" w:pos="-2268" w:leader="none"/>
          <w:tab w:val="clear" w:pos="709" w:leader="none"/>
          <w:tab w:val="left" w:pos="1418" w:leader="none"/>
        </w:tabs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tbl>
      <w:tblPr>
        <w:tblW w:w="4750" w:type="pct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8"/>
        <w:gridCol w:w="1182"/>
        <w:gridCol w:w="3557"/>
        <w:gridCol w:w="785"/>
        <w:gridCol w:w="627"/>
        <w:gridCol w:w="1413"/>
        <w:gridCol w:w="1568"/>
        <w:gridCol w:w="2025"/>
        <w:gridCol w:w="2054"/>
      </w:tblGrid>
      <w:tr>
        <w:tblPrEx/>
        <w:trPr>
          <w:trHeight w:val="778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 xml:space="preserve">п/п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Правообладатель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7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Единица измерения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Кол-во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Стоимость ед., руб. (без НДС)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Общая стоимость, руб. (без НДС)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 действия права использования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4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</w:rPr>
              <w:t xml:space="preserve">Порядковый номер реестровой записи, под которой ПО включено в реестр российского программного обеспечения или реестр евразийского программ</w:t>
            </w:r>
            <w:r>
              <w:rPr>
                <w:b/>
                <w:bCs/>
                <w:sz w:val="20"/>
                <w:szCs w:val="20"/>
                <w:highlight w:val="white"/>
              </w:rPr>
              <w:t xml:space="preserve">ного обеспечения</w:t>
            </w:r>
            <w:r>
              <w:rPr>
                <w:rStyle w:val="852"/>
                <w:bCs/>
                <w:sz w:val="20"/>
                <w:szCs w:val="20"/>
                <w:highlight w:val="white"/>
              </w:rPr>
              <w:footnoteReference w:id="6"/>
            </w:r>
            <w:r>
              <w:rPr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48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7" w:type="dxa"/>
            <w:vAlign w:val="center"/>
            <w:textDirection w:val="lrTb"/>
            <w:noWrap w:val="false"/>
          </w:tcPr>
          <w:p>
            <w:pPr>
              <w:pStyle w:val="814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4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248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7" w:type="dxa"/>
            <w:vAlign w:val="center"/>
            <w:textDirection w:val="lrTb"/>
            <w:noWrap w:val="false"/>
          </w:tcPr>
          <w:p>
            <w:pPr>
              <w:pStyle w:val="814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4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230"/>
          <w:tblHeader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92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righ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по Договору, руб.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5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4" w:type="dxa"/>
            <w:vAlign w:val="center"/>
            <w:textDirection w:val="lrTb"/>
            <w:noWrap w:val="false"/>
          </w:tcPr>
          <w:p>
            <w:pPr>
              <w:pStyle w:val="814"/>
              <w:ind w:firstLine="0"/>
              <w:jc w:val="center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>
      <w:pPr>
        <w:pStyle w:val="814"/>
        <w:ind w:firstLine="0"/>
        <w:spacing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814"/>
        <w:ind w:firstLine="0"/>
        <w:spacing w:line="259" w:lineRule="auto"/>
        <w:rPr>
          <w:rFonts w:eastAsia="Calibri"/>
          <w:sz w:val="24"/>
          <w:szCs w:val="24"/>
          <w:highlight w:val="none"/>
        </w:rPr>
      </w:pPr>
      <w:r>
        <w:rPr>
          <w:rFonts w:eastAsia="Calibri"/>
          <w:b/>
          <w:sz w:val="24"/>
          <w:szCs w:val="24"/>
        </w:rPr>
        <w:t xml:space="preserve">Итого без НДС, руб.: ___________</w:t>
      </w:r>
      <w:r>
        <w:rPr>
          <w:sz w:val="24"/>
          <w:szCs w:val="24"/>
        </w:rPr>
        <w:t xml:space="preserve"> (_______________ рублей __ копеек)</w:t>
      </w:r>
      <w:r>
        <w:rPr>
          <w:rFonts w:eastAsia="Calibri"/>
          <w:sz w:val="24"/>
          <w:szCs w:val="24"/>
        </w:rPr>
        <w:t xml:space="preserve">, </w:t>
      </w:r>
      <w:r>
        <w:rPr>
          <w:sz w:val="24"/>
          <w:szCs w:val="24"/>
          <w:highlight w:val="white"/>
        </w:rPr>
        <w:t xml:space="preserve">НДС не облагается на основании подпункта 26 пункта 2 статьи 149 Налогового кодекса Российской Федерации</w:t>
      </w:r>
      <w:r>
        <w:rPr>
          <w:bCs/>
          <w:iCs/>
          <w:sz w:val="24"/>
          <w:szCs w:val="24"/>
          <w:highlight w:val="white"/>
        </w:rPr>
        <w:t xml:space="preserve">.</w:t>
      </w:r>
      <w:r>
        <w:rPr>
          <w:rFonts w:eastAsia="Calibri"/>
          <w:sz w:val="24"/>
          <w:szCs w:val="24"/>
          <w:highlight w:val="none"/>
        </w:rPr>
      </w:r>
    </w:p>
    <w:p>
      <w:pPr>
        <w:pStyle w:val="814"/>
        <w:ind w:firstLine="0"/>
        <w:spacing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tbl>
      <w:tblPr>
        <w:tblW w:w="1470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478"/>
        <w:gridCol w:w="7227"/>
      </w:tblGrid>
      <w:tr>
        <w:tblPrEx/>
        <w:trPr/>
        <w:tc>
          <w:tcPr>
            <w:tcW w:w="7478" w:type="dxa"/>
            <w:textDirection w:val="lrTb"/>
            <w:noWrap w:val="false"/>
          </w:tcPr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Сублицензиат:</w:t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227" w:type="dxa"/>
            <w:textDirection w:val="lrTb"/>
            <w:noWrap w:val="false"/>
          </w:tcPr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Лицензиат:</w:t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_______________</w:t>
            </w:r>
            <w:r>
              <w:rPr>
                <w:sz w:val="24"/>
                <w:szCs w:val="24"/>
              </w:rPr>
            </w:r>
          </w:p>
          <w:p>
            <w:pPr>
              <w:pStyle w:val="814"/>
              <w:ind w:firstLine="0"/>
              <w:jc w:val="left"/>
              <w:spacing w:line="240" w:lineRule="auto"/>
              <w:widowControl w:val="off"/>
              <w:tabs>
                <w:tab w:val="clear" w:pos="709" w:leader="none"/>
                <w:tab w:val="left" w:pos="1418" w:leader="none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b/>
                <w:bCs/>
                <w:sz w:val="24"/>
                <w:szCs w:val="24"/>
              </w:rPr>
            </w:r>
          </w:p>
        </w:tc>
      </w:tr>
    </w:tbl>
    <w:p>
      <w:pPr>
        <w:pStyle w:val="814"/>
        <w:ind w:firstLine="0"/>
        <w:spacing w:line="240" w:lineRule="auto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11"/>
      <w:headerReference w:type="first" r:id="rId12"/>
      <w:footerReference w:type="default" r:id="rId15"/>
      <w:footerReference w:type="first" r:id="rId16"/>
      <w:footnotePr>
        <w:numFmt w:val="decimal"/>
      </w:footnotePr>
      <w:endnotePr/>
      <w:type w:val="nextPage"/>
      <w:pgSz w:w="16838" w:h="11906" w:orient="landscape"/>
      <w:pgMar w:top="1418" w:right="1134" w:bottom="851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Symbol">
    <w:panose1 w:val="05010000000000000000"/>
  </w:font>
  <w:font w:name="Verdana">
    <w:panose1 w:val="020B0606030504020204"/>
  </w:font>
  <w:font w:name="WenQuanYi Micro Hei">
    <w:panose1 w:val="02000603000000000000"/>
  </w:font>
  <w:font w:name="Open Sans">
    <w:panose1 w:val="020B0606030504020204"/>
  </w:font>
  <w:font w:name="Calibri">
    <w:panose1 w:val="020F0502020204030204"/>
  </w:font>
  <w:font w:name="Lohit Devanagari">
    <w:panose1 w:val="02000603000000000000"/>
  </w:font>
  <w:font w:name="Courier New">
    <w:panose1 w:val="02070409020205020404"/>
  </w:font>
  <w:font w:name="Liberation Sans">
    <w:panose1 w:val="020B0604020202020204"/>
  </w:font>
  <w:font w:name="Wingdings">
    <w:panose1 w:val="05010000000000000000"/>
  </w:font>
  <w:font w:name="Tahoma">
    <w:panose1 w:val="020B0606040504020204"/>
  </w:font>
  <w:font w:name="DejaVu Sans">
    <w:panose1 w:val="020B0603030804020204"/>
  </w:font>
  <w:font w:name="Segoe UI">
    <w:panose1 w:val="020B0502040504020204"/>
  </w:font>
  <w:font w:name="WenQuanYi Zen Hei Sharp">
    <w:panose1 w:val="02000603000000000000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 xml:space="preserve">15</w:t>
    </w:r>
    <w:r>
      <w:rPr>
        <w:sz w:val="22"/>
        <w:szCs w:val="22"/>
      </w:rPr>
      <w:fldChar w:fldCharType="end"/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 xml:space="preserve">1</w:t>
    </w:r>
    <w:r>
      <w:rPr>
        <w:sz w:val="22"/>
        <w:szCs w:val="22"/>
      </w:rPr>
      <w:fldChar w:fldCharType="end"/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0</w:t>
    </w:r>
    <w:r>
      <w:rPr>
        <w:sz w:val="24"/>
        <w:szCs w:val="24"/>
      </w:rPr>
      <w:fldChar w:fldCharType="end"/>
    </w:r>
    <w:r>
      <w:rPr>
        <w:sz w:val="24"/>
        <w:szCs w:val="24"/>
      </w:rPr>
    </w:r>
  </w:p>
  <w:p>
    <w:pPr>
      <w:pStyle w:val="890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 xml:space="preserve">16</w:t>
    </w:r>
    <w:r>
      <w:rPr>
        <w:sz w:val="22"/>
        <w:szCs w:val="22"/>
      </w:rP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</w:p>
  </w:footnote>
  <w:footnote w:id="2">
    <w:p>
      <w:pPr>
        <w:pStyle w:val="893"/>
        <w:ind w:firstLine="0"/>
        <w:rPr>
          <w:highlight w:val="white"/>
        </w:rPr>
      </w:pPr>
      <w:r>
        <w:rPr>
          <w:rStyle w:val="851"/>
        </w:rPr>
        <w:footnoteRef/>
      </w:r>
      <w:r>
        <w:rPr>
          <w:highlight w:val="white"/>
        </w:rPr>
        <w:t xml:space="preserve"> </w:t>
      </w:r>
      <w:r>
        <w:rPr>
          <w:highlight w:val="white"/>
        </w:rPr>
        <w:t xml:space="preserve">В</w:t>
      </w:r>
      <w:r>
        <w:rPr>
          <w:iCs/>
          <w:highlight w:val="white"/>
        </w:rPr>
        <w:t xml:space="preserve">ключается в Договор в случае, если ПО не подлежит государственной регистрации</w:t>
      </w:r>
      <w:r>
        <w:rPr>
          <w:highlight w:val="white"/>
        </w:rPr>
        <w:t xml:space="preserve">.</w:t>
      </w:r>
      <w:r>
        <w:rPr>
          <w:highlight w:val="white"/>
        </w:rPr>
      </w:r>
    </w:p>
  </w:footnote>
  <w:footnote w:id="3">
    <w:p>
      <w:pPr>
        <w:pStyle w:val="893"/>
        <w:rPr>
          <w:highlight w:val="white"/>
        </w:rPr>
      </w:pPr>
      <w:r>
        <w:rPr>
          <w:rStyle w:val="851"/>
        </w:rPr>
        <w:footnoteRef/>
      </w:r>
      <w:r>
        <w:rPr>
          <w:highlight w:val="white"/>
        </w:rPr>
        <w:t xml:space="preserve"> </w:t>
      </w:r>
      <w:r>
        <w:rPr>
          <w:iCs/>
          <w:highlight w:val="white"/>
        </w:rPr>
        <w:t xml:space="preserve">Применяется в случае, если Контрагент является МСП, для закупок, участниками которых могут быть только МСП, а также в случае, если по результатам закупки среди любых участников победителе</w:t>
      </w:r>
      <w:r>
        <w:rPr>
          <w:iCs/>
          <w:highlight w:val="white"/>
        </w:rPr>
        <w:t xml:space="preserve">м закупки признан МСП, при этом Общество попадает под действие постановления Правительства РФ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  <w:r>
        <w:rPr>
          <w:highlight w:val="white"/>
        </w:rPr>
      </w:r>
    </w:p>
  </w:footnote>
  <w:footnote w:id="4">
    <w:p>
      <w:pPr>
        <w:pStyle w:val="893"/>
        <w:jc w:val="both"/>
      </w:pPr>
      <w:r>
        <w:rPr>
          <w:rStyle w:val="851"/>
        </w:rPr>
        <w:footnoteRef/>
      </w:r>
      <w:r>
        <w:t xml:space="preserve"> </w:t>
      </w:r>
      <w:r>
        <w:rPr>
          <w:highlight w:val="lightGray"/>
        </w:rPr>
        <w:t xml:space="preserve">Применяется в случае подписания контрагентом соглашения о переходе на электронный юридически значимый документооборот (Соглашения об ЭДО)</w:t>
      </w:r>
      <w:r>
        <w:t xml:space="preserve">.</w:t>
      </w:r>
      <w:r/>
    </w:p>
  </w:footnote>
  <w:footnote w:id="5">
    <w:p>
      <w:pPr>
        <w:pStyle w:val="893"/>
      </w:pPr>
      <w:r>
        <w:rPr>
          <w:rStyle w:val="851"/>
        </w:rPr>
        <w:footnoteRef/>
      </w:r>
      <w:r>
        <w:t xml:space="preserve"> </w:t>
      </w:r>
      <w:r>
        <w:t xml:space="preserve">Не используется в случае применения УПД</w:t>
      </w:r>
      <w:r/>
    </w:p>
  </w:footnote>
  <w:footnote w:id="6">
    <w:p>
      <w:pPr>
        <w:pStyle w:val="893"/>
        <w:jc w:val="both"/>
        <w:rPr>
          <w:highlight w:val="white"/>
          <w14:ligatures w14:val="none"/>
        </w:rPr>
      </w:pPr>
      <w:r>
        <w:rPr>
          <w:rStyle w:val="851"/>
        </w:rPr>
        <w:footnoteRef/>
      </w:r>
      <w:r>
        <w:rPr>
          <w:highlight w:val="white"/>
        </w:rPr>
        <w:t xml:space="preserve"> </w:t>
      </w:r>
      <w:r>
        <w:rPr>
          <w:highlight w:val="white"/>
        </w:rPr>
        <w:t xml:space="preserve">Порядковый номер реестровой записи, под которой программное обеспечение включено в реестры, предусмотренные Постановлением Правительства Российской Федерации от 16.11.2015 года № 1236 «</w:t>
      </w:r>
      <w:r>
        <w:rPr>
          <w:highlight w:val="white"/>
          <w:lang w:val="ru-RU" w:bidi="ar-SA"/>
        </w:rPr>
        <w:t xml:space="preserve">Об утверждении Правил формирования и ведения </w:t>
      </w:r>
      <w:r>
        <w:rPr>
          <w:highlight w:val="white"/>
          <w:lang w:val="ru-RU" w:bidi="ar-SA"/>
        </w:rPr>
        <w:t xml:space="preserve">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 - членов Евразийского экономического союза, за исключением Российской Федерации</w:t>
      </w:r>
      <w:r>
        <w:rPr>
          <w:highlight w:val="white"/>
        </w:rPr>
        <w:t xml:space="preserve">»</w:t>
      </w:r>
      <w:r>
        <w:rPr>
          <w:highlight w:val="white"/>
          <w:lang w:eastAsia="en-US"/>
        </w:rPr>
        <w:t xml:space="preserve">.</w:t>
      </w:r>
      <w:r>
        <w:rPr>
          <w:highlight w:val="white"/>
          <w14:ligatures w14:val="none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ind w:firstLine="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ind w:firstLine="0"/>
      <w:spacing w:line="240" w:lineRule="auto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1" w:hanging="708"/>
        <w:tabs>
          <w:tab w:val="num" w:pos="852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561" w:hanging="708"/>
        <w:tabs>
          <w:tab w:val="num" w:pos="1561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61" w:hanging="709"/>
        <w:tabs>
          <w:tab w:val="num" w:pos="1561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561" w:hanging="709"/>
        <w:tabs>
          <w:tab w:val="num" w:pos="1932" w:leader="none"/>
        </w:tabs>
      </w:pPr>
      <w:rPr>
        <w:b w:val="0"/>
        <w:i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392" w:hanging="708"/>
        <w:tabs>
          <w:tab w:val="num" w:pos="85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100" w:hanging="708"/>
        <w:tabs>
          <w:tab w:val="num" w:pos="852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808" w:hanging="708"/>
        <w:tabs>
          <w:tab w:val="num" w:pos="852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516" w:hanging="708"/>
        <w:tabs>
          <w:tab w:val="num" w:pos="852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224" w:hanging="708"/>
        <w:tabs>
          <w:tab w:val="num" w:pos="852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  <w:tabs>
          <w:tab w:val="num" w:pos="0" w:leader="none"/>
        </w:tabs>
      </w:pPr>
      <w:rPr>
        <w:rFonts w:hint="default" w:ascii="Arial" w:hAnsi="Arial" w:cs="Arial"/>
        <w:b w:val="0"/>
        <w:highlight w:val="white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  <w:tabs>
          <w:tab w:val="num" w:pos="0" w:leader="none"/>
        </w:tabs>
      </w:pPr>
      <w:rPr>
        <w:rFonts w:hint="default" w:ascii="Arial" w:hAnsi="Arial" w:cs="Arial"/>
        <w:b w:val="0"/>
        <w:highlight w:val="white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  <w:tabs>
          <w:tab w:val="num" w:pos="0" w:leader="none"/>
        </w:tabs>
      </w:pPr>
      <w:rPr>
        <w:rFonts w:hint="default" w:ascii="Arial" w:hAnsi="Arial" w:cs="Arial"/>
        <w:b w:val="0"/>
        <w:highlight w:val="white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  <w:tabs>
          <w:tab w:val="num" w:pos="0" w:leader="none"/>
        </w:tabs>
      </w:pPr>
      <w:rPr>
        <w:rFonts w:hint="default" w:ascii="Arial" w:hAnsi="Arial" w:cs="Arial"/>
        <w:b w:val="0"/>
        <w:highlight w:val="white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88" w:hanging="360"/>
        <w:tabs>
          <w:tab w:val="num" w:pos="0" w:leader="none"/>
        </w:tabs>
      </w:pPr>
      <w:rPr>
        <w:rFonts w:hint="default" w:ascii="Arial" w:hAnsi="Arial" w:cs="Arial"/>
        <w:b w:val="0"/>
        <w:highlight w:val="white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08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28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48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8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88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08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8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48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  <w:tabs>
          <w:tab w:val="num" w:pos="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6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639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492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705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918" w:hanging="180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71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84" w:hanging="2160"/>
        <w:tabs>
          <w:tab w:val="num" w:pos="0" w:leader="none"/>
        </w:tabs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6" w:hanging="720"/>
        <w:tabs>
          <w:tab w:val="num" w:pos="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  <w:tabs>
          <w:tab w:val="num" w:pos="0" w:leader="none"/>
        </w:tabs>
      </w:pPr>
      <w:rPr>
        <w:b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4" w:default="1">
    <w:name w:val="Normal"/>
    <w:qFormat/>
    <w:pPr>
      <w:ind w:firstLine="567"/>
      <w:jc w:val="both"/>
      <w:spacing w:before="0" w:after="0" w:line="360" w:lineRule="auto"/>
      <w:widowControl/>
    </w:pPr>
    <w:rPr>
      <w:rFonts w:ascii="Times New Roman" w:hAnsi="Times New Roman" w:eastAsia="Times New Roman" w:cs="Times New Roman"/>
      <w:color w:val="auto"/>
      <w:sz w:val="28"/>
      <w:szCs w:val="28"/>
      <w:lang w:val="ru-RU" w:eastAsia="ru-RU" w:bidi="ar-SA"/>
    </w:rPr>
  </w:style>
  <w:style w:type="paragraph" w:styleId="815">
    <w:name w:val="Heading 1"/>
    <w:basedOn w:val="8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16">
    <w:name w:val="Heading 2"/>
    <w:basedOn w:val="8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17">
    <w:name w:val="Heading 3"/>
    <w:basedOn w:val="8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18">
    <w:name w:val="Heading 4"/>
    <w:basedOn w:val="8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9">
    <w:name w:val="Heading 5"/>
    <w:basedOn w:val="8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20">
    <w:name w:val="Heading 6"/>
    <w:basedOn w:val="8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21">
    <w:name w:val="Heading 7"/>
    <w:basedOn w:val="8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22">
    <w:name w:val="Heading 8"/>
    <w:basedOn w:val="8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23">
    <w:name w:val="Heading 9"/>
    <w:basedOn w:val="814"/>
    <w:uiPriority w:val="9"/>
    <w:semiHidden/>
    <w:unhideWhenUsed/>
    <w:qFormat/>
    <w:pPr>
      <w:ind w:firstLine="0"/>
      <w:jc w:val="left"/>
      <w:spacing w:before="240" w:after="60" w:line="240" w:lineRule="auto"/>
      <w:outlineLvl w:val="8"/>
    </w:pPr>
    <w:rPr>
      <w:rFonts w:ascii="Cambria" w:hAnsi="Cambria"/>
      <w:sz w:val="20"/>
      <w:szCs w:val="20"/>
    </w:rPr>
  </w:style>
  <w:style w:type="character" w:styleId="824">
    <w:name w:val="Caption Char"/>
    <w:basedOn w:val="825"/>
    <w:uiPriority w:val="35"/>
    <w:qFormat/>
    <w:rPr>
      <w:b/>
      <w:bCs/>
      <w:color w:val="4f81bd" w:themeColor="accent1"/>
      <w:sz w:val="18"/>
      <w:szCs w:val="18"/>
    </w:rPr>
  </w:style>
  <w:style w:type="character" w:styleId="825" w:default="1">
    <w:name w:val="Default Paragraph Font"/>
    <w:uiPriority w:val="1"/>
    <w:semiHidden/>
    <w:unhideWhenUsed/>
    <w:qFormat/>
  </w:style>
  <w:style w:type="character" w:styleId="826" w:customStyle="1">
    <w:name w:val="Heading 1 Char"/>
    <w:basedOn w:val="825"/>
    <w:uiPriority w:val="9"/>
    <w:qFormat/>
    <w:rPr>
      <w:rFonts w:ascii="Arial" w:hAnsi="Arial" w:eastAsia="Arial" w:cs="Arial"/>
      <w:sz w:val="40"/>
      <w:szCs w:val="40"/>
    </w:rPr>
  </w:style>
  <w:style w:type="character" w:styleId="827" w:customStyle="1">
    <w:name w:val="Heading 2 Char"/>
    <w:basedOn w:val="825"/>
    <w:uiPriority w:val="9"/>
    <w:qFormat/>
    <w:rPr>
      <w:rFonts w:ascii="Arial" w:hAnsi="Arial" w:eastAsia="Arial" w:cs="Arial"/>
      <w:sz w:val="34"/>
    </w:rPr>
  </w:style>
  <w:style w:type="character" w:styleId="828" w:customStyle="1">
    <w:name w:val="Heading 3 Char"/>
    <w:basedOn w:val="825"/>
    <w:uiPriority w:val="9"/>
    <w:qFormat/>
    <w:rPr>
      <w:rFonts w:ascii="Arial" w:hAnsi="Arial" w:eastAsia="Arial" w:cs="Arial"/>
      <w:sz w:val="30"/>
      <w:szCs w:val="30"/>
    </w:rPr>
  </w:style>
  <w:style w:type="character" w:styleId="829" w:customStyle="1">
    <w:name w:val="Heading 4 Char"/>
    <w:basedOn w:val="82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30" w:customStyle="1">
    <w:name w:val="Heading 5 Char"/>
    <w:basedOn w:val="82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31" w:customStyle="1">
    <w:name w:val="Heading 6 Char"/>
    <w:basedOn w:val="82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32" w:customStyle="1">
    <w:name w:val="Heading 7 Char"/>
    <w:basedOn w:val="82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33" w:customStyle="1">
    <w:name w:val="Heading 8 Char"/>
    <w:basedOn w:val="82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34" w:customStyle="1">
    <w:name w:val="Heading 9 Char"/>
    <w:basedOn w:val="82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35" w:customStyle="1">
    <w:name w:val="Title Char"/>
    <w:basedOn w:val="825"/>
    <w:uiPriority w:val="10"/>
    <w:qFormat/>
    <w:rPr>
      <w:sz w:val="48"/>
      <w:szCs w:val="48"/>
    </w:rPr>
  </w:style>
  <w:style w:type="character" w:styleId="836" w:customStyle="1">
    <w:name w:val="Subtitle Char"/>
    <w:basedOn w:val="825"/>
    <w:uiPriority w:val="11"/>
    <w:qFormat/>
    <w:rPr>
      <w:sz w:val="24"/>
      <w:szCs w:val="24"/>
    </w:rPr>
  </w:style>
  <w:style w:type="character" w:styleId="837" w:customStyle="1">
    <w:name w:val="Quote Char"/>
    <w:uiPriority w:val="29"/>
    <w:qFormat/>
    <w:rPr>
      <w:i/>
    </w:rPr>
  </w:style>
  <w:style w:type="character" w:styleId="838" w:customStyle="1">
    <w:name w:val="Intense Quote Char"/>
    <w:uiPriority w:val="30"/>
    <w:qFormat/>
    <w:rPr>
      <w:i/>
    </w:rPr>
  </w:style>
  <w:style w:type="character" w:styleId="839" w:customStyle="1">
    <w:name w:val="Header Char"/>
    <w:basedOn w:val="825"/>
    <w:uiPriority w:val="99"/>
    <w:qFormat/>
  </w:style>
  <w:style w:type="character" w:styleId="840" w:customStyle="1">
    <w:name w:val="Footer Char"/>
    <w:basedOn w:val="825"/>
    <w:uiPriority w:val="99"/>
    <w:qFormat/>
  </w:style>
  <w:style w:type="character" w:styleId="841" w:customStyle="1">
    <w:name w:val="Название объекта Знак"/>
    <w:uiPriority w:val="99"/>
    <w:qFormat/>
  </w:style>
  <w:style w:type="character" w:styleId="842" w:customStyle="1">
    <w:name w:val="Footnote Text Char"/>
    <w:uiPriority w:val="99"/>
    <w:qFormat/>
    <w:rPr>
      <w:sz w:val="18"/>
    </w:rPr>
  </w:style>
  <w:style w:type="character" w:styleId="843" w:customStyle="1">
    <w:name w:val="Endnote Text Char"/>
    <w:uiPriority w:val="99"/>
    <w:qFormat/>
    <w:rPr>
      <w:sz w:val="20"/>
    </w:rPr>
  </w:style>
  <w:style w:type="character" w:styleId="844" w:customStyle="1">
    <w:name w:val="Символ концевой сноски"/>
    <w:qFormat/>
    <w:rPr>
      <w:vertAlign w:val="superscript"/>
    </w:rPr>
  </w:style>
  <w:style w:type="character" w:styleId="845">
    <w:name w:val="endnote reference"/>
    <w:rPr>
      <w:vertAlign w:val="superscript"/>
    </w:rPr>
  </w:style>
  <w:style w:type="character" w:styleId="846" w:customStyle="1">
    <w:name w:val="Endnote Characters"/>
    <w:uiPriority w:val="99"/>
    <w:semiHidden/>
    <w:unhideWhenUsed/>
    <w:qFormat/>
    <w:rPr>
      <w:vertAlign w:val="superscript"/>
    </w:rPr>
  </w:style>
  <w:style w:type="character" w:styleId="847" w:customStyle="1">
    <w:name w:val="Верхний колонтитул Знак"/>
    <w:basedOn w:val="825"/>
    <w:uiPriority w:val="99"/>
    <w:qFormat/>
    <w:rPr>
      <w:rFonts w:ascii="Times New Roman" w:hAnsi="Times New Roman" w:eastAsia="Times New Roman" w:cs="Times New Roman"/>
      <w:sz w:val="28"/>
      <w:szCs w:val="28"/>
    </w:rPr>
  </w:style>
  <w:style w:type="character" w:styleId="848" w:customStyle="1">
    <w:name w:val="Нижний колонтитул Знак"/>
    <w:basedOn w:val="825"/>
    <w:uiPriority w:val="99"/>
    <w:qFormat/>
    <w:rPr>
      <w:rFonts w:ascii="Times New Roman" w:hAnsi="Times New Roman" w:eastAsia="Times New Roman" w:cs="Times New Roman"/>
      <w:sz w:val="28"/>
      <w:szCs w:val="28"/>
    </w:rPr>
  </w:style>
  <w:style w:type="character" w:styleId="849" w:customStyle="1">
    <w:name w:val="Абзац списка Знак"/>
    <w:uiPriority w:val="3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0" w:customStyle="1">
    <w:name w:val="Текст выноски Знак"/>
    <w:basedOn w:val="825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851">
    <w:name w:val="Символ сноски"/>
    <w:uiPriority w:val="99"/>
    <w:qFormat/>
    <w:rPr>
      <w:vertAlign w:val="superscript"/>
    </w:rPr>
  </w:style>
  <w:style w:type="character" w:styleId="852">
    <w:name w:val="footnote reference"/>
    <w:rPr>
      <w:vertAlign w:val="superscript"/>
    </w:rPr>
  </w:style>
  <w:style w:type="character" w:styleId="853" w:customStyle="1">
    <w:name w:val="Footnote Characters"/>
    <w:basedOn w:val="825"/>
    <w:qFormat/>
    <w:rPr>
      <w:vertAlign w:val="superscript"/>
    </w:rPr>
  </w:style>
  <w:style w:type="character" w:styleId="854" w:customStyle="1">
    <w:name w:val="Текст сноски Знак"/>
    <w:basedOn w:val="825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55">
    <w:name w:val="annotation reference"/>
    <w:uiPriority w:val="99"/>
    <w:semiHidden/>
    <w:unhideWhenUsed/>
    <w:qFormat/>
    <w:rPr>
      <w:sz w:val="16"/>
      <w:szCs w:val="16"/>
    </w:rPr>
  </w:style>
  <w:style w:type="character" w:styleId="856" w:customStyle="1">
    <w:name w:val="Текст примечания Знак"/>
    <w:basedOn w:val="825"/>
    <w:uiPriority w:val="99"/>
    <w:qFormat/>
    <w:rPr>
      <w:rFonts w:ascii="Times New Roman" w:hAnsi="Times New Roman" w:eastAsia="Times New Roman" w:cs="Times New Roman"/>
      <w:sz w:val="20"/>
      <w:szCs w:val="20"/>
    </w:rPr>
  </w:style>
  <w:style w:type="character" w:styleId="857" w:customStyle="1">
    <w:name w:val="Тема примечания Знак"/>
    <w:basedOn w:val="856"/>
    <w:uiPriority w:val="99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858">
    <w:name w:val="Hyperlink"/>
    <w:basedOn w:val="825"/>
    <w:uiPriority w:val="99"/>
    <w:unhideWhenUsed/>
    <w:rPr>
      <w:color w:val="0563c1" w:themeColor="hyperlink"/>
      <w:u w:val="single"/>
    </w:rPr>
  </w:style>
  <w:style w:type="character" w:styleId="859" w:customStyle="1">
    <w:name w:val="Заголовок 9 Знак"/>
    <w:basedOn w:val="825"/>
    <w:uiPriority w:val="9"/>
    <w:semiHidden/>
    <w:qFormat/>
    <w:rPr>
      <w:rFonts w:ascii="Cambria" w:hAnsi="Cambria" w:eastAsia="Times New Roman" w:cs="Times New Roman"/>
      <w:sz w:val="20"/>
      <w:szCs w:val="20"/>
    </w:rPr>
  </w:style>
  <w:style w:type="character" w:styleId="860" w:customStyle="1">
    <w:name w:val="Основной текст_"/>
    <w:qFormat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character" w:styleId="861" w:customStyle="1">
    <w:name w:val="Основной текст Знак"/>
    <w:basedOn w:val="825"/>
    <w:qFormat/>
    <w:rPr>
      <w:sz w:val="20"/>
    </w:rPr>
  </w:style>
  <w:style w:type="character" w:styleId="862" w:customStyle="1">
    <w:name w:val="Стиль вставки"/>
    <w:basedOn w:val="825"/>
    <w:uiPriority w:val="1"/>
    <w:qFormat/>
    <w:rPr>
      <w:rFonts w:ascii="Tahoma" w:hAnsi="Tahoma"/>
      <w:color w:val="000000" w:themeColor="text1"/>
      <w:sz w:val="20"/>
    </w:rPr>
  </w:style>
  <w:style w:type="paragraph" w:styleId="863">
    <w:name w:val="Заголовок"/>
    <w:basedOn w:val="814"/>
    <w:next w:val="864"/>
    <w:qFormat/>
    <w:pPr>
      <w:keepNext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864">
    <w:name w:val="Body Text"/>
    <w:pPr>
      <w:jc w:val="left"/>
      <w:spacing w:before="0" w:after="140" w:line="288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0"/>
      <w:szCs w:val="22"/>
      <w:lang w:val="ru-RU" w:eastAsia="en-US" w:bidi="ar-SA"/>
    </w:rPr>
  </w:style>
  <w:style w:type="paragraph" w:styleId="865">
    <w:name w:val="List"/>
    <w:basedOn w:val="864"/>
    <w:rPr>
      <w:rFonts w:cs="Lohit Devanagari"/>
    </w:rPr>
  </w:style>
  <w:style w:type="paragraph" w:styleId="866">
    <w:name w:val="Caption"/>
    <w:basedOn w:val="814"/>
    <w:link w:val="84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867">
    <w:name w:val="Указатель"/>
    <w:basedOn w:val="814"/>
    <w:qFormat/>
    <w:pPr>
      <w:suppressLineNumbers/>
    </w:pPr>
    <w:rPr>
      <w:rFonts w:cs="Lohit Devanagari"/>
    </w:rPr>
  </w:style>
  <w:style w:type="paragraph" w:styleId="868" w:customStyle="1">
    <w:name w:val="Заголовок1"/>
    <w:basedOn w:val="814"/>
    <w:next w:val="864"/>
    <w:qFormat/>
    <w:pPr>
      <w:keepNext/>
      <w:spacing w:before="240" w:after="120"/>
    </w:pPr>
    <w:rPr>
      <w:rFonts w:ascii="Open Sans" w:hAnsi="Open Sans" w:eastAsia="WenQuanYi Micro Hei" w:cs="Lohit Devanagari"/>
    </w:rPr>
  </w:style>
  <w:style w:type="paragraph" w:styleId="869">
    <w:name w:val="index heading1"/>
    <w:basedOn w:val="868"/>
    <w:qFormat/>
  </w:style>
  <w:style w:type="paragraph" w:styleId="870">
    <w:name w:val="Title"/>
    <w:basedOn w:val="81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71">
    <w:name w:val="Subtitle"/>
    <w:basedOn w:val="814"/>
    <w:uiPriority w:val="11"/>
    <w:qFormat/>
    <w:pPr>
      <w:spacing w:before="200" w:after="200"/>
    </w:pPr>
    <w:rPr>
      <w:sz w:val="24"/>
      <w:szCs w:val="24"/>
    </w:rPr>
  </w:style>
  <w:style w:type="paragraph" w:styleId="872">
    <w:name w:val="Quote"/>
    <w:basedOn w:val="814"/>
    <w:uiPriority w:val="29"/>
    <w:qFormat/>
    <w:pPr>
      <w:ind w:left="720" w:right="720" w:firstLine="0"/>
    </w:pPr>
    <w:rPr>
      <w:i/>
    </w:rPr>
  </w:style>
  <w:style w:type="paragraph" w:styleId="873">
    <w:name w:val="Intense Quote"/>
    <w:basedOn w:val="814"/>
    <w:uiPriority w:val="30"/>
    <w:qFormat/>
    <w:pPr>
      <w:ind w:left="720" w:right="720" w:firstLine="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4">
    <w:name w:val="endnote text"/>
    <w:basedOn w:val="814"/>
    <w:uiPriority w:val="99"/>
    <w:semiHidden/>
    <w:unhideWhenUsed/>
    <w:pPr>
      <w:spacing w:line="240" w:lineRule="auto"/>
    </w:pPr>
    <w:rPr>
      <w:sz w:val="20"/>
    </w:rPr>
  </w:style>
  <w:style w:type="paragraph" w:styleId="875">
    <w:name w:val="toc 1"/>
    <w:basedOn w:val="814"/>
    <w:uiPriority w:val="39"/>
    <w:unhideWhenUsed/>
    <w:pPr>
      <w:ind w:firstLine="0"/>
      <w:spacing w:before="0" w:after="57"/>
    </w:pPr>
  </w:style>
  <w:style w:type="paragraph" w:styleId="876">
    <w:name w:val="toc 2"/>
    <w:basedOn w:val="814"/>
    <w:uiPriority w:val="39"/>
    <w:unhideWhenUsed/>
    <w:pPr>
      <w:ind w:left="283" w:firstLine="0"/>
      <w:spacing w:before="0" w:after="57"/>
    </w:pPr>
  </w:style>
  <w:style w:type="paragraph" w:styleId="877">
    <w:name w:val="toc 3"/>
    <w:basedOn w:val="814"/>
    <w:uiPriority w:val="39"/>
    <w:unhideWhenUsed/>
    <w:pPr>
      <w:ind w:left="567" w:firstLine="0"/>
      <w:spacing w:before="0" w:after="57"/>
    </w:pPr>
  </w:style>
  <w:style w:type="paragraph" w:styleId="878">
    <w:name w:val="toc 4"/>
    <w:basedOn w:val="814"/>
    <w:uiPriority w:val="39"/>
    <w:unhideWhenUsed/>
    <w:pPr>
      <w:ind w:left="850" w:firstLine="0"/>
      <w:spacing w:before="0" w:after="57"/>
    </w:pPr>
  </w:style>
  <w:style w:type="paragraph" w:styleId="879">
    <w:name w:val="toc 5"/>
    <w:basedOn w:val="814"/>
    <w:uiPriority w:val="39"/>
    <w:unhideWhenUsed/>
    <w:pPr>
      <w:ind w:left="1134" w:firstLine="0"/>
      <w:spacing w:before="0" w:after="57"/>
    </w:pPr>
  </w:style>
  <w:style w:type="paragraph" w:styleId="880">
    <w:name w:val="toc 6"/>
    <w:basedOn w:val="814"/>
    <w:uiPriority w:val="39"/>
    <w:unhideWhenUsed/>
    <w:pPr>
      <w:ind w:left="1417" w:firstLine="0"/>
      <w:spacing w:before="0" w:after="57"/>
    </w:pPr>
  </w:style>
  <w:style w:type="paragraph" w:styleId="881">
    <w:name w:val="toc 7"/>
    <w:basedOn w:val="814"/>
    <w:uiPriority w:val="39"/>
    <w:unhideWhenUsed/>
    <w:pPr>
      <w:ind w:left="1701" w:firstLine="0"/>
      <w:spacing w:before="0" w:after="57"/>
    </w:pPr>
  </w:style>
  <w:style w:type="paragraph" w:styleId="882">
    <w:name w:val="toc 8"/>
    <w:basedOn w:val="814"/>
    <w:uiPriority w:val="39"/>
    <w:unhideWhenUsed/>
    <w:pPr>
      <w:ind w:left="1984" w:firstLine="0"/>
      <w:spacing w:before="0" w:after="57"/>
    </w:pPr>
  </w:style>
  <w:style w:type="paragraph" w:styleId="883">
    <w:name w:val="toc 9"/>
    <w:basedOn w:val="814"/>
    <w:uiPriority w:val="39"/>
    <w:unhideWhenUsed/>
    <w:pPr>
      <w:ind w:left="2268" w:firstLine="0"/>
      <w:spacing w:before="0" w:after="57"/>
    </w:pPr>
  </w:style>
  <w:style w:type="paragraph" w:styleId="884">
    <w:name w:val="Index Heading"/>
    <w:basedOn w:val="863"/>
  </w:style>
  <w:style w:type="paragraph" w:styleId="885">
    <w:name w:val="TOC Heading"/>
    <w:uiPriority w:val="39"/>
    <w:unhideWhenUsed/>
    <w:qFormat/>
    <w:pPr>
      <w:jc w:val="left"/>
      <w:spacing w:before="0" w:after="16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86">
    <w:name w:val="table of figures"/>
    <w:basedOn w:val="814"/>
    <w:uiPriority w:val="99"/>
    <w:unhideWhenUsed/>
    <w:qFormat/>
  </w:style>
  <w:style w:type="paragraph" w:styleId="887" w:customStyle="1">
    <w:name w:val="Колонтитул"/>
    <w:basedOn w:val="814"/>
    <w:qFormat/>
  </w:style>
  <w:style w:type="paragraph" w:styleId="888">
    <w:name w:val="Header"/>
    <w:basedOn w:val="814"/>
    <w:uiPriority w:val="99"/>
    <w:pPr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889">
    <w:name w:val="List Paragraph"/>
    <w:basedOn w:val="814"/>
    <w:uiPriority w:val="34"/>
    <w:qFormat/>
    <w:pPr>
      <w:contextualSpacing/>
      <w:ind w:left="720" w:firstLine="0"/>
      <w:jc w:val="left"/>
      <w:spacing w:before="0" w:after="0" w:line="240" w:lineRule="auto"/>
    </w:pPr>
    <w:rPr>
      <w:sz w:val="24"/>
      <w:szCs w:val="24"/>
    </w:rPr>
  </w:style>
  <w:style w:type="paragraph" w:styleId="890">
    <w:name w:val="Footer"/>
    <w:basedOn w:val="814"/>
    <w:uiPriority w:val="99"/>
    <w:pPr>
      <w:spacing w:line="240" w:lineRule="auto"/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891" w:customStyle="1">
    <w:name w:val="Знак Знак Знак Знак Знак Знак Знак Знак Знак1"/>
    <w:basedOn w:val="814"/>
    <w:qFormat/>
    <w:pPr>
      <w:ind w:firstLine="0"/>
      <w:spacing w:before="0" w:after="160" w:line="240" w:lineRule="exact"/>
    </w:pPr>
    <w:rPr>
      <w:rFonts w:ascii="Verdana" w:hAnsi="Verdana"/>
      <w:sz w:val="22"/>
      <w:szCs w:val="20"/>
      <w:lang w:val="en-US" w:eastAsia="en-US"/>
    </w:rPr>
  </w:style>
  <w:style w:type="paragraph" w:styleId="892">
    <w:name w:val="Balloon Text"/>
    <w:basedOn w:val="814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893">
    <w:name w:val="footnote text"/>
    <w:basedOn w:val="814"/>
    <w:uiPriority w:val="99"/>
    <w:unhideWhenUsed/>
    <w:pPr>
      <w:spacing w:line="240" w:lineRule="auto"/>
    </w:pPr>
    <w:rPr>
      <w:sz w:val="20"/>
      <w:szCs w:val="20"/>
    </w:rPr>
  </w:style>
  <w:style w:type="paragraph" w:styleId="894">
    <w:name w:val="annotation text"/>
    <w:basedOn w:val="814"/>
    <w:uiPriority w:val="99"/>
    <w:unhideWhenUsed/>
    <w:qFormat/>
    <w:pPr>
      <w:ind w:firstLine="0"/>
      <w:jc w:val="left"/>
      <w:spacing w:line="240" w:lineRule="auto"/>
    </w:pPr>
    <w:rPr>
      <w:sz w:val="20"/>
      <w:szCs w:val="20"/>
    </w:rPr>
  </w:style>
  <w:style w:type="paragraph" w:styleId="895">
    <w:name w:val="annotation subject"/>
    <w:basedOn w:val="894"/>
    <w:uiPriority w:val="99"/>
    <w:semiHidden/>
    <w:unhideWhenUsed/>
    <w:qFormat/>
    <w:pPr>
      <w:ind w:firstLine="567"/>
      <w:jc w:val="both"/>
    </w:pPr>
    <w:rPr>
      <w:b/>
      <w:bCs/>
    </w:rPr>
  </w:style>
  <w:style w:type="paragraph" w:styleId="896">
    <w:name w:val="Revision"/>
    <w:uiPriority w:val="99"/>
    <w:semiHidden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8"/>
      <w:szCs w:val="28"/>
      <w:lang w:val="ru-RU" w:eastAsia="ru-RU" w:bidi="ar-SA"/>
    </w:rPr>
  </w:style>
  <w:style w:type="paragraph" w:styleId="897" w:customStyle="1">
    <w:name w:val="Основной текст3"/>
    <w:basedOn w:val="814"/>
    <w:qFormat/>
    <w:pPr>
      <w:ind w:hanging="4780"/>
      <w:jc w:val="left"/>
      <w:spacing w:before="0" w:after="120" w:line="0" w:lineRule="atLeast"/>
      <w:shd w:val="clear" w:color="auto" w:fill="ffffff"/>
      <w:widowControl w:val="off"/>
    </w:pPr>
    <w:rPr>
      <w:sz w:val="23"/>
      <w:szCs w:val="23"/>
      <w:lang w:eastAsia="en-US"/>
    </w:rPr>
  </w:style>
  <w:style w:type="paragraph" w:styleId="898" w:customStyle="1">
    <w:name w:val="Обычный1"/>
    <w:qFormat/>
    <w:pPr>
      <w:jc w:val="left"/>
      <w:spacing w:before="0" w:after="0" w:line="276" w:lineRule="atLeast"/>
      <w:widowControl/>
      <w:tabs>
        <w:tab w:val="left" w:pos="709" w:leader="none"/>
      </w:tabs>
    </w:pPr>
    <w:rPr>
      <w:rFonts w:ascii="Calibri" w:hAnsi="Calibri" w:eastAsia="DejaVu Sans" w:cs="Arial" w:asciiTheme="minorHAnsi" w:hAnsiTheme="minorHAnsi" w:cstheme="minorBidi"/>
      <w:color w:val="auto"/>
      <w:sz w:val="22"/>
      <w:szCs w:val="22"/>
      <w:lang w:val="ru-RU" w:eastAsia="en-US" w:bidi="ar-SA"/>
    </w:rPr>
  </w:style>
  <w:style w:type="paragraph" w:styleId="899">
    <w:name w:val="No Spacing"/>
    <w:qFormat/>
    <w:pPr>
      <w:jc w:val="left"/>
      <w:spacing w:before="0" w:after="0" w:line="276" w:lineRule="atLeast"/>
      <w:widowControl w:val="off"/>
      <w:tabs>
        <w:tab w:val="left" w:pos="709" w:leader="none"/>
      </w:tabs>
    </w:pPr>
    <w:rPr>
      <w:rFonts w:ascii="Calibri" w:hAnsi="Calibri" w:eastAsia="DejaVu Sans" w:cs="Arial" w:asciiTheme="minorHAnsi" w:hAnsiTheme="minorHAnsi" w:cstheme="minorBidi"/>
      <w:color w:val="auto"/>
      <w:sz w:val="22"/>
      <w:szCs w:val="22"/>
      <w:lang w:val="ru-RU" w:eastAsia="en-US" w:bidi="ar-SA"/>
    </w:rPr>
  </w:style>
  <w:style w:type="paragraph" w:styleId="900">
    <w:name w:val="Normal (Web)"/>
    <w:basedOn w:val="814"/>
    <w:uiPriority w:val="99"/>
    <w:unhideWhenUsed/>
    <w:qFormat/>
    <w:pPr>
      <w:ind w:firstLine="0"/>
      <w:jc w:val="left"/>
      <w:spacing w:beforeAutospacing="1" w:afterAutospacing="1" w:line="240" w:lineRule="auto"/>
    </w:pPr>
    <w:rPr>
      <w:sz w:val="24"/>
      <w:szCs w:val="24"/>
    </w:rPr>
  </w:style>
  <w:style w:type="numbering" w:styleId="901" w:default="1">
    <w:name w:val="No List"/>
    <w:uiPriority w:val="99"/>
    <w:semiHidden/>
    <w:unhideWhenUsed/>
    <w:qFormat/>
  </w:style>
  <w:style w:type="table" w:styleId="90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03" w:customStyle="1">
    <w:name w:val="Plain Table 1"/>
    <w:basedOn w:val="9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04" w:customStyle="1">
    <w:name w:val="Plain Table 2"/>
    <w:basedOn w:val="9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05" w:customStyle="1">
    <w:name w:val="Plain Table 3"/>
    <w:basedOn w:val="902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6" w:customStyle="1">
    <w:name w:val="Plain Table 4"/>
    <w:basedOn w:val="902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Plain Table 5"/>
    <w:basedOn w:val="902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1 Light"/>
    <w:basedOn w:val="9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Grid Table 2"/>
    <w:basedOn w:val="9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3"/>
    <w:basedOn w:val="9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4"/>
    <w:basedOn w:val="9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12" w:customStyle="1">
    <w:name w:val="Grid Table 5 Dark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13" w:customStyle="1">
    <w:name w:val="Grid Table 6 Colorful"/>
    <w:basedOn w:val="9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14" w:customStyle="1">
    <w:name w:val="Grid Table 7 Colorful"/>
    <w:basedOn w:val="9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"/>
    <w:basedOn w:val="902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2"/>
    <w:basedOn w:val="9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917" w:customStyle="1">
    <w:name w:val="List Table 3"/>
    <w:basedOn w:val="9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"/>
    <w:basedOn w:val="9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5 Dark"/>
    <w:basedOn w:val="9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0" w:customStyle="1">
    <w:name w:val="List Table 6 Colorful"/>
    <w:basedOn w:val="9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21" w:customStyle="1">
    <w:name w:val="List Table 7 Colorful"/>
    <w:basedOn w:val="9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3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4" w:customStyle="1">
    <w:name w:val="Таблица простая 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25" w:customStyle="1">
    <w:name w:val="Таблица простая 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26" w:customStyle="1">
    <w:name w:val="Таблица простая 3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27" w:customStyle="1">
    <w:name w:val="Таблица простая 4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Таблица простая 5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29" w:customStyle="1">
    <w:name w:val="Таблица-сетка 1 светлая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Grid Table 1 Light - Accent 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Grid Table 1 Light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Grid Table 1 Light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Grid Table 1 Light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Grid Table 1 Light - Accent 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Grid Table 1 Light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Таблица-сетка 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Grid Table 2 - Accent 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2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Grid Table 2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Grid Table 2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Grid Table 2 - Accent 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Grid Table 2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Таблица-сетка 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Grid Table 3 - Accent 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3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3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3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3 - Accent 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3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Таблица-сетка 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51" w:customStyle="1">
    <w:name w:val="Grid Table 4 - Accent 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cPr>
        <w:shd w:val="clear" w:color="deebf6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68a2d8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</w:tcBorders>
      </w:tcPr>
    </w:tblStylePr>
  </w:style>
  <w:style w:type="table" w:styleId="952" w:customStyle="1">
    <w:name w:val="Grid Table 4 - Accent 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</w:tcBorders>
      </w:tcPr>
    </w:tblStylePr>
  </w:style>
  <w:style w:type="table" w:styleId="953" w:customStyle="1">
    <w:name w:val="Grid Table 4 - Accent 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</w:style>
  <w:style w:type="table" w:styleId="954" w:customStyle="1">
    <w:name w:val="Grid Table 4 - Accent 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</w:tcBorders>
      </w:tcPr>
    </w:tblStylePr>
  </w:style>
  <w:style w:type="table" w:styleId="955" w:customStyle="1">
    <w:name w:val="Grid Table 4 - Accent 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956" w:customStyle="1">
    <w:name w:val="Grid Table 4 - Accent 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57" w:customStyle="1">
    <w:name w:val="Таблица-сетка 5 темная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58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959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960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961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962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963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964" w:customStyle="1">
    <w:name w:val="Таблица-сетк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65" w:customStyle="1">
    <w:name w:val="Grid Table 6 Colorful - Accent 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66" w:customStyle="1">
    <w:name w:val="Grid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67" w:customStyle="1">
    <w:name w:val="Grid Table 6 Colorful - Accent 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68" w:customStyle="1">
    <w:name w:val="Grid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69" w:customStyle="1">
    <w:name w:val="Grid Table 6 Colorful - Accent 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70" w:customStyle="1">
    <w:name w:val="Grid Table 6 Colorful - Accent 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71" w:customStyle="1">
    <w:name w:val="Таблица-сетка 7 цветная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Grid Table 7 Colorful - Accent 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Grid Table 7 Colorful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 w:customStyle="1">
    <w:name w:val="Grid Table 7 Colorful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Grid Table 7 Colorful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 w:customStyle="1">
    <w:name w:val="Grid Table 7 Colorful - Accent 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 w:customStyle="1">
    <w:name w:val="Grid Table 7 Colorful - Accent 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Список-таблица 1 светлая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Список-таблица 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86" w:customStyle="1">
    <w:name w:val="List Table 2 - Accent 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87" w:customStyle="1">
    <w:name w:val="List Table 2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88" w:customStyle="1">
    <w:name w:val="List Table 2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89" w:customStyle="1">
    <w:name w:val="List Table 2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90" w:customStyle="1">
    <w:name w:val="List Table 2 - Accent 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91" w:customStyle="1">
    <w:name w:val="List Table 2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92" w:customStyle="1">
    <w:name w:val="Список-таблица 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 w:customStyle="1">
    <w:name w:val="List Table 3 - Accent 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 w:customStyle="1">
    <w:name w:val="List Table 3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 w:customStyle="1">
    <w:name w:val="List Table 3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9c9c9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6" w:customStyle="1">
    <w:name w:val="List Table 3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7" w:customStyle="1">
    <w:name w:val="List Table 3 - Accent 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da9db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8" w:customStyle="1">
    <w:name w:val="List Table 3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9d08e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9" w:customStyle="1">
    <w:name w:val="Список-таблица 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0" w:customStyle="1">
    <w:name w:val="List Table 4 - Accent 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 w:customStyle="1">
    <w:name w:val="List Table 4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2" w:customStyle="1">
    <w:name w:val="List Table 4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List Table 4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List Table 4 - Accent 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List Table 4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Список-таблица 5 темная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7" w:customStyle="1">
    <w:name w:val="List Table 5 Dark - Accent 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8" w:customStyle="1">
    <w:name w:val="List Table 5 Dark - Accent 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9" w:customStyle="1">
    <w:name w:val="List Table 5 Dark - Accent 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0" w:customStyle="1">
    <w:name w:val="List Table 5 Dark - Accent 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1" w:customStyle="1">
    <w:name w:val="List Table 5 Dark - Accent 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2" w:customStyle="1">
    <w:name w:val="List Table 5 Dark - Accent 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3" w:customStyle="1">
    <w:name w:val="Список-таблиц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14" w:customStyle="1">
    <w:name w:val="List Table 6 Colorful - Accent 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015" w:customStyle="1">
    <w:name w:val="List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1016" w:customStyle="1">
    <w:name w:val="List Table 6 Colorful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1017" w:customStyle="1">
    <w:name w:val="List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1018" w:customStyle="1">
    <w:name w:val="List Table 6 Colorful - Accent 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1019" w:customStyle="1">
    <w:name w:val="List Table 6 Colorful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1020" w:customStyle="1">
    <w:name w:val="Список-таблица 7 цветная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 w:customStyle="1">
    <w:name w:val="List Table 7 Colorful - Accent 1"/>
    <w:uiPriority w:val="99"/>
    <w:tblPr>
      <w:tblStyleRowBandSize w:val="1"/>
      <w:tblStyleColBandSize w:val="1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 w:customStyle="1">
    <w:name w:val="List Table 7 Colorful - Accent 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 w:customStyle="1">
    <w:name w:val="List Table 7 Colorful - Accent 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 w:customStyle="1">
    <w:name w:val="List Table 7 Colorful - Accent 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 w:customStyle="1">
    <w:name w:val="List Table 7 Colorful - Accent 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List Table 7 Colorful - Accent 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028" w:customStyle="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1029" w:customStyle="1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1030" w:customStyle="1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1031" w:customStyle="1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1032" w:customStyle="1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1033" w:customStyle="1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1034" w:customStyle="1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035" w:customStyle="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1036" w:customStyle="1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1037" w:customStyle="1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1038" w:customStyle="1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1039" w:customStyle="1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1040" w:customStyle="1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1041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42" w:customStyle="1">
    <w:name w:val="Bordered - Accent 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43" w:customStyle="1">
    <w:name w:val="Bordered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044" w:customStyle="1">
    <w:name w:val="Bordered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045" w:customStyle="1">
    <w:name w:val="Bordered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046" w:customStyle="1">
    <w:name w:val="Bordered - Accent 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1047" w:customStyle="1">
    <w:name w:val="Bordered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0AD47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customXml" Target="../customXml/item1.xml" /><Relationship Id="rId18" Type="http://schemas.openxmlformats.org/officeDocument/2006/relationships/hyperlink" Target="consultantplus://offline/ref=8C84DA515E544E2EFB69A3048192FED505B0BFDC5386D4AEFE4FD64EED2E473F109E5C2D42B33CEE1A4773ECYD4FK" TargetMode="External"/><Relationship Id="rId19" Type="http://schemas.openxmlformats.org/officeDocument/2006/relationships/hyperlink" Target="consultantplus://offline/ref=8C84DA515E544E2EFB69A3048192FED505B0BFDC5386D4AEFE4FD64EED2E473F109E5C2D42B33CEE1A4773ECYD4F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DADEA-2D85-43C2-A1EB-DCB8F370F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РусГидро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Кудрявцев Виталий Витальевич</dc:creator>
  <dc:description/>
  <dc:language>ru-RU</dc:language>
  <cp:lastModifiedBy>kuzeevanv</cp:lastModifiedBy>
  <cp:revision>29</cp:revision>
  <dcterms:created xsi:type="dcterms:W3CDTF">2025-01-14T09:21:00Z</dcterms:created>
  <dcterms:modified xsi:type="dcterms:W3CDTF">2026-09-15T08:48:20Z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