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9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5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35"/>
        <w:jc w:val="center"/>
        <w:spacing w:line="276" w:lineRule="auto"/>
        <w:rPr>
          <w:rFonts w:eastAsia="Calibri"/>
          <w:b/>
          <w:bCs/>
          <w:sz w:val="26"/>
          <w:szCs w:val="26"/>
          <w:highlight w:val="none"/>
          <w:lang w:eastAsia="en-US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поставку МТР</w:t>
      </w:r>
      <w:r>
        <w:rPr>
          <w:rFonts w:eastAsia="Calibri"/>
          <w:b/>
          <w:bCs/>
          <w:sz w:val="26"/>
          <w:szCs w:val="26"/>
          <w:highlight w:val="none"/>
          <w:lang w:eastAsia="en-US"/>
        </w:rPr>
      </w:r>
      <w:r>
        <w:rPr>
          <w:rFonts w:eastAsia="Calibri"/>
          <w:b/>
          <w:bCs/>
          <w:sz w:val="26"/>
          <w:szCs w:val="26"/>
          <w:highlight w:val="none"/>
          <w:lang w:eastAsia="en-US"/>
        </w:rPr>
      </w:r>
    </w:p>
    <w:p>
      <w:pPr>
        <w:pStyle w:val="935"/>
        <w:jc w:val="center"/>
        <w:spacing w:line="276" w:lineRule="auto"/>
        <w:rPr>
          <w:rFonts w:eastAsia="Calibri"/>
          <w:b/>
          <w:bCs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  <w:lang w:eastAsia="en-US"/>
        </w:rPr>
      </w:r>
      <w:r>
        <w:rPr>
          <w:rFonts w:eastAsia="Calibri"/>
          <w:b/>
          <w:bCs/>
          <w:sz w:val="26"/>
          <w:szCs w:val="26"/>
          <w:lang w:eastAsia="en-US"/>
        </w:rPr>
      </w:r>
      <w:r>
        <w:rPr>
          <w:rFonts w:eastAsia="Calibri"/>
          <w:b/>
          <w:bCs/>
          <w:sz w:val="26"/>
          <w:szCs w:val="26"/>
          <w:lang w:eastAsia="en-US"/>
        </w:rPr>
      </w:r>
    </w:p>
    <w:p>
      <w:pPr>
        <w:pStyle w:val="935"/>
        <w:jc w:val="center"/>
        <w:spacing w:line="276" w:lineRule="auto"/>
        <w:rPr>
          <w:rFonts w:eastAsia="Calibri"/>
          <w:b/>
          <w:bCs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  <w:lang w:eastAsia="en-US"/>
        </w:rPr>
      </w:r>
      <w:r>
        <w:rPr>
          <w:rFonts w:eastAsia="Calibri"/>
          <w:b/>
          <w:bCs/>
          <w:sz w:val="26"/>
          <w:szCs w:val="26"/>
          <w:lang w:eastAsia="en-US"/>
        </w:rPr>
      </w:r>
      <w:r>
        <w:rPr>
          <w:rFonts w:eastAsia="Calibri"/>
          <w:b/>
          <w:bCs/>
          <w:sz w:val="26"/>
          <w:szCs w:val="26"/>
          <w:lang w:eastAsia="en-US"/>
        </w:rPr>
      </w:r>
    </w:p>
    <w:p>
      <w:pPr>
        <w:pStyle w:val="935"/>
        <w:jc w:val="center"/>
        <w:spacing w:line="283" w:lineRule="atLeast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</w:r>
      <w:r>
        <w:rPr>
          <w:rFonts w:eastAsia="Calibri"/>
          <w:b/>
          <w:sz w:val="26"/>
          <w:szCs w:val="26"/>
          <w:lang w:eastAsia="en-US"/>
        </w:rPr>
        <w:t xml:space="preserve">ОКПД2 62.01.29.000 Предоставление права на использование дополнительных лицензий программного обеспечения Kaspersky для нужд  АО "ВНИИГ им. Б.Е. Веденеева"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</w:r>
      <w:r>
        <w:rPr>
          <w:rFonts w:eastAsia="Calibri"/>
          <w:b/>
          <w:sz w:val="26"/>
          <w:szCs w:val="26"/>
          <w:lang w:eastAsia="en-US"/>
        </w:rPr>
      </w:r>
    </w:p>
    <w:p>
      <w:pPr>
        <w:jc w:val="center"/>
        <w:spacing w:line="283" w:lineRule="atLeast"/>
        <w:rPr>
          <w:rFonts w:eastAsia="Calibri"/>
          <w:b/>
          <w:sz w:val="26"/>
          <w:szCs w:val="26"/>
          <w:lang w:eastAsia="en-US"/>
        </w:rPr>
      </w:pPr>
      <w:r>
        <w:rPr>
          <w:b/>
        </w:rPr>
        <w:t xml:space="preserve">Лот</w:t>
      </w:r>
      <w:r>
        <w:rPr>
          <w:rFonts w:eastAsia="Calibri"/>
          <w:b/>
          <w:bCs/>
          <w:sz w:val="26"/>
          <w:szCs w:val="26"/>
          <w:lang w:eastAsia="en-US"/>
        </w:rPr>
        <w:t xml:space="preserve"> </w:t>
      </w:r>
      <w:r>
        <w:rPr>
          <w:rFonts w:eastAsia="Calibri"/>
          <w:b/>
          <w:bCs/>
          <w:sz w:val="26"/>
          <w:szCs w:val="26"/>
          <w:lang w:eastAsia="en-US"/>
        </w:rPr>
        <w:t xml:space="preserve">№ </w:t>
      </w:r>
      <w:r>
        <w:rPr>
          <w:rFonts w:eastAsia="Calibri"/>
          <w:b/>
          <w:bCs/>
          <w:sz w:val="26"/>
          <w:szCs w:val="26"/>
          <w:lang w:eastAsia="en-US"/>
        </w:rPr>
        <w:t xml:space="preserve">_____________________</w:t>
      </w:r>
      <w:r>
        <w:rPr>
          <w:rFonts w:eastAsia="Calibri"/>
          <w:b/>
          <w:sz w:val="26"/>
          <w:szCs w:val="26"/>
          <w:lang w:eastAsia="en-US"/>
        </w:rPr>
      </w:r>
      <w:r>
        <w:rPr>
          <w:rFonts w:eastAsia="Calibri"/>
          <w:b/>
          <w:sz w:val="26"/>
          <w:szCs w:val="26"/>
          <w:lang w:eastAsia="en-US"/>
        </w:rPr>
      </w:r>
    </w:p>
    <w:p>
      <w:pPr>
        <w:pStyle w:val="935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935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935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935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935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935"/>
        <w:shd w:val="nil" w:color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br w:type="page" w:clear="all"/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before="0" w:after="0"/>
      </w:pPr>
      <w:r>
        <w:rPr>
          <w:b/>
        </w:rPr>
        <w:t xml:space="preserve">СОДЕРЖАНИЕ</w:t>
      </w:r>
      <w:r/>
    </w:p>
    <w:sdt>
      <w:sdtPr>
        <w15:appearance w15:val="boundingBox"/>
        <w:docPartObj>
          <w:docPartGallery w:val="Table of Contents"/>
          <w:docPartUnique w:val="true"/>
        </w:docPartObj>
        <w:rPr/>
      </w:sdtPr>
      <w:sdtContent>
        <w:p>
          <w:pPr>
            <w:pStyle w:val="935"/>
          </w:pPr>
          <w:r>
            <w:fldChar w:fldCharType="begin"/>
          </w:r>
          <w:r>
            <w:instrText xml:space="preserve"> TOC \z \o "1-4" \u \h</w:instrText>
          </w:r>
          <w:r>
            <w:fldChar w:fldCharType="separate"/>
          </w:r>
          <w:r>
            <w:t xml:space="preserve">1. </w:t>
          </w:r>
          <w:r>
            <w:rPr>
              <w:b/>
              <w:sz w:val="28"/>
              <w:lang w:val="ru-RU"/>
            </w:rPr>
            <w:t xml:space="preserve">Общие сведения</w:t>
          </w:r>
          <w:r>
            <w:rPr>
              <w:b/>
            </w:rPr>
            <w:t xml:space="preserve">............................................................................................................................</w:t>
          </w:r>
          <w:r>
            <w:rPr>
              <w:b/>
              <w:sz w:val="28"/>
              <w:lang w:val="ru-RU"/>
            </w:rPr>
            <w:t xml:space="preserve">3</w:t>
          </w:r>
          <w:r/>
        </w:p>
        <w:p>
          <w:pPr>
            <w:pStyle w:val="935"/>
          </w:pPr>
          <w:r>
            <w:rPr>
              <w:b w:val="0"/>
            </w:rPr>
            <w:t xml:space="preserve">1.1 Наименование закупаемой продукции............................................................................................3</w:t>
          </w:r>
          <w:r/>
        </w:p>
        <w:p>
          <w:pPr>
            <w:pStyle w:val="935"/>
          </w:pPr>
          <w:r>
            <w:rPr>
              <w:b w:val="0"/>
            </w:rPr>
            <w:t xml:space="preserve">1.2 Цель </w:t>
          </w:r>
          <w:r>
            <w:rPr>
              <w:b w:val="0"/>
              <w:lang w:val="ru-RU"/>
            </w:rPr>
            <w:t xml:space="preserve">использования закупаемой продукции</w:t>
          </w:r>
          <w:r>
            <w:rPr>
              <w:b w:val="0"/>
            </w:rPr>
            <w:t xml:space="preserve">..................................................................................3</w:t>
          </w:r>
          <w:r/>
        </w:p>
        <w:p>
          <w:pPr>
            <w:pStyle w:val="935"/>
          </w:pPr>
          <w:r>
            <w:rPr>
              <w:b/>
              <w:iCs/>
              <w:sz w:val="28"/>
              <w:lang w:val="ru-RU"/>
            </w:rPr>
            <w:t xml:space="preserve">2. Требования к продукции</w:t>
          </w:r>
          <w:r>
            <w:rPr>
              <w:b/>
            </w:rPr>
            <w:t xml:space="preserve">.........................................................................................................</w:t>
          </w:r>
          <w:r>
            <w:rPr>
              <w:b/>
              <w:sz w:val="28"/>
              <w:lang w:val="ru-RU"/>
            </w:rPr>
            <w:t xml:space="preserve">3</w:t>
          </w:r>
          <w:r/>
        </w:p>
        <w:p>
          <w:pPr>
            <w:pStyle w:val="935"/>
            <w:contextualSpacing/>
            <w:ind w:left="0" w:firstLine="0"/>
            <w:jc w:val="left"/>
            <w:spacing w:before="0" w:after="120" w:line="283" w:lineRule="atLeast"/>
          </w:pPr>
          <w:r>
            <w:rPr>
              <w:b w:val="0"/>
              <w:sz w:val="24"/>
            </w:rPr>
            <w:t xml:space="preserve">2.1 Требования к объемам и срокам </w:t>
          </w:r>
          <w:r>
            <w:rPr>
              <w:b w:val="0"/>
              <w:sz w:val="24"/>
              <w:lang w:val="ru-RU"/>
            </w:rPr>
            <w:t xml:space="preserve">поставки......................................................................................3</w:t>
          </w:r>
          <w:r/>
        </w:p>
        <w:p>
          <w:pPr>
            <w:pStyle w:val="935"/>
            <w:contextualSpacing/>
            <w:ind w:left="0" w:firstLine="0"/>
            <w:jc w:val="left"/>
            <w:spacing w:before="0" w:after="120" w:line="283" w:lineRule="atLeast"/>
          </w:pPr>
          <w:r>
            <w:rPr>
              <w:b w:val="0"/>
              <w:sz w:val="24"/>
              <w:lang w:val="ru-RU"/>
            </w:rPr>
            <w:t xml:space="preserve">2.1.1. Перечень и объем закупаемой продукции..................................................................................3</w:t>
          </w:r>
          <w:r/>
        </w:p>
        <w:p>
          <w:pPr>
            <w:pStyle w:val="935"/>
            <w:contextualSpacing/>
            <w:spacing w:before="0" w:after="0" w:line="283" w:lineRule="atLeast"/>
          </w:pPr>
          <w:r>
            <w:rPr>
              <w:b w:val="0"/>
              <w:szCs w:val="24"/>
              <w:lang w:val="ru-RU"/>
            </w:rPr>
            <w:t xml:space="preserve">Таблица 1.1 Перечень и объем закупаемой продукции</w:t>
          </w:r>
          <w:r>
            <w:rPr>
              <w:b w:val="0"/>
            </w:rPr>
            <w:t xml:space="preserve">.......................................................................3</w:t>
          </w:r>
          <w:r/>
        </w:p>
        <w:p>
          <w:pPr>
            <w:pStyle w:val="935"/>
            <w:contextualSpacing/>
            <w:ind w:left="0" w:firstLine="0"/>
            <w:jc w:val="left"/>
            <w:spacing w:before="0" w:after="120" w:line="283" w:lineRule="atLeast"/>
          </w:pPr>
          <w:r>
            <w:rPr>
              <w:b w:val="0"/>
              <w:sz w:val="24"/>
              <w:lang w:val="ru-RU"/>
            </w:rPr>
            <w:t xml:space="preserve">2.1.2 </w:t>
          </w:r>
          <w:r>
            <w:rPr>
              <w:b w:val="0"/>
              <w:sz w:val="24"/>
              <w:lang w:val="ru-RU"/>
            </w:rPr>
            <w:t xml:space="preserve">Требования к срокам поставки продукции .................................................................................3</w:t>
          </w:r>
          <w:r/>
        </w:p>
        <w:p>
          <w:pPr>
            <w:pStyle w:val="935"/>
            <w:contextualSpacing/>
            <w:spacing w:before="0" w:after="0" w:line="283" w:lineRule="atLeast"/>
          </w:pPr>
          <w:r>
            <w:rPr>
              <w:b w:val="0"/>
              <w:szCs w:val="24"/>
              <w:lang w:val="ru-RU"/>
            </w:rPr>
            <w:t xml:space="preserve">Таблица 2.1 Требования по срокам поставки продукции</w:t>
          </w:r>
          <w:r>
            <w:rPr>
              <w:b w:val="0"/>
            </w:rPr>
            <w:t xml:space="preserve">...................................................................3</w:t>
          </w:r>
          <w:r/>
        </w:p>
        <w:p>
          <w:pPr>
            <w:pStyle w:val="935"/>
            <w:contextualSpacing/>
            <w:ind w:left="0" w:firstLine="0"/>
            <w:jc w:val="left"/>
            <w:spacing w:before="0" w:after="120" w:line="283" w:lineRule="atLeast"/>
          </w:pPr>
          <w:r>
            <w:rPr>
              <w:b w:val="0"/>
              <w:sz w:val="24"/>
              <w:lang w:val="ru-RU"/>
            </w:rPr>
            <w:t xml:space="preserve">2.2 </w:t>
          </w:r>
          <w:r>
            <w:rPr>
              <w:b w:val="0"/>
              <w:sz w:val="24"/>
            </w:rPr>
            <w:t xml:space="preserve">Требования к </w:t>
          </w:r>
          <w:r>
            <w:rPr>
              <w:b w:val="0"/>
              <w:sz w:val="24"/>
              <w:lang w:val="ru-RU"/>
            </w:rPr>
            <w:t xml:space="preserve">качеству продукции..................................................................................................4</w:t>
          </w:r>
          <w:r/>
        </w:p>
        <w:p>
          <w:pPr>
            <w:pStyle w:val="935"/>
            <w:contextualSpacing/>
            <w:spacing w:before="0" w:after="0" w:line="283" w:lineRule="atLeast"/>
            <w:rPr>
              <w:b w:val="0"/>
              <w:bCs w:val="0"/>
              <w:highlight w:val="none"/>
              <w:lang w:val="ru-RU"/>
            </w:rPr>
          </w:pPr>
          <w:r>
            <w:rPr>
              <w:b w:val="0"/>
              <w:szCs w:val="24"/>
              <w:lang w:val="ru-RU"/>
            </w:rPr>
            <w:t xml:space="preserve">Таблица 3. Требования к продукции</w:t>
          </w:r>
          <w:r>
            <w:rPr>
              <w:b w:val="0"/>
              <w:lang w:val="ru-RU"/>
            </w:rPr>
            <w:t xml:space="preserve">.....................................................................................................4</w:t>
          </w:r>
          <w:r>
            <w:rPr>
              <w:b w:val="0"/>
              <w:bCs w:val="0"/>
              <w:highlight w:val="none"/>
              <w:lang w:val="ru-RU"/>
            </w:rPr>
          </w:r>
          <w:r>
            <w:rPr>
              <w:b w:val="0"/>
              <w:bCs w:val="0"/>
              <w:highlight w:val="none"/>
              <w:lang w:val="ru-RU"/>
            </w:rPr>
          </w:r>
        </w:p>
        <w:p>
          <w:pPr>
            <w:pStyle w:val="935"/>
            <w:contextualSpacing/>
            <w:spacing w:before="0" w:after="0" w:line="283" w:lineRule="atLeast"/>
          </w:pPr>
          <w:r>
            <w:rPr>
              <w:b w:val="0"/>
              <w:bCs w:val="0"/>
              <w:highlight w:val="white"/>
              <w:lang w:val="ru-RU"/>
            </w:rPr>
            <w:t xml:space="preserve">2.2.1 В составе заявки необходимо предоставить................................................................................</w:t>
          </w:r>
          <w:r>
            <w:rPr>
              <w:b w:val="0"/>
              <w:bCs w:val="0"/>
              <w:highlight w:val="white"/>
              <w:lang w:val="ru-RU"/>
            </w:rPr>
            <w:t xml:space="preserve">5</w:t>
          </w:r>
          <w:r>
            <w:rPr>
              <w:b w:val="0"/>
              <w:bCs w:val="0"/>
              <w:highlight w:val="white"/>
              <w:lang w:val="ru-RU"/>
            </w:rPr>
          </w:r>
          <w:r/>
        </w:p>
        <w:p>
          <w:pPr>
            <w:pStyle w:val="935"/>
          </w:pPr>
          <w:r>
            <w:rPr>
              <w:b/>
              <w:bCs/>
              <w:iCs/>
              <w:sz w:val="28"/>
              <w:szCs w:val="24"/>
              <w:lang w:val="ru-RU"/>
            </w:rPr>
            <w:t xml:space="preserve">3. Требования к документации по ценообразованию </w:t>
          </w:r>
          <w:r>
            <w:rPr>
              <w:b/>
              <w:sz w:val="28"/>
              <w:lang w:val="ru-RU"/>
            </w:rPr>
            <w:t xml:space="preserve"> на этапе закупки</w:t>
          </w:r>
          <w:r>
            <w:rPr>
              <w:b/>
              <w:bCs/>
              <w:iCs/>
              <w:sz w:val="28"/>
              <w:szCs w:val="24"/>
              <w:lang w:val="ru-RU"/>
            </w:rPr>
            <w:t xml:space="preserve">.</w:t>
          </w:r>
          <w:r>
            <w:rPr>
              <w:b/>
              <w:sz w:val="28"/>
              <w:lang w:val="ru-RU"/>
            </w:rPr>
            <w:t xml:space="preserve">...........6</w:t>
          </w:r>
          <w:r/>
        </w:p>
        <w:p>
          <w:pPr>
            <w:pStyle w:val="935"/>
          </w:pPr>
          <w:r>
            <w:rPr>
              <w:b/>
              <w:sz w:val="28"/>
              <w:lang w:val="ru-RU"/>
            </w:rPr>
            <w:t xml:space="preserve">4. Требования к документации по ценообразованию на этапе заключения (исполнения) договора......</w:t>
          </w:r>
          <w:r>
            <w:rPr>
              <w:b/>
              <w:bCs/>
              <w:sz w:val="28"/>
              <w:szCs w:val="28"/>
              <w:lang w:val="ru-RU"/>
            </w:rPr>
            <w:t xml:space="preserve">............................................................................................6</w:t>
          </w:r>
          <w:r/>
        </w:p>
        <w:p>
          <w:pPr>
            <w:pStyle w:val="935"/>
          </w:pPr>
          <w:r>
            <w:rPr>
              <w:b/>
              <w:bCs/>
              <w:sz w:val="28"/>
              <w:szCs w:val="28"/>
              <w:lang w:val="ru-RU"/>
            </w:rPr>
            <w:t xml:space="preserve">5. Приложения................................................................................................................6</w:t>
          </w:r>
          <w:r>
            <w:rPr>
              <w:b/>
              <w:bCs/>
              <w:sz w:val="28"/>
              <w:szCs w:val="28"/>
              <w:lang w:val="ru-RU"/>
            </w:rPr>
            <w:fldChar w:fldCharType="end"/>
          </w:r>
          <w:r/>
        </w:p>
      </w:sdtContent>
    </w:sdt>
    <w:p>
      <w:pPr>
        <w:pStyle w:val="935"/>
        <w:jc w:val="center"/>
        <w:spacing w:line="360" w:lineRule="auto"/>
        <w:rPr>
          <w:b/>
          <w:bCs/>
          <w:color w:val="000000"/>
          <w:highlight w:val="none"/>
        </w:rPr>
      </w:pPr>
      <w:r>
        <w:rPr>
          <w:b/>
          <w:bCs/>
          <w:color w:val="000000"/>
        </w:rPr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jc w:val="center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935"/>
        <w:shd w:val="nil" w:color="auto"/>
        <w:rPr>
          <w:b/>
          <w:bCs/>
          <w:color w:val="000000"/>
        </w:rPr>
      </w:pPr>
      <w:r>
        <w:rPr>
          <w:b/>
          <w:bCs/>
          <w:color w:val="000000"/>
        </w:rPr>
      </w:r>
      <w:r>
        <w:br w:type="page" w:clear="all"/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1014"/>
        <w:numPr>
          <w:ilvl w:val="0"/>
          <w:numId w:val="2"/>
        </w:numPr>
        <w:contextualSpacing/>
        <w:ind w:left="567" w:hanging="567"/>
        <w:jc w:val="center"/>
        <w:spacing w:before="0" w:after="120"/>
        <w:rPr>
          <w:b/>
          <w:bCs/>
          <w:sz w:val="28"/>
          <w:szCs w:val="28"/>
          <w:lang w:val="ru-RU"/>
        </w:rPr>
        <w:outlineLvl w:val="0"/>
      </w:pPr>
      <w:r>
        <w:rPr>
          <w:b/>
          <w:sz w:val="28"/>
          <w:lang w:val="ru-RU"/>
        </w:rPr>
        <w:t xml:space="preserve">Общие сведения</w:t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935"/>
        <w:numPr>
          <w:ilvl w:val="0"/>
          <w:numId w:val="0"/>
        </w:numPr>
        <w:jc w:val="center"/>
        <w:spacing w:before="0" w:after="120"/>
        <w:rPr>
          <w:b/>
          <w:bCs/>
          <w:sz w:val="28"/>
          <w:szCs w:val="28"/>
          <w:lang w:val="ru-RU"/>
        </w:rPr>
        <w:outlineLvl w:val="0"/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1014"/>
        <w:numPr>
          <w:ilvl w:val="1"/>
          <w:numId w:val="2"/>
        </w:numPr>
        <w:contextualSpacing/>
        <w:ind w:left="567" w:hanging="567"/>
        <w:jc w:val="left"/>
        <w:spacing w:before="0" w:after="120"/>
        <w:outlineLvl w:val="0"/>
      </w:pPr>
      <w:r>
        <w:rPr>
          <w:b/>
        </w:rPr>
        <w:t xml:space="preserve">Наименование закупаемой продукции</w:t>
      </w:r>
      <w:r/>
    </w:p>
    <w:p>
      <w:pPr>
        <w:ind w:firstLine="567"/>
        <w:jc w:val="both"/>
        <w:rPr>
          <w:highlight w:val="none"/>
        </w:rPr>
        <w:outlineLvl w:val="0"/>
      </w:pPr>
      <w:r>
        <w:rPr>
          <w:lang w:eastAsia="en-US"/>
        </w:rPr>
      </w:r>
      <w:r>
        <w:rPr>
          <w:lang w:eastAsia="en-US"/>
        </w:rPr>
        <w:t xml:space="preserve">ОКПД2 62.01.29.000 Предоставление права на использование дополнительных лицензий программного обеспечения Kaspersky для нужд  АО "ВНИИГ им. Б.Е. Веденеева"</w:t>
      </w:r>
      <w:r>
        <w:rPr>
          <w:highlight w:val="none"/>
        </w:rPr>
      </w:r>
      <w:r>
        <w:rPr>
          <w:highlight w:val="none"/>
        </w:rPr>
      </w:r>
    </w:p>
    <w:p>
      <w:pPr>
        <w:pStyle w:val="935"/>
        <w:numPr>
          <w:ilvl w:val="0"/>
          <w:numId w:val="0"/>
        </w:numPr>
        <w:ind w:left="567" w:right="0" w:firstLine="0"/>
        <w:outlineLvl w:val="0"/>
      </w:pPr>
      <w:r/>
      <w:r/>
    </w:p>
    <w:p>
      <w:pPr>
        <w:pStyle w:val="1014"/>
        <w:numPr>
          <w:ilvl w:val="1"/>
          <w:numId w:val="2"/>
        </w:numPr>
        <w:contextualSpacing/>
        <w:ind w:left="567" w:hanging="567"/>
        <w:jc w:val="left"/>
        <w:spacing w:before="0" w:after="120"/>
        <w:outlineLvl w:val="0"/>
      </w:pPr>
      <w:r>
        <w:rPr>
          <w:b/>
          <w:bCs/>
        </w:rPr>
        <w:t xml:space="preserve">Цель </w:t>
      </w:r>
      <w:r>
        <w:rPr>
          <w:b/>
          <w:bCs/>
          <w:lang w:val="ru-RU"/>
        </w:rPr>
        <w:t xml:space="preserve">использования закупаемой продукции</w:t>
      </w:r>
      <w:r/>
    </w:p>
    <w:p>
      <w:pPr>
        <w:pStyle w:val="935"/>
        <w:ind w:firstLine="567"/>
        <w:jc w:val="both"/>
      </w:pPr>
      <w:r>
        <w:t xml:space="preserve">Целью закупки является п</w:t>
      </w:r>
      <w:r>
        <w:rPr>
          <w:lang w:eastAsia="en-US"/>
        </w:rPr>
        <w:t xml:space="preserve">редоставление права на использование дополнительных лицензий программного обеспечения Kaspersky</w:t>
      </w:r>
      <w:r>
        <w:rPr>
          <w:lang w:eastAsia="en-US"/>
        </w:rPr>
        <w:t xml:space="preserve">.</w:t>
      </w:r>
      <w:r/>
    </w:p>
    <w:p>
      <w:pPr>
        <w:pStyle w:val="935"/>
      </w:pPr>
      <w:r/>
      <w:r/>
    </w:p>
    <w:p>
      <w:pPr>
        <w:pStyle w:val="1014"/>
        <w:numPr>
          <w:ilvl w:val="0"/>
          <w:numId w:val="2"/>
        </w:numPr>
        <w:contextualSpacing/>
        <w:ind w:left="567" w:hanging="567"/>
        <w:jc w:val="center"/>
        <w:spacing w:before="0" w:after="120"/>
      </w:pPr>
      <w:r>
        <w:rPr>
          <w:b/>
          <w:bCs/>
          <w:sz w:val="28"/>
          <w:szCs w:val="28"/>
          <w:lang w:val="ru-RU"/>
        </w:rPr>
        <w:t xml:space="preserve">Требования к продукции</w:t>
      </w:r>
      <w:r/>
    </w:p>
    <w:p>
      <w:pPr>
        <w:pStyle w:val="935"/>
        <w:ind w:left="567" w:firstLine="0"/>
        <w:jc w:val="center"/>
        <w:spacing w:before="0" w:after="120"/>
      </w:pPr>
      <w:r/>
      <w:r/>
    </w:p>
    <w:p>
      <w:pPr>
        <w:pStyle w:val="1014"/>
        <w:numPr>
          <w:ilvl w:val="1"/>
          <w:numId w:val="2"/>
        </w:numPr>
        <w:contextualSpacing/>
        <w:ind w:left="567" w:hanging="567"/>
        <w:jc w:val="left"/>
        <w:spacing w:before="0" w:after="0"/>
      </w:pPr>
      <w:r>
        <w:rPr>
          <w:b/>
          <w:bCs/>
        </w:rPr>
        <w:t xml:space="preserve">Требования к объемам и срокам </w:t>
      </w:r>
      <w:r>
        <w:rPr>
          <w:b/>
          <w:bCs/>
          <w:lang w:val="ru-RU"/>
        </w:rPr>
        <w:t xml:space="preserve">поставки</w:t>
      </w:r>
      <w:r/>
    </w:p>
    <w:p>
      <w:pPr>
        <w:pStyle w:val="1014"/>
        <w:numPr>
          <w:ilvl w:val="2"/>
          <w:numId w:val="2"/>
        </w:numPr>
        <w:contextualSpacing/>
        <w:ind w:left="567" w:hanging="567"/>
        <w:jc w:val="left"/>
        <w:spacing w:before="0" w:after="120"/>
      </w:pPr>
      <w:r>
        <w:rPr>
          <w:b/>
          <w:bCs/>
          <w:lang w:val="ru-RU"/>
        </w:rPr>
        <w:t xml:space="preserve">Перечень и объем закупаемой продукции</w:t>
      </w:r>
      <w:r/>
    </w:p>
    <w:p>
      <w:pPr>
        <w:pStyle w:val="935"/>
        <w:rPr>
          <w:highlight w:val="none"/>
        </w:rPr>
      </w:pPr>
      <w:r>
        <w:rPr>
          <w:b/>
          <w:szCs w:val="24"/>
          <w:lang w:val="ru-RU"/>
        </w:rPr>
        <w:t xml:space="preserve">Таблица 1.1 Перечень и объем закупаемой продукции</w:t>
      </w:r>
      <w:r>
        <w:rPr>
          <w:highlight w:val="none"/>
        </w:rPr>
      </w:r>
      <w:r>
        <w:rPr>
          <w:highlight w:val="none"/>
        </w:rPr>
      </w:r>
    </w:p>
    <w:tbl>
      <w:tblPr>
        <w:tblW w:w="9812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567"/>
        <w:gridCol w:w="6093"/>
        <w:gridCol w:w="1701"/>
        <w:gridCol w:w="145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5"/>
              <w:jc w:val="center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Наименование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3" w:type="dxa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01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3" w:type="dxa"/>
            <w:vAlign w:val="center"/>
            <w:textDirection w:val="lrTb"/>
            <w:noWrap w:val="false"/>
          </w:tcPr>
          <w:p>
            <w:pPr>
              <w:spacing w:before="0" w:after="0" w:line="5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Kaspersky Total Security для бизнеса Russian Edition. 5000+ Node 1 year Base Premium Plus License — Лицензия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935"/>
      </w:pPr>
      <w:r/>
      <w:r/>
    </w:p>
    <w:p>
      <w:pPr>
        <w:pStyle w:val="935"/>
      </w:pPr>
      <w:r/>
      <w:r/>
    </w:p>
    <w:p>
      <w:pPr>
        <w:pStyle w:val="1014"/>
        <w:numPr>
          <w:ilvl w:val="2"/>
          <w:numId w:val="2"/>
        </w:numPr>
        <w:contextualSpacing/>
        <w:ind w:left="567" w:hanging="567"/>
        <w:jc w:val="left"/>
        <w:spacing w:before="0" w:after="120"/>
      </w:pPr>
      <w:r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Требования к срокам поставки продукции</w:t>
      </w:r>
      <w:r/>
    </w:p>
    <w:p>
      <w:pPr>
        <w:pStyle w:val="935"/>
        <w:rPr>
          <w:highlight w:val="none"/>
        </w:rPr>
      </w:pPr>
      <w:r>
        <w:rPr>
          <w:b/>
          <w:szCs w:val="24"/>
          <w:lang w:val="ru-RU"/>
        </w:rPr>
        <w:t xml:space="preserve">Таблица 2.1 </w:t>
      </w:r>
      <w:bookmarkStart w:id="0" w:name="undefined"/>
      <w:r>
        <w:rPr>
          <w:b/>
          <w:szCs w:val="24"/>
          <w:lang w:val="ru-RU"/>
        </w:rPr>
        <w:t xml:space="preserve">Требования по срокам </w:t>
      </w:r>
      <w:bookmarkEnd w:id="0"/>
      <w:r>
        <w:rPr>
          <w:b/>
          <w:szCs w:val="24"/>
          <w:lang w:val="ru-RU"/>
        </w:rPr>
        <w:t xml:space="preserve">поставки продукции</w:t>
      </w:r>
      <w:r>
        <w:rPr>
          <w:highlight w:val="none"/>
        </w:rPr>
      </w:r>
      <w:r>
        <w:rPr>
          <w:highlight w:val="none"/>
        </w:rPr>
      </w:r>
    </w:p>
    <w:tbl>
      <w:tblPr>
        <w:tblW w:w="977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4"/>
        <w:gridCol w:w="4253"/>
        <w:gridCol w:w="2409"/>
        <w:gridCol w:w="2440"/>
      </w:tblGrid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sz w:val="24"/>
                <w:szCs w:val="24"/>
              </w:rPr>
              <w:t xml:space="preserve">Наименование продукции / партии продукции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sz w:val="24"/>
                <w:szCs w:val="24"/>
              </w:rPr>
              <w:t xml:space="preserve">Требования к началу срока поставки продукции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0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sz w:val="24"/>
                <w:szCs w:val="24"/>
              </w:rPr>
              <w:t xml:space="preserve">Требования к окончанию срока поставки продукции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  <w:szCs w:val="24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020"/>
              <w:jc w:val="center"/>
              <w:keepNext w:val="0"/>
              <w:spacing w:before="40" w:after="40"/>
            </w:pPr>
            <w:r>
              <w:rPr>
                <w:b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0" w:type="dxa"/>
            <w:textDirection w:val="lrTb"/>
            <w:noWrap w:val="false"/>
          </w:tcPr>
          <w:p>
            <w:pPr>
              <w:pStyle w:val="1020"/>
              <w:jc w:val="center"/>
              <w:keepNext w:val="0"/>
              <w:spacing w:before="40" w:after="40"/>
            </w:pPr>
            <w:r>
              <w:rPr>
                <w:b/>
                <w:sz w:val="24"/>
                <w:szCs w:val="24"/>
              </w:rPr>
              <w:t xml:space="preserve">4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1014"/>
              <w:numPr>
                <w:ilvl w:val="0"/>
                <w:numId w:val="5"/>
              </w:numPr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935"/>
              <w:jc w:val="left"/>
              <w:keepNext/>
            </w:pPr>
            <w:r>
              <w:rPr>
                <w:b w:val="0"/>
                <w:bCs w:val="0"/>
                <w:lang w:val="ru-RU" w:eastAsia="en-US"/>
              </w:rPr>
            </w:r>
            <w:r>
              <w:rPr>
                <w:b w:val="0"/>
                <w:bCs w:val="0"/>
                <w:lang w:val="ru-RU" w:eastAsia="en-US"/>
              </w:rPr>
              <w:t xml:space="preserve">Kaspersky Total Security для бизнеса Russian Edition. 5000+ Node 1 year Base Premium Plus License — Лицензия</w:t>
            </w:r>
            <w:r>
              <w:rPr>
                <w:b w:val="0"/>
                <w:bCs w:val="0"/>
                <w:lang w:val="ru-RU" w:eastAsia="en-US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9" w:type="dxa"/>
            <w:textDirection w:val="lrTb"/>
            <w:noWrap w:val="false"/>
          </w:tcPr>
          <w:p>
            <w:pPr>
              <w:pStyle w:val="935"/>
            </w:pPr>
            <w:r>
              <w:t xml:space="preserve">Ср</w:t>
            </w:r>
            <w:r>
              <w:rPr>
                <w:highlight w:val="white"/>
              </w:rPr>
              <w:t xml:space="preserve">ок передачи права использования в соо</w:t>
            </w:r>
            <w:r>
              <w:t xml:space="preserve">тветствии с условиями Проекта договора</w:t>
            </w:r>
            <w:r/>
          </w:p>
        </w:tc>
      </w:tr>
    </w:tbl>
    <w:p>
      <w:pPr>
        <w:pStyle w:val="935"/>
      </w:pPr>
      <w:r/>
      <w:r/>
    </w:p>
    <w:p>
      <w:pPr>
        <w:pStyle w:val="935"/>
        <w:shd w:val="nil" w:color="000000"/>
        <w:sectPr>
          <w:footerReference w:type="default" r:id="rId9"/>
          <w:footerReference w:type="even" r:id="rId10"/>
          <w:footerReference w:type="first" r:id="rId11"/>
          <w:footnotePr/>
          <w:endnotePr/>
          <w:type w:val="nextPage"/>
          <w:pgSz w:w="11906" w:h="16838" w:orient="portrait"/>
          <w:pgMar w:top="851" w:right="851" w:bottom="851" w:left="1134" w:header="0" w:footer="709" w:gutter="0"/>
          <w:cols w:num="1" w:sep="0" w:space="1701" w:equalWidth="1"/>
          <w:docGrid w:linePitch="360"/>
        </w:sectPr>
      </w:pPr>
      <w:r/>
      <w:r/>
    </w:p>
    <w:p>
      <w:pPr>
        <w:pStyle w:val="1014"/>
        <w:numPr>
          <w:ilvl w:val="1"/>
          <w:numId w:val="2"/>
        </w:numPr>
        <w:contextualSpacing/>
        <w:ind w:left="567" w:hanging="567"/>
        <w:jc w:val="left"/>
        <w:spacing w:before="0" w:after="120"/>
      </w:pPr>
      <w:r>
        <w:rPr>
          <w:b/>
          <w:bCs/>
        </w:rPr>
        <w:t xml:space="preserve">Требования к </w:t>
      </w:r>
      <w:r>
        <w:rPr>
          <w:b/>
          <w:bCs/>
          <w:lang w:val="ru-RU"/>
        </w:rPr>
        <w:t xml:space="preserve">качеству продукции</w:t>
      </w:r>
      <w:r/>
    </w:p>
    <w:p>
      <w:pPr>
        <w:pStyle w:val="935"/>
        <w:ind w:left="0" w:right="0" w:firstLine="0"/>
        <w:jc w:val="left"/>
        <w:spacing w:before="0" w:after="120"/>
      </w:pPr>
      <w:r>
        <w:rPr>
          <w:b/>
          <w:szCs w:val="24"/>
          <w:lang w:val="ru-RU"/>
        </w:rPr>
        <w:t xml:space="preserve">Таблица 3. Требования к продукции</w:t>
      </w:r>
      <w:r/>
    </w:p>
    <w:p>
      <w:pPr>
        <w:pStyle w:val="935"/>
        <w:rPr>
          <w:highlight w:val="none"/>
        </w:rPr>
      </w:pPr>
      <w:r>
        <w:rPr>
          <w:b/>
          <w:bCs/>
          <w:sz w:val="24"/>
          <w:szCs w:val="24"/>
        </w:rPr>
        <w:t xml:space="preserve">Наименование продукции (</w:t>
      </w:r>
      <w:r>
        <w:rPr>
          <w:b/>
          <w:bCs/>
          <w:sz w:val="24"/>
          <w:szCs w:val="24"/>
        </w:rPr>
        <w:t xml:space="preserve">Таблица 1.1):</w:t>
      </w:r>
      <w:r>
        <w:rPr>
          <w:b/>
          <w:bCs/>
          <w:lang w:val="ru-RU"/>
        </w:rPr>
        <w:t xml:space="preserve"> </w:t>
      </w:r>
      <w:r>
        <w:rPr>
          <w:lang w:eastAsia="en-US"/>
        </w:rPr>
        <w:t xml:space="preserve">ОКПД2 62.01.29.000 Предоставление права на использование дополнительных лицензий программного обеспечения Kaspersky для нужд  АО "ВНИИГ им. Б.Е. Веденеева"</w:t>
      </w:r>
      <w:r>
        <w:rPr>
          <w:highlight w:val="none"/>
        </w:rPr>
      </w:r>
      <w:r>
        <w:rPr>
          <w:highlight w:val="none"/>
        </w:rPr>
      </w:r>
    </w:p>
    <w:tbl>
      <w:tblPr>
        <w:tblW w:w="1492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7"/>
        <w:gridCol w:w="1775"/>
        <w:gridCol w:w="493"/>
        <w:gridCol w:w="5245"/>
        <w:gridCol w:w="1843"/>
        <w:gridCol w:w="2976"/>
        <w:gridCol w:w="163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vMerge w:val="restart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№ </w:t>
            </w: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5" w:type="dxa"/>
            <w:vMerge w:val="restart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Наименование </w:t>
            </w:r>
            <w:r>
              <w:rPr>
                <w:b/>
                <w:sz w:val="22"/>
                <w:szCs w:val="22"/>
                <w:lang w:val="ru-RU" w:bidi="ar-SA"/>
              </w:rPr>
              <w:t xml:space="preserve">продукции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8" w:type="dxa"/>
            <w:vMerge w:val="restart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Требование заказчика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Способ подтверждения участником соответствия требованиям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vMerge w:val="restart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Предложение участника по характеристикам и параметрам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vMerge w:val="continue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5" w:type="dxa"/>
            <w:vMerge w:val="continue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8" w:type="dxa"/>
            <w:vMerge w:val="continue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Согласие с требованием/ указание характеристик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 w:bidi="ar-SA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vMerge w:val="continue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b/>
                <w:i w:val="0"/>
                <w:sz w:val="24"/>
                <w:szCs w:val="24"/>
                <w:lang w:val="ru-RU"/>
              </w:rPr>
            </w:pPr>
            <w:r>
              <w:rPr>
                <w:b/>
                <w:i w:val="0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b/>
                <w:i w:val="0"/>
                <w:sz w:val="24"/>
                <w:szCs w:val="24"/>
                <w:lang w:val="ru-RU"/>
              </w:rPr>
            </w:r>
            <w:r>
              <w:rPr>
                <w:b/>
                <w:i w:val="0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5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b/>
                <w:i w:val="0"/>
                <w:sz w:val="24"/>
                <w:szCs w:val="24"/>
                <w:lang w:val="ru-RU"/>
              </w:rPr>
            </w:pPr>
            <w:r>
              <w:rPr>
                <w:b/>
                <w:i w:val="0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b/>
                <w:i w:val="0"/>
                <w:sz w:val="24"/>
                <w:szCs w:val="24"/>
                <w:lang w:val="ru-RU"/>
              </w:rPr>
            </w:r>
            <w:r>
              <w:rPr>
                <w:b/>
                <w:i w:val="0"/>
                <w:sz w:val="24"/>
                <w:szCs w:val="24"/>
                <w:lang w:val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8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b/>
                <w:i w:val="0"/>
                <w:sz w:val="24"/>
                <w:szCs w:val="24"/>
                <w:lang w:val="ru-RU"/>
              </w:rPr>
            </w:pPr>
            <w:r>
              <w:rPr>
                <w:b/>
                <w:i w:val="0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b/>
                <w:i w:val="0"/>
                <w:sz w:val="24"/>
                <w:szCs w:val="24"/>
                <w:lang w:val="ru-RU"/>
              </w:rPr>
            </w:r>
            <w:r>
              <w:rPr>
                <w:b/>
                <w:i w:val="0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  <w:lang w:val="ru-RU" w:bidi="ar-SA"/>
              </w:rPr>
              <w:t xml:space="preserve">4</w:t>
            </w:r>
            <w:r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r>
            <w:r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  <w:lang w:val="ru-RU" w:bidi="ar-SA"/>
              </w:rPr>
              <w:t xml:space="preserve">5</w:t>
            </w:r>
            <w:r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r>
            <w:r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center"/>
              <w:spacing w:before="0" w:after="120"/>
              <w:widowControl/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  <w:lang w:val="ru-RU" w:bidi="ar-SA"/>
              </w:rPr>
              <w:t xml:space="preserve">6</w:t>
            </w:r>
            <w:r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r>
            <w:r>
              <w:rPr>
                <w:b/>
                <w:bCs w:val="0"/>
                <w:i w:val="0"/>
                <w:iCs/>
                <w:sz w:val="24"/>
                <w:szCs w:val="24"/>
                <w:lang w:val="ru-RU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lang w:val="ru-RU" w:bidi="ar-SA"/>
              </w:rPr>
            </w:pPr>
            <w:r>
              <w:rPr>
                <w:b/>
                <w:i w:val="0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lang w:val="ru-RU" w:bidi="ar-SA"/>
              </w:rPr>
            </w:pPr>
            <w:r>
              <w:rPr>
                <w:rFonts w:cs="Times New Roman"/>
                <w:b/>
                <w:bCs/>
                <w:i w:val="0"/>
                <w:sz w:val="24"/>
                <w:szCs w:val="24"/>
                <w:lang w:val="ru-RU" w:bidi="ar-SA"/>
              </w:rPr>
              <w:t xml:space="preserve">Требования к техническим и функциональным характеристикам (включая гарантируемые показатели)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</w:rPr>
            </w:pPr>
            <w:r>
              <w:rPr>
                <w:b w:val="0"/>
                <w:bCs w:val="0"/>
                <w:i w:val="0"/>
                <w:sz w:val="22"/>
                <w:lang w:val="ru-RU" w:bidi="ar-SA"/>
              </w:rPr>
              <w:t xml:space="preserve">1.1</w:t>
            </w:r>
            <w:r>
              <w:rPr>
                <w:bCs w:val="0"/>
                <w:szCs w:val="22"/>
              </w:rPr>
            </w:r>
            <w:r>
              <w:rPr>
                <w:bCs w:val="0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highlight w:val="white"/>
              </w:rPr>
            </w:pPr>
            <w:r>
              <w:rPr>
                <w:sz w:val="22"/>
                <w:szCs w:val="22"/>
                <w:lang w:val="ru-RU" w:bidi="ar-SA"/>
              </w:rPr>
              <w:t xml:space="preserve">Все поставляемое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программное обеспечение должно быть в последней версии на момент </w:t>
            </w:r>
            <w:r>
              <w:rPr>
                <w:sz w:val="22"/>
                <w:szCs w:val="22"/>
                <w:lang w:val="ru-RU" w:bidi="ar-SA"/>
              </w:rPr>
              <w:t xml:space="preserve">его</w:t>
            </w:r>
            <w:r>
              <w:rPr>
                <w:sz w:val="22"/>
                <w:szCs w:val="22"/>
                <w:lang w:val="ru-RU" w:bidi="ar-SA"/>
              </w:rPr>
              <w:t xml:space="preserve"> передачи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Согласие с требованием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sz w:val="22"/>
                <w:szCs w:val="22"/>
                <w:lang w:val="en-US" w:bidi="ar-SA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</w:rPr>
            </w:pPr>
            <w:r>
              <w:rPr>
                <w:b w:val="0"/>
                <w:bCs w:val="0"/>
                <w:i w:val="0"/>
                <w:sz w:val="22"/>
                <w:lang w:val="ru-RU" w:bidi="ar-SA"/>
              </w:rPr>
              <w:t xml:space="preserve">1.2</w:t>
            </w:r>
            <w:r>
              <w:rPr>
                <w:bCs w:val="0"/>
                <w:szCs w:val="22"/>
              </w:rPr>
            </w:r>
            <w:r>
              <w:rPr>
                <w:bCs w:val="0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  <w:lang w:val="ru-RU" w:bidi="ar-SA"/>
              </w:rPr>
              <w:t xml:space="preserve">Т</w:t>
            </w:r>
            <w:r>
              <w:rPr>
                <w:rFonts w:cs="Times New Roman"/>
                <w:b w:val="0"/>
                <w:i w:val="0"/>
                <w:iCs/>
                <w:sz w:val="22"/>
                <w:szCs w:val="24"/>
                <w:highlight w:val="white"/>
                <w:lang w:val="ru-RU" w:bidi="ar-SA"/>
              </w:rPr>
              <w:t xml:space="preserve">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требованиям.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Передача права использования программного обеспечения должна производиться с учетом информацией, указанной </w:t>
            </w:r>
            <w:r>
              <w:rPr>
                <w:rFonts w:cs="Times New Roman"/>
                <w:b w:val="0"/>
                <w:i w:val="0"/>
                <w:iCs/>
                <w:sz w:val="22"/>
                <w:szCs w:val="24"/>
                <w:highlight w:val="white"/>
                <w:lang w:val="ru-RU" w:bidi="ar-SA"/>
              </w:rPr>
              <w:t xml:space="preserve">в Приложении № 1 к настоящим Техническим требованиям.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Согласие с требованием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Участник должен предоставить в составе заявки заполненное Приложение №1 к настоящим Техническим требованиям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 w:val="0"/>
                <w:bCs w:val="0"/>
                <w:i w:val="0"/>
                <w:sz w:val="22"/>
                <w:lang w:val="ru-RU"/>
              </w:rPr>
            </w:pPr>
            <w:r>
              <w:rPr>
                <w:b w:val="0"/>
                <w:bCs w:val="0"/>
                <w:i w:val="0"/>
                <w:sz w:val="22"/>
                <w:lang w:val="ru-RU" w:bidi="ar-SA"/>
              </w:rPr>
              <w:t xml:space="preserve">1.3</w:t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val="ru-RU" w:bidi="ar-SA"/>
              </w:rPr>
              <w:t xml:space="preserve">Программное обеспечение, указанн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ое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в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Таблице 1.1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 «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Пе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речень и объем закупаемой продукции»,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 должно быть совместимо с отечественной операционной системой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, включенной в </w:t>
            </w:r>
            <w:hyperlink r:id="rId23" w:tooltip="https://reestr.digital.gov.ru/" w:history="1">
              <w:r>
                <w:rPr>
                  <w:rStyle w:val="975"/>
                  <w:sz w:val="22"/>
                  <w:szCs w:val="22"/>
                  <w:highlight w:val="white"/>
                  <w:lang w:val="ru-RU" w:bidi="ar-SA"/>
                </w:rPr>
                <w:t xml:space="preserve">реестр российского программного обеспечения</w:t>
              </w:r>
            </w:hyperlink>
            <w:r>
              <w:rPr>
                <w:sz w:val="22"/>
                <w:szCs w:val="22"/>
                <w:highlight w:val="white"/>
                <w:lang w:val="ru-RU" w:bidi="ar-SA"/>
              </w:rPr>
              <w:t xml:space="preserve">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i/>
                <w:iCs/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  <w:lang w:val="ru-RU" w:bidi="ar-SA"/>
              </w:rPr>
              <w:t xml:space="preserve">Согласие с требованием</w:t>
            </w:r>
            <w:r>
              <w:rPr>
                <w:i/>
                <w:iCs/>
                <w:sz w:val="22"/>
                <w:szCs w:val="22"/>
                <w:highlight w:val="white"/>
              </w:rPr>
            </w:r>
            <w:r>
              <w:rPr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  <w:lang w:val="en-US" w:bidi="ar-SA"/>
              </w:rPr>
              <w:t xml:space="preserve">–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</w:rPr>
            </w:pPr>
            <w:r>
              <w:rPr>
                <w:b/>
                <w:i w:val="0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bCs w:val="0"/>
              </w:rPr>
            </w:r>
            <w:r>
              <w:rPr>
                <w:bCs w:val="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u-RU" w:bidi="ar-SA"/>
              </w:rPr>
              <w:t xml:space="preserve">Требования к</w:t>
            </w:r>
            <w:r>
              <w:rPr>
                <w:b/>
                <w:bCs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/>
                <w:b/>
                <w:bCs/>
                <w:sz w:val="24"/>
                <w:szCs w:val="24"/>
                <w:lang w:val="ru-RU" w:bidi="ar-SA"/>
              </w:rPr>
              <w:t xml:space="preserve">доставке, маркировке, упаковке, транспортировке,  перемещению, условиям хранения, приемке и испытаниям</w:t>
            </w:r>
            <w:r>
              <w:rPr>
                <w:bCs w:val="0"/>
                <w:szCs w:val="22"/>
                <w:lang w:val="ru-RU"/>
              </w:rPr>
            </w:r>
            <w:r>
              <w:rPr>
                <w:bCs w:val="0"/>
                <w:szCs w:val="22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 w:val="0"/>
                <w:bCs w:val="0"/>
                <w:i w:val="0"/>
                <w:sz w:val="22"/>
                <w:lang w:val="ru-RU"/>
              </w:rPr>
            </w:pPr>
            <w:r>
              <w:rPr>
                <w:b w:val="0"/>
                <w:bCs w:val="0"/>
                <w:i w:val="0"/>
                <w:sz w:val="22"/>
                <w:lang w:val="ru-RU" w:bidi="ar-SA"/>
              </w:rPr>
              <w:t xml:space="preserve">2.1</w:t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 w:bidi="ar-SA"/>
              </w:rPr>
              <w:t xml:space="preserve">Лицензиат своими силами либо с привлечением третьих лиц осуществляет доставку программного обеспечения по указанным адресам. В случае если общесистемное/прикладное ПО и/или лицензионные права представляют со</w:t>
            </w:r>
            <w:r>
              <w:rPr>
                <w:sz w:val="22"/>
                <w:szCs w:val="22"/>
                <w:lang w:val="ru-RU" w:bidi="ar-SA"/>
              </w:rPr>
              <w:t xml:space="preserve">бой электронные экземпляры, такие экземпляры направляются Сублицензиату средствами электронной связи, либо путем направления уведомления о возможности Сублицензиату самостоятельно скачать электронные экземпляры с Интернет-ресурса, указанного в уведомлении.</w:t>
            </w:r>
            <w:r>
              <w:rPr>
                <w:sz w:val="22"/>
                <w:szCs w:val="22"/>
                <w:lang w:val="ru-RU"/>
              </w:rPr>
            </w: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Согласие с требованием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sz w:val="22"/>
                <w:szCs w:val="22"/>
                <w:lang w:val="en-US" w:bidi="ar-SA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</w:rPr>
            </w:pPr>
            <w:r>
              <w:rPr>
                <w:b w:val="0"/>
                <w:bCs w:val="0"/>
                <w:i w:val="0"/>
                <w:sz w:val="22"/>
                <w:lang w:val="ru-RU" w:bidi="ar-SA"/>
              </w:rPr>
              <w:t xml:space="preserve">2.2</w:t>
            </w:r>
            <w:r>
              <w:rPr>
                <w:bCs w:val="0"/>
                <w:szCs w:val="22"/>
              </w:rPr>
            </w:r>
            <w:r>
              <w:rPr>
                <w:bCs w:val="0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  <w:lang w:val="ru-RU"/>
              </w:rPr>
            </w:pPr>
            <w:r>
              <w:rPr>
                <w:sz w:val="22"/>
                <w:szCs w:val="22"/>
                <w:lang w:val="ru-RU" w:bidi="ar-SA"/>
              </w:rPr>
              <w:t xml:space="preserve">Адрес доставки продукции </w:t>
            </w:r>
            <w:r>
              <w:rPr>
                <w:bCs w:val="0"/>
                <w:szCs w:val="22"/>
                <w:lang w:val="ru-RU"/>
              </w:rPr>
            </w:r>
            <w:r>
              <w:rPr>
                <w:bCs w:val="0"/>
                <w:szCs w:val="22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lang w:val="ru-RU" w:bidi="ar-SA"/>
              </w:rPr>
            </w:pPr>
            <w:r>
              <w:rPr>
                <w:sz w:val="22"/>
                <w:szCs w:val="22"/>
                <w:lang w:val="ru-RU" w:bidi="ar-SA"/>
              </w:rPr>
              <w:t xml:space="preserve">Продукция должна быть доставлена по адресу: 195220, г. Санкт-Петербург, ул. Гжатская, д.21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Согласие с требованием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sz w:val="22"/>
                <w:szCs w:val="22"/>
                <w:lang w:val="en-US" w:bidi="ar-SA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</w:rPr>
            </w:pPr>
            <w:r>
              <w:rPr>
                <w:b/>
                <w:i w:val="0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bCs w:val="0"/>
              </w:rPr>
            </w:r>
            <w:r>
              <w:rPr>
                <w:bCs w:val="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u-RU" w:bidi="ar-SA"/>
              </w:rPr>
              <w:t xml:space="preserve">Требования к гарантиям, гарантийному и послегарантийному обслуживанию</w:t>
            </w:r>
            <w:r>
              <w:rPr>
                <w:bCs w:val="0"/>
              </w:rPr>
            </w:r>
            <w:r>
              <w:rPr>
                <w:bCs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i/>
                <w:iCs/>
                <w:lang w:val="en-US" w:bidi="ar-SA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</w:rPr>
            </w:pPr>
            <w:r>
              <w:rPr>
                <w:b w:val="0"/>
                <w:bCs w:val="0"/>
                <w:i w:val="0"/>
                <w:sz w:val="22"/>
                <w:lang w:val="ru-RU" w:bidi="ar-SA"/>
              </w:rPr>
              <w:t xml:space="preserve">3.1</w:t>
            </w:r>
            <w:r>
              <w:rPr>
                <w:bCs w:val="0"/>
                <w:szCs w:val="22"/>
              </w:rPr>
            </w:r>
            <w:r>
              <w:rPr>
                <w:bCs w:val="0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bCs w:val="0"/>
                <w:szCs w:val="22"/>
                <w:lang w:val="ru-RU"/>
              </w:rPr>
            </w:pPr>
            <w:r>
              <w:rPr>
                <w:sz w:val="22"/>
                <w:szCs w:val="22"/>
                <w:lang w:val="ru-RU" w:bidi="ar-SA"/>
              </w:rPr>
              <w:t xml:space="preserve">Техническая поддержка</w:t>
            </w:r>
            <w:r>
              <w:rPr>
                <w:bCs w:val="0"/>
                <w:szCs w:val="22"/>
                <w:lang w:val="ru-RU"/>
              </w:rPr>
            </w:r>
            <w:r>
              <w:rPr>
                <w:bCs w:val="0"/>
                <w:szCs w:val="22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35"/>
              <w:jc w:val="left"/>
              <w:spacing w:before="0" w:after="120"/>
              <w:widowControl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lang w:val="ru-RU" w:bidi="ar-SA"/>
              </w:rPr>
              <w:t xml:space="preserve">В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дополнение к настоящим Техническим требованиям в комплект поставки общесистемного / прикладного ПО и/или лицензионных прав должно входить: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  <w:p>
            <w:pPr>
              <w:pStyle w:val="935"/>
              <w:jc w:val="left"/>
              <w:spacing w:before="0" w:after="120"/>
              <w:widowControl/>
              <w:rPr>
                <w:highlight w:val="yellow"/>
              </w:rPr>
            </w:pPr>
            <w:r>
              <w:rPr>
                <w:sz w:val="22"/>
                <w:szCs w:val="22"/>
                <w:highlight w:val="white"/>
                <w:lang w:val="ru-RU" w:bidi="ar-SA"/>
              </w:rPr>
              <w:t xml:space="preserve">Ин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формационная поддержка, которая включает в себя бесплатную дистанционную информационно – техническую поддержку пользователей по телефону, e-mail и интернет в течение 1 года с момента получения лицензии к каждой программе, если больший срок не предоставляет</w:t>
            </w:r>
            <w:r>
              <w:rPr>
                <w:sz w:val="22"/>
                <w:szCs w:val="22"/>
                <w:lang w:val="ru-RU" w:bidi="ar-SA"/>
              </w:rPr>
              <w:t xml:space="preserve">ся Правообладателем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Согласие с требованием</w:t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935"/>
              <w:jc w:val="center"/>
              <w:spacing w:before="0" w:after="0"/>
              <w:widowControl/>
              <w:rPr>
                <w:lang w:val="en-US"/>
              </w:rPr>
            </w:pPr>
            <w:r>
              <w:rPr>
                <w:sz w:val="22"/>
                <w:szCs w:val="22"/>
                <w:lang w:val="en-US" w:bidi="ar-SA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textDirection w:val="lrTb"/>
            <w:noWrap w:val="false"/>
          </w:tcPr>
          <w:p>
            <w:pPr>
              <w:pStyle w:val="935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bCs w:val="0"/>
                <w:i w:val="0"/>
                <w:sz w:val="22"/>
                <w:lang w:val="ru-RU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  <w:lang w:val="ru-RU"/>
              </w:rPr>
              <w:t xml:space="preserve">4</w:t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Прочие (дополнительные) требования к продукции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bCs w:val="0"/>
                <w:i w:val="0"/>
                <w:sz w:val="22"/>
                <w:lang w:val="ru-RU"/>
              </w:rPr>
            </w:pPr>
            <w:r>
              <w:rPr>
                <w:b w:val="0"/>
                <w:bCs w:val="0"/>
                <w:i w:val="0"/>
                <w:sz w:val="22"/>
                <w:lang w:val="ru-RU"/>
              </w:rPr>
              <w:t xml:space="preserve">4.1</w:t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  <w:r>
              <w:rPr>
                <w:b w:val="0"/>
                <w:bCs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jc w:val="left"/>
              <w:spacing w:before="0" w:after="120"/>
              <w:widowControl/>
              <w:rPr>
                <w:sz w:val="22"/>
                <w:szCs w:val="22"/>
                <w:highlight w:val="white"/>
                <w:lang w:val="ru-RU" w:bidi="ar-SA"/>
                <w14:ligatures w14:val="none"/>
              </w:rPr>
            </w:pPr>
            <w:r>
              <w:rPr>
                <w:sz w:val="22"/>
                <w:szCs w:val="22"/>
                <w:highlight w:val="white"/>
                <w:lang w:val="ru-RU" w:bidi="ar-SA"/>
              </w:rPr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Требования к происхождению поставляемой продукции</w:t>
            </w:r>
            <w:r>
              <w:rPr>
                <w:sz w:val="22"/>
                <w:szCs w:val="22"/>
                <w:highlight w:val="white"/>
                <w:lang w:val="ru-RU" w:bidi="ar-SA"/>
                <w14:ligatures w14:val="none"/>
              </w:rPr>
            </w:r>
            <w:r>
              <w:rPr>
                <w:sz w:val="22"/>
                <w:szCs w:val="22"/>
                <w:highlight w:val="white"/>
                <w:lang w:val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left"/>
              <w:spacing w:before="0" w:after="120"/>
              <w:widowControl/>
              <w:rPr>
                <w:sz w:val="22"/>
                <w:szCs w:val="22"/>
                <w:highlight w:val="white"/>
                <w:lang w:val="ru-RU" w:bidi="ar-SA"/>
                <w14:ligatures w14:val="none"/>
              </w:rPr>
            </w:pPr>
            <w:r>
              <w:rPr>
                <w:sz w:val="22"/>
                <w:szCs w:val="22"/>
                <w:highlight w:val="white"/>
                <w:lang w:val="ru-RU" w:bidi="ar-SA"/>
              </w:rPr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Поставляемое программное обеспечен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ие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должно быть включено в «Единый реестр российских программ для электронных вычислительных машин и баз данных», предусмотренный постановлением Правительства РФ от 16.11.2015 №1236 «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Об утверждении Правил формирования и ведения 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ации</w:t>
            </w:r>
            <w:r>
              <w:rPr>
                <w:sz w:val="22"/>
                <w:szCs w:val="22"/>
                <w:highlight w:val="white"/>
                <w:lang w:val="ru-RU" w:bidi="ar-SA"/>
              </w:rPr>
              <w:t xml:space="preserve">». </w:t>
            </w:r>
            <w:r>
              <w:rPr>
                <w:sz w:val="22"/>
                <w:szCs w:val="22"/>
                <w:highlight w:val="white"/>
                <w:lang w:val="ru-RU" w:bidi="ar-SA"/>
                <w14:ligatures w14:val="none"/>
              </w:rPr>
            </w:r>
            <w:r>
              <w:rPr>
                <w:sz w:val="22"/>
                <w:szCs w:val="22"/>
                <w:highlight w:val="white"/>
                <w:lang w:val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Согласие с требованием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Учас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pStyle w:val="935"/>
      </w:pPr>
      <w:r/>
      <w:r/>
    </w:p>
    <w:p>
      <w:pPr>
        <w:pStyle w:val="1014"/>
        <w:numPr>
          <w:ilvl w:val="2"/>
          <w:numId w:val="2"/>
        </w:numPr>
        <w:contextualSpacing/>
        <w:ind w:left="567" w:hanging="567"/>
        <w:jc w:val="left"/>
        <w:spacing w:before="0" w:after="120"/>
        <w:rPr>
          <w:b/>
          <w:bCs/>
          <w:highlight w:val="white"/>
          <w14:ligatures w14:val="none"/>
        </w:rPr>
      </w:pPr>
      <w:r>
        <w:rPr>
          <w:b/>
          <w:bCs/>
          <w:highlight w:val="white"/>
        </w:rPr>
        <w:t xml:space="preserve">В</w:t>
      </w:r>
      <w:r>
        <w:rPr>
          <w:b/>
          <w:bCs/>
        </w:rPr>
        <w:t xml:space="preserve"> составе заявки необ</w:t>
      </w:r>
      <w:r>
        <w:rPr>
          <w:b/>
          <w:bCs/>
          <w:highlight w:val="white"/>
        </w:rPr>
        <w:t xml:space="preserve">ходимо предоставить</w:t>
      </w:r>
      <w:r>
        <w:rPr>
          <w:b/>
          <w:bCs/>
          <w:highlight w:val="white"/>
          <w:lang w:val="ru-RU"/>
        </w:rPr>
        <w:t xml:space="preserve">:</w:t>
      </w:r>
      <w:r>
        <w:rPr>
          <w:b/>
          <w:bCs/>
          <w:highlight w:val="white"/>
          <w14:ligatures w14:val="none"/>
        </w:rPr>
      </w:r>
      <w:r>
        <w:rPr>
          <w:b/>
          <w:bCs/>
          <w:highlight w:val="white"/>
          <w14:ligatures w14:val="none"/>
        </w:rPr>
      </w:r>
    </w:p>
    <w:p>
      <w:pPr>
        <w:pStyle w:val="1014"/>
        <w:numPr>
          <w:ilvl w:val="0"/>
          <w:numId w:val="7"/>
        </w:numPr>
        <w:contextualSpacing/>
        <w:jc w:val="left"/>
        <w:spacing w:before="0" w:after="0"/>
        <w:rPr>
          <w:b w:val="0"/>
          <w:bCs w:val="0"/>
          <w:highlight w:val="white"/>
          <w14:ligatures w14:val="none"/>
        </w:rPr>
      </w:pPr>
      <w:r>
        <w:rPr>
          <w:b w:val="0"/>
          <w:bCs w:val="0"/>
          <w:szCs w:val="24"/>
          <w:highlight w:val="white"/>
          <w:lang w:val="ru-RU"/>
        </w:rPr>
        <w:t xml:space="preserve">Техническое предложение с з</w:t>
      </w:r>
      <w:r>
        <w:rPr>
          <w:b w:val="0"/>
          <w:bCs w:val="0"/>
          <w:highlight w:val="white"/>
          <w:lang w:val="ru-RU"/>
        </w:rPr>
        <w:t xml:space="preserve">аполненным Приложением №1 к настоящим Техническим требованиям</w:t>
      </w:r>
      <w:r>
        <w:rPr>
          <w:b w:val="0"/>
          <w:bCs w:val="0"/>
          <w:highlight w:val="white"/>
          <w14:ligatures w14:val="none"/>
        </w:rPr>
      </w:r>
      <w:r>
        <w:rPr>
          <w:b w:val="0"/>
          <w:bCs w:val="0"/>
          <w:highlight w:val="white"/>
          <w14:ligatures w14:val="none"/>
        </w:rPr>
      </w:r>
    </w:p>
    <w:p>
      <w:pPr>
        <w:pStyle w:val="935"/>
        <w:ind w:left="0" w:firstLine="0"/>
        <w:jc w:val="left"/>
        <w:spacing w:before="0" w:after="120"/>
        <w:sectPr>
          <w:footerReference w:type="default" r:id="rId12"/>
          <w:footerReference w:type="first" r:id="rId13"/>
          <w:footnotePr/>
          <w:endnotePr/>
          <w:type w:val="nextPage"/>
          <w:pgSz w:w="16838" w:h="11906" w:orient="landscape"/>
          <w:pgMar w:top="1134" w:right="851" w:bottom="851" w:left="851" w:header="0" w:footer="709" w:gutter="0"/>
          <w:cols w:num="1" w:sep="0" w:space="1701" w:equalWidth="1"/>
          <w:docGrid w:linePitch="360"/>
        </w:sectPr>
      </w:pPr>
      <w:r/>
      <w:r/>
    </w:p>
    <w:p>
      <w:pPr>
        <w:pStyle w:val="1014"/>
        <w:numPr>
          <w:ilvl w:val="0"/>
          <w:numId w:val="2"/>
        </w:numPr>
        <w:contextualSpacing/>
        <w:ind w:left="567" w:hanging="567"/>
        <w:jc w:val="center"/>
        <w:spacing w:before="0" w:after="120"/>
      </w:pPr>
      <w:r>
        <w:rPr>
          <w:b/>
          <w:bCs/>
          <w:sz w:val="28"/>
          <w:szCs w:val="28"/>
          <w:lang w:val="ru-RU"/>
        </w:rPr>
        <w:t xml:space="preserve">Требования к документации по ценообразованию  на этапе закупки.</w:t>
      </w:r>
      <w:r/>
    </w:p>
    <w:p>
      <w:pPr>
        <w:pStyle w:val="935"/>
        <w:numPr>
          <w:ilvl w:val="1"/>
          <w:numId w:val="6"/>
        </w:numPr>
        <w:jc w:val="both"/>
        <w:spacing w:before="0" w:after="0"/>
      </w:pPr>
      <w:r>
        <w:rPr>
          <w:bCs/>
          <w:i w:val="0"/>
          <w:iCs/>
          <w:sz w:val="24"/>
          <w:szCs w:val="24"/>
        </w:rPr>
        <w:t xml:space="preserve"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</w:t>
      </w:r>
      <w:r>
        <w:rPr>
          <w:bCs/>
          <w:i w:val="0"/>
          <w:iCs/>
          <w:sz w:val="24"/>
          <w:szCs w:val="24"/>
        </w:rPr>
        <w:t xml:space="preserve">.</w:t>
      </w:r>
      <w:r/>
    </w:p>
    <w:p>
      <w:pPr>
        <w:pStyle w:val="935"/>
        <w:numPr>
          <w:ilvl w:val="1"/>
          <w:numId w:val="6"/>
        </w:numPr>
        <w:jc w:val="both"/>
        <w:spacing w:before="0" w:after="120"/>
      </w:pPr>
      <w:r>
        <w:rPr>
          <w:bCs/>
          <w:i w:val="0"/>
          <w:iCs/>
          <w:sz w:val="24"/>
          <w:szCs w:val="24"/>
        </w:rPr>
        <w:t xml:space="preserve">Дополнительные документы по ценообразованию в состав заявки не включаются.</w:t>
      </w:r>
      <w:r/>
    </w:p>
    <w:p>
      <w:pPr>
        <w:pStyle w:val="1014"/>
        <w:numPr>
          <w:ilvl w:val="0"/>
          <w:numId w:val="2"/>
        </w:numPr>
        <w:contextualSpacing/>
        <w:ind w:left="567" w:hanging="567"/>
        <w:jc w:val="center"/>
        <w:spacing w:before="0" w:after="120"/>
      </w:pPr>
      <w:r>
        <w:rPr>
          <w:b/>
          <w:bCs/>
          <w:sz w:val="28"/>
          <w:szCs w:val="28"/>
          <w:lang w:val="ru-RU"/>
        </w:rPr>
        <w:t xml:space="preserve">Требования к документации по ценообразованию на этапе заключения (исполнения) договора.</w:t>
      </w:r>
      <w:r/>
    </w:p>
    <w:p>
      <w:pPr>
        <w:pStyle w:val="935"/>
        <w:ind w:left="1134" w:right="0" w:hanging="425"/>
        <w:jc w:val="left"/>
        <w:spacing w:before="0" w:after="120"/>
      </w:pPr>
      <w:r>
        <w:rPr>
          <w:b w:val="0"/>
          <w:sz w:val="24"/>
          <w:lang w:val="ru-RU"/>
        </w:rPr>
        <w:t xml:space="preserve">4.1 </w:t>
      </w:r>
      <w:r>
        <w:rPr>
          <w:i w:val="0"/>
          <w:sz w:val="24"/>
        </w:rPr>
        <w:t xml:space="preserve">В цену поставки включаются все расходы Исполнителя, производимые им в процессе поставки, в том числе расходы на доставку, уплату налогов, сборов, иных обязательных платежей</w:t>
      </w:r>
      <w:r>
        <w:rPr>
          <w:bCs/>
          <w:i w:val="0"/>
          <w:iCs/>
          <w:sz w:val="24"/>
          <w:szCs w:val="24"/>
        </w:rPr>
        <w:t xml:space="preserve">.</w:t>
      </w:r>
      <w:r/>
    </w:p>
    <w:p>
      <w:pPr>
        <w:pStyle w:val="1014"/>
        <w:numPr>
          <w:ilvl w:val="0"/>
          <w:numId w:val="2"/>
        </w:numPr>
        <w:contextualSpacing/>
        <w:ind w:left="567" w:hanging="567"/>
        <w:jc w:val="center"/>
        <w:spacing w:before="0" w:after="120"/>
      </w:pPr>
      <w:r>
        <w:rPr>
          <w:b/>
          <w:bCs/>
          <w:sz w:val="28"/>
          <w:szCs w:val="28"/>
          <w:lang w:val="ru-RU"/>
        </w:rPr>
        <w:t xml:space="preserve">Приложения</w:t>
      </w:r>
      <w:r/>
    </w:p>
    <w:p>
      <w:pPr>
        <w:pStyle w:val="935"/>
        <w:ind w:left="1134" w:right="0" w:firstLine="0"/>
        <w:jc w:val="left"/>
        <w:spacing w:before="0" w:after="120"/>
      </w:pPr>
      <w:r>
        <w:rPr>
          <w:i w:val="0"/>
          <w:sz w:val="24"/>
          <w:lang w:val="ru-RU"/>
        </w:rPr>
        <w:t xml:space="preserve">Приложение №1 </w:t>
      </w:r>
      <w:r>
        <w:rPr>
          <w:rFonts w:cs="Times New Roman"/>
          <w:b w:val="0"/>
          <w:bCs w:val="0"/>
          <w:i w:val="0"/>
          <w:sz w:val="24"/>
          <w:szCs w:val="24"/>
        </w:rPr>
        <w:t xml:space="preserve">Требования к техническим и функциональным характеристикам (включая гарантируемые показатели)</w:t>
      </w:r>
      <w:r/>
    </w:p>
    <w:p>
      <w:pPr>
        <w:pStyle w:val="935"/>
      </w:pPr>
      <w:r/>
      <w:r/>
    </w:p>
    <w:p>
      <w:pPr>
        <w:pStyle w:val="935"/>
      </w:pPr>
      <w:r/>
      <w:r/>
    </w:p>
    <w:p>
      <w:pPr>
        <w:pStyle w:val="935"/>
        <w:shd w:val="nil" w:color="auto"/>
        <w:sectPr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851" w:right="851" w:bottom="851" w:left="1134" w:header="0" w:footer="709" w:gutter="0"/>
          <w:cols w:num="1" w:sep="0" w:space="1701" w:equalWidth="1"/>
          <w:docGrid w:linePitch="360"/>
        </w:sectPr>
      </w:pPr>
      <w:r>
        <w:br w:type="page" w:clear="all"/>
      </w:r>
      <w:r/>
    </w:p>
    <w:p>
      <w:pPr>
        <w:pStyle w:val="1014"/>
        <w:ind w:left="360"/>
        <w:jc w:val="right"/>
      </w:pPr>
      <w:r>
        <w:rPr>
          <w:b/>
          <w:bCs/>
        </w:rPr>
        <w:t xml:space="preserve">Приложение №1 </w:t>
      </w:r>
      <w:r/>
    </w:p>
    <w:p>
      <w:pPr>
        <w:pStyle w:val="1014"/>
        <w:ind w:left="360"/>
        <w:jc w:val="right"/>
      </w:pPr>
      <w:r>
        <w:rPr>
          <w:b/>
          <w:bCs/>
        </w:rPr>
        <w:t xml:space="preserve">к Техническим требованиям</w:t>
      </w:r>
      <w:r/>
    </w:p>
    <w:p>
      <w:pPr>
        <w:pStyle w:val="1014"/>
        <w:ind w:left="360"/>
        <w:jc w:val="center"/>
      </w:pPr>
      <w:r/>
      <w:r/>
    </w:p>
    <w:p>
      <w:pPr>
        <w:pStyle w:val="935"/>
        <w:jc w:val="center"/>
        <w:tabs>
          <w:tab w:val="left" w:pos="374" w:leader="none"/>
          <w:tab w:val="clear" w:pos="708" w:leader="none"/>
        </w:tabs>
      </w:pPr>
      <w:r>
        <w:rPr>
          <w:rFonts w:cs="Times New Roman"/>
          <w:b w:val="0"/>
          <w:bCs w:val="0"/>
          <w:i w:val="0"/>
          <w:sz w:val="24"/>
          <w:szCs w:val="24"/>
        </w:rPr>
        <w:t xml:space="preserve">Требования к техническим и функциональным характеристикам (включая гарантируемые показатели)</w:t>
      </w:r>
      <w:r/>
    </w:p>
    <w:p>
      <w:pPr>
        <w:pStyle w:val="935"/>
        <w:jc w:val="center"/>
        <w:tabs>
          <w:tab w:val="left" w:pos="374" w:leader="none"/>
          <w:tab w:val="clear" w:pos="708" w:leader="none"/>
        </w:tabs>
      </w:pPr>
      <w:r/>
      <w:r/>
    </w:p>
    <w:tbl>
      <w:tblPr>
        <w:tblW w:w="15023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1418"/>
        <w:gridCol w:w="4109"/>
        <w:gridCol w:w="1843"/>
        <w:gridCol w:w="1984"/>
        <w:gridCol w:w="1843"/>
        <w:gridCol w:w="1843"/>
        <w:gridCol w:w="1984"/>
      </w:tblGrid>
      <w:tr>
        <w:tblPrEx/>
        <w:trPr>
          <w:trHeight w:val="3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vMerge w:val="restart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№ </w:t>
            </w: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позиции </w:t>
            </w: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br w:type="textWrapping" w:clear="all"/>
            </w: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Таблицы 1.1. «Перечень и объем закупаемой продукции»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9" w:type="dxa"/>
            <w:vAlign w:val="center"/>
            <w:vMerge w:val="restart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  <w:t xml:space="preserve">Наименование продукции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Требования заказчика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Предложения участника*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vMerge w:val="continue"/>
            <w:textDirection w:val="lrTb"/>
            <w:noWrap w:val="false"/>
          </w:tcPr>
          <w:p>
            <w:pPr>
              <w:pStyle w:val="935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9" w:type="dxa"/>
            <w:vAlign w:val="center"/>
            <w:vMerge w:val="continue"/>
            <w:textDirection w:val="lrTb"/>
            <w:noWrap w:val="false"/>
          </w:tcPr>
          <w:p>
            <w:pPr>
              <w:pStyle w:val="935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Период предоставления права использования ПО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 (дата начала)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bCs w:val="0"/>
                <w:color w:val="000000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Период предоставления права использования ПО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 (дата окончания)</w:t>
            </w:r>
            <w:r>
              <w:rPr>
                <w:rFonts w:ascii="Times New Roman" w:hAnsi="Times New Roman" w:eastAsia="Times New Roman" w:cs="Times New Roman"/>
                <w:bC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Cs w:val="0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  <w:t xml:space="preserve">Наименование продукции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Период предоставления права использования ПО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 (дата начала)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eastAsia="Times New Roman" w:cs="Times New Roman"/>
                <w:bCs w:val="0"/>
                <w:color w:val="000000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Период предоставления права использования ПО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 (дата окончания)</w:t>
            </w:r>
            <w:r>
              <w:rPr>
                <w:rFonts w:ascii="Times New Roman" w:hAnsi="Times New Roman" w:eastAsia="Times New Roman" w:cs="Times New Roman"/>
                <w:bC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Cs w:val="0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9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35"/>
              <w:jc w:val="center"/>
              <w:rPr>
                <w:bCs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  <w:szCs w:val="24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935"/>
              <w:jc w:val="center"/>
            </w:pPr>
            <w:r>
              <w:rPr>
                <w:b/>
                <w:sz w:val="24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35"/>
              <w:jc w:val="center"/>
              <w:rPr>
                <w:bCs/>
                <w:szCs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1014"/>
              <w:numPr>
                <w:ilvl w:val="0"/>
                <w:numId w:val="8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9" w:type="dxa"/>
            <w:textDirection w:val="lrTb"/>
            <w:noWrap w:val="false"/>
          </w:tcPr>
          <w:p>
            <w:pPr>
              <w:spacing w:before="0" w:after="0" w:line="55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Kaspersky Total Security для бизнеса Russian Edition. 5000+ Node 1 year Base Premium Plus License — Лицензия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02.12.2026г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01.12.2027г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наименования продукции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даты начала действия лицензии</w:t>
            </w:r>
            <w:r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35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даты окончания действия лицензии</w:t>
            </w:r>
            <w:r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r>
          </w:p>
        </w:tc>
      </w:tr>
    </w:tbl>
    <w:p>
      <w:pPr>
        <w:pStyle w:val="935"/>
        <w:jc w:val="left"/>
        <w:tabs>
          <w:tab w:val="left" w:pos="374" w:leader="none"/>
          <w:tab w:val="clear" w:pos="708" w:leader="none"/>
        </w:tabs>
      </w:pPr>
      <w:r>
        <w:rPr>
          <w:b w:val="0"/>
          <w:bCs w:val="0"/>
        </w:rPr>
        <w:t xml:space="preserve">*</w:t>
      </w:r>
      <w:r>
        <w:rPr>
          <w:i/>
          <w:iCs/>
          <w:sz w:val="22"/>
          <w:szCs w:val="22"/>
        </w:rPr>
        <w:t xml:space="preserve">Способ подтверждения участником соответствия требованиям указан в таблице в отношении каждой позиции закупаемой продукции</w:t>
      </w:r>
      <w:r/>
    </w:p>
    <w:p>
      <w:pPr>
        <w:pStyle w:val="935"/>
        <w:jc w:val="left"/>
        <w:tabs>
          <w:tab w:val="left" w:pos="374" w:leader="none"/>
          <w:tab w:val="clear" w:pos="708" w:leader="none"/>
        </w:tabs>
      </w:pPr>
      <w:r/>
      <w:r/>
    </w:p>
    <w:sectPr>
      <w:footerReference w:type="default" r:id="rId16"/>
      <w:footerReference w:type="first" r:id="rId17"/>
      <w:footnotePr/>
      <w:endnotePr/>
      <w:type w:val="nextPage"/>
      <w:pgSz w:w="16838" w:h="11906" w:orient="landscape"/>
      <w:pgMar w:top="1134" w:right="680" w:bottom="850" w:left="850" w:header="0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alibri">
    <w:panose1 w:val="020F0502020204030204"/>
  </w:font>
  <w:font w:name="Open Sans">
    <w:panose1 w:val="020B0606030504020204"/>
  </w:font>
  <w:font w:name="Droid Sans">
    <w:panose1 w:val="020B0606030804020204"/>
  </w:font>
  <w:font w:name="TimesNewRomanPSMT">
    <w:panose1 w:val="02020603050405020304"/>
  </w:font>
  <w:font w:name="Tahoma">
    <w:panose1 w:val="020B0606040504020204"/>
  </w:font>
  <w:font w:name="DejaVu Sans">
    <w:panose1 w:val="020B0603030804020204"/>
  </w:font>
  <w:font w:name="Segoe UI">
    <w:panose1 w:val="020B05020405040202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4</w:t>
    </w:r>
    <w:r>
      <w:fldChar w:fldCharType="end"/>
    </w:r>
    <w:r/>
  </w:p>
  <w:p>
    <w:pPr>
      <w:pStyle w:val="99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4</w:t>
    </w:r>
    <w:r>
      <w:fldChar w:fldCharType="end"/>
    </w:r>
    <w:r/>
  </w:p>
  <w:p>
    <w:pPr>
      <w:pStyle w:val="995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7</w:t>
    </w:r>
    <w:r>
      <w:fldChar w:fldCharType="end"/>
    </w:r>
    <w:r/>
  </w:p>
  <w:p>
    <w:pPr>
      <w:pStyle w:val="995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8</w:t>
    </w:r>
    <w:r>
      <w:fldChar w:fldCharType="end"/>
    </w:r>
    <w:r/>
  </w:p>
  <w:p>
    <w:pPr>
      <w:pStyle w:val="995"/>
    </w:pPr>
    <w:r/>
    <w:r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11</w:t>
    </w:r>
    <w:r>
      <w:fldChar w:fldCharType="end"/>
    </w:r>
    <w:r/>
  </w:p>
  <w:p>
    <w:pPr>
      <w:pStyle w:val="995"/>
    </w:pPr>
    <w:r/>
    <w:r/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16"/>
      <w:isLgl/>
      <w:suff w:val="tab"/>
      <w:lvlText w:val="%1."/>
      <w:lvlJc w:val="left"/>
      <w:pPr>
        <w:ind w:left="3479" w:hanging="360"/>
        <w:tabs>
          <w:tab w:val="num" w:pos="0" w:leader="none"/>
        </w:tabs>
      </w:pPr>
    </w:lvl>
    <w:lvl w:ilvl="1">
      <w:start w:val="1"/>
      <w:numFmt w:val="decimal"/>
      <w:pStyle w:val="1017"/>
      <w:isLgl/>
      <w:suff w:val="tab"/>
      <w:lvlText w:val="%1.%2."/>
      <w:lvlJc w:val="left"/>
      <w:pPr>
        <w:ind w:left="720" w:hanging="36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288" w:hanging="72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792" w:hanging="432"/>
        <w:tabs>
          <w:tab w:val="num" w:pos="0" w:leader="none"/>
        </w:tabs>
      </w:pPr>
      <w:rPr>
        <w:b/>
        <w:i w:val="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1224" w:hanging="504"/>
        <w:tabs>
          <w:tab w:val="num" w:pos="0" w:leader="none"/>
        </w:tabs>
      </w:pPr>
      <w:rPr>
        <w:b/>
        <w:sz w:val="24"/>
      </w:rPr>
    </w:lvl>
    <w:lvl w:ilvl="3">
      <w:start w:val="1"/>
      <w:numFmt w:val="decimal"/>
      <w:isLgl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bullet"/>
      <w:isLgl/>
      <w:suff w:val="tab"/>
      <w:lvlText w:val="•"/>
      <w:lvlJc w:val="left"/>
      <w:pPr>
        <w:ind w:left="72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decimal"/>
      <w:isLgl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sz w:val="22"/>
      </w:rPr>
    </w:lvl>
    <w:lvl w:ilvl="1">
      <w:start w:val="1"/>
      <w:numFmt w:val="decimal"/>
      <w:isLgl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5">
    <w:multiLevelType w:val="hybridMultilevel"/>
    <w:lvl w:ilvl="0">
      <w:start w:val="3"/>
      <w:numFmt w:val="decimal"/>
      <w:isLgl/>
      <w:suff w:val="tab"/>
      <w:lvlText w:val="%1."/>
      <w:lvlJc w:val="left"/>
      <w:pPr>
        <w:ind w:left="108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40" w:hanging="420"/>
        <w:tabs>
          <w:tab w:val="num" w:pos="0" w:leader="none"/>
        </w:tabs>
      </w:pPr>
      <w:rPr>
        <w:b w:val="0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  <w:tabs>
          <w:tab w:val="num" w:pos="0" w:leader="none"/>
        </w:tabs>
      </w:pPr>
      <w:rPr>
        <w:b w:val="0"/>
        <w:b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bullet"/>
      <w:isLgl/>
      <w:suff w:val="tab"/>
      <w:lvlText w:val="Ø"/>
      <w:lvlJc w:val="left"/>
      <w:pPr>
        <w:ind w:left="10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1">
      <w:start w:val="1"/>
      <w:numFmt w:val="bullet"/>
      <w:isLgl/>
      <w:suff w:val="tab"/>
      <w:lvlText w:val="o"/>
      <w:lvlJc w:val="left"/>
      <w:pPr>
        <w:ind w:left="17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§"/>
      <w:lvlJc w:val="left"/>
      <w:pPr>
        <w:ind w:left="25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·"/>
      <w:lvlJc w:val="left"/>
      <w:pPr>
        <w:ind w:left="322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9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§"/>
      <w:lvlJc w:val="left"/>
      <w:pPr>
        <w:ind w:left="46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·"/>
      <w:lvlJc w:val="left"/>
      <w:pPr>
        <w:ind w:left="538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61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§"/>
      <w:lvlJc w:val="left"/>
      <w:pPr>
        <w:ind w:left="682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right"/>
      <w:pPr>
        <w:ind w:left="709" w:hanging="36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color w:val="000000" w:themeColor="text1"/>
      </w:r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/>
      <w:suff w:val="tab"/>
      <w:lvlText w:val="%1."/>
      <w:lvlJc w:val="right"/>
      <w:pPr>
        <w:ind w:left="709" w:hanging="360"/>
        <w:tabs>
          <w:tab w:val="num" w:pos="0" w:leader="none"/>
        </w:tabs>
      </w:pPr>
      <w:rPr>
        <w:rFonts w:ascii="Times New Roman" w:hAnsi="Times New Roman" w:eastAsia="Times New Roman" w:cs="Times New Roman"/>
        <w:b/>
        <w:color w:val="000000" w:themeColor="text1"/>
      </w:r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isLgl/>
      <w:suff w:val="tab"/>
      <w:lvlText w:val="%1."/>
      <w:lvlJc w:val="right"/>
      <w:pPr>
        <w:ind w:left="709" w:hanging="36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color w:val="000000" w:themeColor="text1"/>
      </w:r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08">
    <w:name w:val="No List"/>
    <w:uiPriority w:val="99"/>
    <w:semiHidden/>
    <w:unhideWhenUsed/>
  </w:style>
  <w:style w:type="table" w:styleId="80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5" w:default="1">
    <w:name w:val="Normal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936">
    <w:name w:val="Heading 1"/>
    <w:basedOn w:val="9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37">
    <w:name w:val="Heading 2"/>
    <w:basedOn w:val="93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38">
    <w:name w:val="Heading 3"/>
    <w:basedOn w:val="9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39">
    <w:name w:val="Heading 4"/>
    <w:basedOn w:val="9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40">
    <w:name w:val="Heading 5"/>
    <w:basedOn w:val="9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41">
    <w:name w:val="Heading 6"/>
    <w:basedOn w:val="9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42">
    <w:name w:val="Heading 7"/>
    <w:basedOn w:val="9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43">
    <w:name w:val="Heading 8"/>
    <w:basedOn w:val="9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44">
    <w:name w:val="Heading 9"/>
    <w:basedOn w:val="935"/>
    <w:uiPriority w:val="9"/>
    <w:semiHidden/>
    <w:unhideWhenUsed/>
    <w:qFormat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styleId="945">
    <w:name w:val="Heading 1 Char"/>
    <w:basedOn w:val="967"/>
    <w:uiPriority w:val="9"/>
    <w:qFormat/>
    <w:rPr>
      <w:rFonts w:ascii="Arial" w:hAnsi="Arial" w:eastAsia="Arial" w:cs="Arial"/>
      <w:sz w:val="40"/>
      <w:szCs w:val="40"/>
    </w:rPr>
  </w:style>
  <w:style w:type="character" w:styleId="946">
    <w:name w:val="Heading 2 Char"/>
    <w:basedOn w:val="967"/>
    <w:uiPriority w:val="9"/>
    <w:qFormat/>
    <w:rPr>
      <w:rFonts w:ascii="Arial" w:hAnsi="Arial" w:eastAsia="Arial" w:cs="Arial"/>
      <w:sz w:val="34"/>
    </w:rPr>
  </w:style>
  <w:style w:type="character" w:styleId="947">
    <w:name w:val="Heading 3 Char"/>
    <w:basedOn w:val="967"/>
    <w:uiPriority w:val="9"/>
    <w:qFormat/>
    <w:rPr>
      <w:rFonts w:ascii="Arial" w:hAnsi="Arial" w:eastAsia="Arial" w:cs="Arial"/>
      <w:sz w:val="30"/>
      <w:szCs w:val="30"/>
    </w:rPr>
  </w:style>
  <w:style w:type="character" w:styleId="948">
    <w:name w:val="Heading 4 Char"/>
    <w:basedOn w:val="96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49">
    <w:name w:val="Heading 5 Char"/>
    <w:basedOn w:val="96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950">
    <w:name w:val="Heading 6 Char"/>
    <w:basedOn w:val="96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951">
    <w:name w:val="Heading 7 Char"/>
    <w:basedOn w:val="96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952">
    <w:name w:val="Heading 8 Char"/>
    <w:basedOn w:val="96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53">
    <w:name w:val="Heading 9 Char"/>
    <w:basedOn w:val="96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954">
    <w:name w:val="Title Char"/>
    <w:basedOn w:val="967"/>
    <w:uiPriority w:val="10"/>
    <w:qFormat/>
    <w:rPr>
      <w:sz w:val="48"/>
      <w:szCs w:val="48"/>
    </w:rPr>
  </w:style>
  <w:style w:type="character" w:styleId="955">
    <w:name w:val="Subtitle Char"/>
    <w:basedOn w:val="967"/>
    <w:uiPriority w:val="11"/>
    <w:qFormat/>
    <w:rPr>
      <w:sz w:val="24"/>
      <w:szCs w:val="24"/>
    </w:rPr>
  </w:style>
  <w:style w:type="character" w:styleId="956">
    <w:name w:val="Quote Char"/>
    <w:uiPriority w:val="29"/>
    <w:qFormat/>
    <w:rPr>
      <w:i/>
    </w:rPr>
  </w:style>
  <w:style w:type="character" w:styleId="957">
    <w:name w:val="Intense Quote Char"/>
    <w:uiPriority w:val="30"/>
    <w:qFormat/>
    <w:rPr>
      <w:i/>
    </w:rPr>
  </w:style>
  <w:style w:type="character" w:styleId="958">
    <w:name w:val="Header Char"/>
    <w:basedOn w:val="967"/>
    <w:uiPriority w:val="99"/>
    <w:qFormat/>
  </w:style>
  <w:style w:type="character" w:styleId="959">
    <w:name w:val="Footer Char"/>
    <w:basedOn w:val="967"/>
    <w:uiPriority w:val="99"/>
    <w:qFormat/>
  </w:style>
  <w:style w:type="character" w:styleId="960">
    <w:name w:val="Caption Char"/>
    <w:uiPriority w:val="99"/>
    <w:qFormat/>
  </w:style>
  <w:style w:type="character" w:styleId="961">
    <w:name w:val="Footnote Text Char"/>
    <w:uiPriority w:val="99"/>
    <w:qFormat/>
    <w:rPr>
      <w:sz w:val="18"/>
    </w:rPr>
  </w:style>
  <w:style w:type="character" w:styleId="962">
    <w:name w:val="Символ сноски"/>
    <w:uiPriority w:val="99"/>
    <w:unhideWhenUsed/>
    <w:qFormat/>
    <w:rPr>
      <w:vertAlign w:val="superscript"/>
    </w:rPr>
  </w:style>
  <w:style w:type="character" w:styleId="963">
    <w:name w:val="footnote reference"/>
    <w:rPr>
      <w:vertAlign w:val="superscript"/>
    </w:rPr>
  </w:style>
  <w:style w:type="character" w:styleId="964">
    <w:name w:val="Endnote Text Char"/>
    <w:uiPriority w:val="99"/>
    <w:qFormat/>
    <w:rPr>
      <w:sz w:val="20"/>
    </w:rPr>
  </w:style>
  <w:style w:type="character" w:styleId="96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66">
    <w:name w:val="endnote reference"/>
    <w:rPr>
      <w:vertAlign w:val="superscript"/>
    </w:rPr>
  </w:style>
  <w:style w:type="character" w:styleId="967" w:default="1">
    <w:name w:val="Default Paragraph Font"/>
    <w:uiPriority w:val="1"/>
    <w:semiHidden/>
    <w:unhideWhenUsed/>
    <w:qFormat/>
  </w:style>
  <w:style w:type="character" w:styleId="968">
    <w:name w:val="annotation reference"/>
    <w:basedOn w:val="967"/>
    <w:uiPriority w:val="99"/>
    <w:unhideWhenUsed/>
    <w:qFormat/>
    <w:rPr>
      <w:sz w:val="16"/>
      <w:szCs w:val="16"/>
    </w:rPr>
  </w:style>
  <w:style w:type="character" w:styleId="969" w:customStyle="1">
    <w:name w:val="Текст примечания Знак"/>
    <w:basedOn w:val="967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0" w:customStyle="1">
    <w:name w:val="Текст выноски Знак"/>
    <w:basedOn w:val="967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971" w:customStyle="1">
    <w:name w:val="Заголовок №1_"/>
    <w:qFormat/>
    <w:rPr>
      <w:b/>
      <w:bCs/>
      <w:sz w:val="28"/>
      <w:szCs w:val="28"/>
      <w:shd w:val="clear" w:color="auto" w:fill="ffffff"/>
    </w:rPr>
  </w:style>
  <w:style w:type="character" w:styleId="972" w:customStyle="1">
    <w:name w:val="Заголовок №2_"/>
    <w:qFormat/>
    <w:rPr>
      <w:b/>
      <w:bCs/>
      <w:sz w:val="23"/>
      <w:szCs w:val="23"/>
      <w:shd w:val="clear" w:color="auto" w:fill="ffffff"/>
    </w:rPr>
  </w:style>
  <w:style w:type="character" w:styleId="973" w:customStyle="1">
    <w:name w:val="Основной текст Знак"/>
    <w:qFormat/>
    <w:rPr>
      <w:sz w:val="23"/>
      <w:szCs w:val="23"/>
      <w:shd w:val="clear" w:color="auto" w:fill="ffffff"/>
    </w:rPr>
  </w:style>
  <w:style w:type="character" w:styleId="974" w:customStyle="1">
    <w:name w:val="Основной текст Знак1"/>
    <w:basedOn w:val="967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5">
    <w:name w:val="Hyperlink"/>
    <w:uiPriority w:val="99"/>
    <w:semiHidden/>
    <w:unhideWhenUsed/>
    <w:rPr>
      <w:color w:val="0000ff"/>
      <w:u w:val="single"/>
    </w:rPr>
  </w:style>
  <w:style w:type="character" w:styleId="976" w:customStyle="1">
    <w:name w:val="Заголовок 9 Знак"/>
    <w:basedOn w:val="967"/>
    <w:uiPriority w:val="9"/>
    <w:semiHidden/>
    <w:qFormat/>
    <w:rPr>
      <w:rFonts w:ascii="Cambria" w:hAnsi="Cambria" w:eastAsia="Times New Roman" w:cs="Times New Roman"/>
      <w:sz w:val="20"/>
      <w:szCs w:val="20"/>
    </w:rPr>
  </w:style>
  <w:style w:type="character" w:styleId="977" w:customStyle="1">
    <w:name w:val="Заголовок 1 ДИТ Знак"/>
    <w:qFormat/>
    <w:rPr>
      <w:rFonts w:ascii="Times New Roman" w:hAnsi="Times New Roman" w:eastAsia="Times New Roman" w:cs="Times New Roman"/>
      <w:b/>
      <w:sz w:val="28"/>
      <w:szCs w:val="28"/>
    </w:rPr>
  </w:style>
  <w:style w:type="character" w:styleId="978" w:customStyle="1">
    <w:name w:val="Заголовок 2 ДИТ Знак"/>
    <w:qFormat/>
    <w:rPr>
      <w:rFonts w:ascii="Times New Roman" w:hAnsi="Times New Roman" w:eastAsia="Times New Roman" w:cs="Times New Roman"/>
      <w:b/>
      <w:sz w:val="24"/>
      <w:szCs w:val="24"/>
    </w:rPr>
  </w:style>
  <w:style w:type="character" w:styleId="979" w:customStyle="1">
    <w:name w:val="Заголовок 3 ДИТ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980" w:customStyle="1">
    <w:name w:val="Стиль вставки"/>
    <w:uiPriority w:val="1"/>
    <w:qFormat/>
    <w:rPr>
      <w:rFonts w:ascii="Tahoma" w:hAnsi="Tahoma"/>
      <w:color w:val="000000"/>
      <w:sz w:val="20"/>
    </w:rPr>
  </w:style>
  <w:style w:type="character" w:styleId="981" w:customStyle="1">
    <w:name w:val="Тема примечания Знак"/>
    <w:basedOn w:val="969"/>
    <w:uiPriority w:val="99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982" w:customStyle="1">
    <w:name w:val="fontstyle01"/>
    <w:basedOn w:val="967"/>
    <w:qFormat/>
    <w:rPr>
      <w:rFonts w:ascii="TimesNewRomanPSMT" w:hAnsi="TimesNewRomanPSMT"/>
      <w:b w:val="0"/>
      <w:bCs w:val="0"/>
      <w:i w:val="0"/>
      <w:iCs w:val="0"/>
      <w:color w:val="000000"/>
      <w:sz w:val="22"/>
      <w:szCs w:val="22"/>
    </w:rPr>
  </w:style>
  <w:style w:type="paragraph" w:styleId="983">
    <w:name w:val="Заголовок"/>
    <w:basedOn w:val="935"/>
    <w:next w:val="984"/>
    <w:qFormat/>
    <w:pPr>
      <w:keepNext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984">
    <w:name w:val="Body Text"/>
    <w:basedOn w:val="935"/>
    <w:pPr>
      <w:ind w:hanging="1020"/>
      <w:jc w:val="both"/>
      <w:spacing w:before="180" w:after="180" w:line="322" w:lineRule="exact"/>
      <w:shd w:val="clear" w:color="auto" w:fill="ffffff"/>
    </w:pPr>
    <w:rPr>
      <w:rFonts w:ascii="Calibri" w:hAnsi="Calibri" w:eastAsia="Calibri" w:cs="Arial" w:asciiTheme="minorHAnsi" w:hAnsiTheme="minorHAnsi" w:eastAsiaTheme="minorHAnsi" w:cstheme="minorBidi"/>
      <w:sz w:val="23"/>
      <w:szCs w:val="23"/>
      <w:lang w:eastAsia="en-US"/>
    </w:rPr>
  </w:style>
  <w:style w:type="paragraph" w:styleId="985">
    <w:name w:val="List"/>
    <w:basedOn w:val="984"/>
    <w:rPr>
      <w:rFonts w:cs="Droid Sans"/>
    </w:rPr>
  </w:style>
  <w:style w:type="paragraph" w:styleId="986">
    <w:name w:val="Caption"/>
    <w:basedOn w:val="935"/>
    <w:link w:val="9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987">
    <w:name w:val="Указатель"/>
    <w:basedOn w:val="935"/>
    <w:qFormat/>
    <w:pPr>
      <w:suppressLineNumbers/>
    </w:pPr>
    <w:rPr>
      <w:rFonts w:cs="Droid Sans"/>
    </w:rPr>
  </w:style>
  <w:style w:type="paragraph" w:styleId="988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89">
    <w:name w:val="Title"/>
    <w:basedOn w:val="935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90">
    <w:name w:val="Subtitle"/>
    <w:basedOn w:val="935"/>
    <w:uiPriority w:val="11"/>
    <w:qFormat/>
    <w:pPr>
      <w:spacing w:before="200" w:after="200"/>
    </w:pPr>
    <w:rPr>
      <w:sz w:val="24"/>
      <w:szCs w:val="24"/>
    </w:rPr>
  </w:style>
  <w:style w:type="paragraph" w:styleId="991">
    <w:name w:val="Quote"/>
    <w:basedOn w:val="935"/>
    <w:uiPriority w:val="29"/>
    <w:qFormat/>
    <w:pPr>
      <w:ind w:left="720" w:right="720"/>
    </w:pPr>
    <w:rPr>
      <w:i/>
    </w:rPr>
  </w:style>
  <w:style w:type="paragraph" w:styleId="992">
    <w:name w:val="Intense Quote"/>
    <w:basedOn w:val="935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93">
    <w:name w:val="Header and Footer"/>
    <w:basedOn w:val="935"/>
    <w:qFormat/>
  </w:style>
  <w:style w:type="paragraph" w:styleId="994">
    <w:name w:val="Header"/>
    <w:basedOn w:val="935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995">
    <w:name w:val="Footer"/>
    <w:basedOn w:val="935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996">
    <w:name w:val="footnote text"/>
    <w:basedOn w:val="935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997">
    <w:name w:val="endnote text"/>
    <w:basedOn w:val="935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998">
    <w:name w:val="toc 1"/>
    <w:basedOn w:val="935"/>
    <w:uiPriority w:val="39"/>
    <w:unhideWhenUsed/>
    <w:pPr>
      <w:ind w:left="0" w:right="0" w:firstLine="0"/>
      <w:spacing w:before="0" w:after="57"/>
    </w:pPr>
  </w:style>
  <w:style w:type="paragraph" w:styleId="999">
    <w:name w:val="toc 2"/>
    <w:basedOn w:val="935"/>
    <w:uiPriority w:val="39"/>
    <w:unhideWhenUsed/>
    <w:pPr>
      <w:ind w:left="283" w:right="0" w:firstLine="0"/>
      <w:spacing w:before="0" w:after="57"/>
    </w:pPr>
  </w:style>
  <w:style w:type="paragraph" w:styleId="1000">
    <w:name w:val="toc 3"/>
    <w:basedOn w:val="935"/>
    <w:uiPriority w:val="39"/>
    <w:unhideWhenUsed/>
    <w:pPr>
      <w:ind w:left="567" w:right="0" w:firstLine="0"/>
      <w:spacing w:before="0" w:after="57"/>
    </w:pPr>
  </w:style>
  <w:style w:type="paragraph" w:styleId="1001">
    <w:name w:val="toc 4"/>
    <w:basedOn w:val="935"/>
    <w:uiPriority w:val="39"/>
    <w:unhideWhenUsed/>
    <w:pPr>
      <w:ind w:left="850" w:right="0" w:firstLine="0"/>
      <w:spacing w:before="0" w:after="57"/>
    </w:pPr>
  </w:style>
  <w:style w:type="paragraph" w:styleId="1002">
    <w:name w:val="toc 5"/>
    <w:basedOn w:val="935"/>
    <w:uiPriority w:val="39"/>
    <w:unhideWhenUsed/>
    <w:pPr>
      <w:ind w:left="1134" w:right="0" w:firstLine="0"/>
      <w:spacing w:before="0" w:after="57"/>
    </w:pPr>
  </w:style>
  <w:style w:type="paragraph" w:styleId="1003">
    <w:name w:val="toc 6"/>
    <w:basedOn w:val="935"/>
    <w:uiPriority w:val="39"/>
    <w:unhideWhenUsed/>
    <w:pPr>
      <w:ind w:left="1417" w:right="0" w:firstLine="0"/>
      <w:spacing w:before="0" w:after="57"/>
    </w:pPr>
  </w:style>
  <w:style w:type="paragraph" w:styleId="1004">
    <w:name w:val="toc 7"/>
    <w:basedOn w:val="935"/>
    <w:uiPriority w:val="39"/>
    <w:unhideWhenUsed/>
    <w:pPr>
      <w:ind w:left="1701" w:right="0" w:firstLine="0"/>
      <w:spacing w:before="0" w:after="57"/>
    </w:pPr>
  </w:style>
  <w:style w:type="paragraph" w:styleId="1005">
    <w:name w:val="toc 8"/>
    <w:basedOn w:val="935"/>
    <w:uiPriority w:val="39"/>
    <w:unhideWhenUsed/>
    <w:pPr>
      <w:ind w:left="1984" w:right="0" w:firstLine="0"/>
      <w:spacing w:before="0" w:after="57"/>
    </w:pPr>
  </w:style>
  <w:style w:type="paragraph" w:styleId="1006">
    <w:name w:val="toc 9"/>
    <w:basedOn w:val="935"/>
    <w:uiPriority w:val="39"/>
    <w:unhideWhenUsed/>
    <w:pPr>
      <w:ind w:left="2268" w:right="0" w:firstLine="0"/>
      <w:spacing w:before="0" w:after="57"/>
    </w:pPr>
  </w:style>
  <w:style w:type="paragraph" w:styleId="1007">
    <w:name w:val="index heading"/>
    <w:basedOn w:val="983"/>
  </w:style>
  <w:style w:type="paragraph" w:styleId="1008">
    <w:name w:val="TOC Heading"/>
    <w:uiPriority w:val="39"/>
    <w:unhideWhenUsed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1009">
    <w:name w:val="table of figures"/>
    <w:basedOn w:val="935"/>
    <w:uiPriority w:val="99"/>
    <w:unhideWhenUsed/>
    <w:pPr>
      <w:spacing w:before="0" w:after="0" w:afterAutospacing="0"/>
    </w:pPr>
  </w:style>
  <w:style w:type="paragraph" w:styleId="1010">
    <w:name w:val="annotation text"/>
    <w:basedOn w:val="935"/>
    <w:uiPriority w:val="99"/>
    <w:unhideWhenUsed/>
    <w:rPr>
      <w:sz w:val="20"/>
      <w:szCs w:val="20"/>
    </w:rPr>
  </w:style>
  <w:style w:type="paragraph" w:styleId="1011">
    <w:name w:val="Balloon Text"/>
    <w:basedOn w:val="93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1012" w:customStyle="1">
    <w:name w:val="Заголовок №1"/>
    <w:basedOn w:val="935"/>
    <w:qFormat/>
    <w:pPr>
      <w:ind w:hanging="520"/>
      <w:jc w:val="center"/>
      <w:spacing w:before="0" w:after="1020" w:line="240" w:lineRule="atLeast"/>
      <w:shd w:val="clear" w:color="auto" w:fill="ffffff"/>
      <w:outlineLvl w:val="0"/>
    </w:pPr>
    <w:rPr>
      <w:rFonts w:ascii="Calibri" w:hAnsi="Calibri" w:eastAsia="Calibri" w:cs="Arial" w:asciiTheme="minorHAnsi" w:hAnsiTheme="minorHAnsi" w:eastAsiaTheme="minorHAnsi" w:cstheme="minorBidi"/>
      <w:b/>
      <w:bCs/>
      <w:sz w:val="28"/>
      <w:szCs w:val="28"/>
      <w:lang w:eastAsia="en-US"/>
    </w:rPr>
  </w:style>
  <w:style w:type="paragraph" w:styleId="1013" w:customStyle="1">
    <w:name w:val="Заголовок №2"/>
    <w:basedOn w:val="935"/>
    <w:qFormat/>
    <w:pPr>
      <w:ind w:hanging="1300"/>
      <w:jc w:val="both"/>
      <w:spacing w:before="360" w:after="180" w:line="240" w:lineRule="atLeast"/>
      <w:shd w:val="clear" w:color="auto" w:fill="ffffff"/>
      <w:outlineLvl w:val="1"/>
    </w:pPr>
    <w:rPr>
      <w:rFonts w:ascii="Calibri" w:hAnsi="Calibri" w:eastAsia="Calibri" w:cs="Arial" w:asciiTheme="minorHAnsi" w:hAnsiTheme="minorHAnsi" w:eastAsiaTheme="minorHAnsi" w:cstheme="minorBidi"/>
      <w:b/>
      <w:bCs/>
      <w:sz w:val="23"/>
      <w:szCs w:val="23"/>
      <w:lang w:eastAsia="en-US"/>
    </w:rPr>
  </w:style>
  <w:style w:type="paragraph" w:styleId="1014">
    <w:name w:val="List Paragraph"/>
    <w:basedOn w:val="935"/>
    <w:uiPriority w:val="34"/>
    <w:qFormat/>
    <w:pPr>
      <w:contextualSpacing/>
      <w:ind w:left="720"/>
      <w:spacing w:before="0" w:after="0"/>
    </w:pPr>
  </w:style>
  <w:style w:type="paragraph" w:styleId="1015" w:customStyle="1">
    <w:name w:val="Default"/>
    <w:basedOn w:val="935"/>
    <w:qFormat/>
    <w:rPr>
      <w:rFonts w:eastAsia="Calibri" w:eastAsiaTheme="minorHAnsi"/>
      <w:color w:val="000000"/>
    </w:rPr>
  </w:style>
  <w:style w:type="paragraph" w:styleId="1016" w:customStyle="1">
    <w:name w:val="Заголовок 1 ДИТ"/>
    <w:basedOn w:val="935"/>
    <w:qFormat/>
    <w:pPr>
      <w:numPr>
        <w:ilvl w:val="0"/>
        <w:numId w:val="1"/>
      </w:numPr>
      <w:jc w:val="center"/>
    </w:pPr>
    <w:rPr>
      <w:b/>
      <w:sz w:val="28"/>
      <w:szCs w:val="28"/>
    </w:rPr>
  </w:style>
  <w:style w:type="paragraph" w:styleId="1017" w:customStyle="1">
    <w:name w:val="Заголовок 2 ДИТ"/>
    <w:basedOn w:val="935"/>
    <w:qFormat/>
    <w:pPr>
      <w:numPr>
        <w:ilvl w:val="1"/>
        <w:numId w:val="1"/>
      </w:numPr>
    </w:pPr>
    <w:rPr>
      <w:b/>
    </w:rPr>
  </w:style>
  <w:style w:type="paragraph" w:styleId="1018" w:customStyle="1">
    <w:name w:val="Заголовок 3 ДИТ"/>
    <w:basedOn w:val="1017"/>
    <w:qFormat/>
    <w:rPr>
      <w:b w:val="0"/>
    </w:rPr>
  </w:style>
  <w:style w:type="paragraph" w:styleId="1019">
    <w:name w:val="annotation subject"/>
    <w:basedOn w:val="1010"/>
    <w:uiPriority w:val="99"/>
    <w:semiHidden/>
    <w:unhideWhenUsed/>
    <w:qFormat/>
    <w:rPr>
      <w:b/>
      <w:bCs/>
    </w:rPr>
  </w:style>
  <w:style w:type="paragraph" w:styleId="1020" w:customStyle="1">
    <w:name w:val="Таблица шапка"/>
    <w:qFormat/>
    <w:pPr>
      <w:ind w:left="57" w:right="57" w:firstLine="0"/>
      <w:jc w:val="left"/>
      <w:keepLines w:val="0"/>
      <w:keepNext/>
      <w:pageBreakBefore w:val="0"/>
      <w:spacing w:before="40" w:beforeAutospacing="0" w:after="4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6"/>
      <w:u w:val="none"/>
      <w:vertAlign w:val="baseline"/>
      <w:lang w:val="ru-RU" w:eastAsia="ru-RU" w:bidi="ar-SA"/>
      <w14:ligatures w14:val="none"/>
    </w:rPr>
  </w:style>
  <w:style w:type="numbering" w:styleId="1021" w:default="1">
    <w:name w:val="Без списка"/>
    <w:uiPriority w:val="99"/>
    <w:semiHidden/>
    <w:unhideWhenUsed/>
    <w:qFormat/>
  </w:style>
  <w:style w:type="table" w:styleId="102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footer" Target="footer9.xml" /><Relationship Id="rId18" Type="http://schemas.openxmlformats.org/officeDocument/2006/relationships/customXml" Target="../customXml/item1.xml" /><Relationship Id="rId19" Type="http://schemas.openxmlformats.org/officeDocument/2006/relationships/customXml" Target="../customXml/item2.xml" /><Relationship Id="rId20" Type="http://schemas.openxmlformats.org/officeDocument/2006/relationships/customXml" Target="../customXml/item3.xml" /><Relationship Id="rId21" Type="http://schemas.openxmlformats.org/officeDocument/2006/relationships/customXml" Target="../customXml/item4.xml" /><Relationship Id="rId22" Type="http://schemas.openxmlformats.org/officeDocument/2006/relationships/customXml" Target="../customXml/item5.xml" /><Relationship Id="rId23" Type="http://schemas.openxmlformats.org/officeDocument/2006/relationships/hyperlink" Target="https://reestr.digital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er9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2ac92ed-aea8-45a8-b3be-5d9d4ddabf7d">PHSVHREUDMNN-98698068-501</_dlc_DocId>
    <_dlc_DocIdUrl xmlns="62ac92ed-aea8-45a8-b3be-5d9d4ddabf7d">
      <Url>http://dup-apd:20000/OtdelIT/dogovor_soft/_layouts/15/DocIdRedir.aspx?ID=PHSVHREUDMNN-98698068-501</Url>
      <Description>PHSVHREUDMNN-98698068-501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318F7F0A7127448CF567ED9F05059A" ma:contentTypeVersion="0" ma:contentTypeDescription="Создание документа." ma:contentTypeScope="" ma:versionID="bcd0e5b75b0cff7795fdcdcf05a0809f">
  <xsd:schema xmlns:xsd="http://www.w3.org/2001/XMLSchema" xmlns:xs="http://www.w3.org/2001/XMLSchema" xmlns:p="http://schemas.microsoft.com/office/2006/metadata/properties" xmlns:ns2="62ac92ed-aea8-45a8-b3be-5d9d4ddabf7d" targetNamespace="http://schemas.microsoft.com/office/2006/metadata/properties" ma:root="true" ma:fieldsID="4c16031b3cacb9273819abc06e18fd4a" ns2:_="">
    <xsd:import namespace="62ac92ed-aea8-45a8-b3be-5d9d4ddabf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c92ed-aea8-45a8-b3be-5d9d4ddabf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34EB05-65AB-4F56-89AB-D762D2C9F9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872453-E03C-4794-84E2-6F9B2286C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5FD36-FA0A-40BA-B601-B2CF9BB3EF6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58FC6C0-2856-4DB6-9026-2C8307D8A7E3}">
  <ds:schemaRefs>
    <ds:schemaRef ds:uri="62ac92ed-aea8-45a8-b3be-5d9d4ddabf7d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18B71E7D-D109-4299-8ABD-6C96C1CFA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c92ed-aea8-45a8-b3be-5d9d4dda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RusHydro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Андрей</dc:creator>
  <dc:description/>
  <dc:language>ru-RU</dc:language>
  <cp:lastModifiedBy>kuzeevanv</cp:lastModifiedBy>
  <cp:revision>52</cp:revision>
  <dcterms:created xsi:type="dcterms:W3CDTF">2022-08-05T08:11:00Z</dcterms:created>
  <dcterms:modified xsi:type="dcterms:W3CDTF">2026-09-15T11:33:32Z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0x01010025318F7F0A7127448CF567ED9F05059A</vt:lpwstr>
  </property>
  <property fmtid="{D5CDD505-2E9C-101B-9397-08002B2CF9AE}" pid="3" name="_dlc_DocIdItemGuid">
    <vt:lpwstr>d9a2bbab-32b2-46dd-bbe8-de174b0f12f3</vt:lpwstr>
  </property>
</Properties>
</file>