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ind w:firstLine="851" w:left="0" w:right="0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ind w:firstLine="851" w:left="0" w:right="0"/>
        <w:jc w:val="center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Heading1"/>
        <w:widowControl w:val="false"/>
        <w:numPr>
          <w:ilvl w:val="0"/>
        </w:numPr>
        <w:spacing w:lineRule="auto" w:line="264"/>
        <w:ind w:hanging="0" w:left="0"/>
        <w:jc w:val="center"/>
        <w:rPr/>
      </w:pPr>
      <w:r>
        <w:rPr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eastAsia="ru-RU"/>
        </w:rPr>
        <w:t xml:space="preserve">ОКПД 2: 26.51.20.110 </w:t>
      </w:r>
      <w:r>
        <w:rPr>
          <w:rFonts w:eastAsia="Calibri" w:cs="Times New Roman"/>
          <w:b w:val="false"/>
          <w:bCs w:val="false"/>
          <w:sz w:val="28"/>
          <w:szCs w:val="28"/>
          <w:shd w:fill="auto" w:val="clear"/>
          <w:lang w:eastAsia="ru-RU"/>
        </w:rPr>
        <w:t xml:space="preserve">Поставка </w:t>
      </w:r>
      <w:r>
        <w:rPr>
          <w:rStyle w:val="Strong"/>
          <w:rFonts w:eastAsia="Calibri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x-none" w:eastAsia="ru-RU" w:bidi="ar-SA"/>
        </w:rPr>
        <w:t>радиолакационной станции</w:t>
      </w:r>
      <w:r>
        <w:rPr>
          <w:rFonts w:eastAsia="Calibri" w:cs="Times New Roman"/>
          <w:b w:val="false"/>
          <w:bCs w:val="false"/>
          <w:sz w:val="28"/>
          <w:szCs w:val="28"/>
          <w:shd w:fill="auto" w:val="clear"/>
          <w:lang w:eastAsia="ru-RU"/>
        </w:rPr>
        <w:t xml:space="preserve"> для</w:t>
      </w:r>
      <w:r>
        <w:rPr>
          <w:rFonts w:eastAsia="Calibri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eastAsia="ru-RU"/>
        </w:rPr>
        <w:t xml:space="preserve"> Кубанского филиала.</w:t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 w:right="0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hd w:val="clear" w:fill="FFFFFF"/>
        <w:spacing w:lineRule="auto" w:line="264"/>
        <w:ind w:firstLine="851" w:left="0" w:right="0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2"/>
            <w:shd w:fill="FFFFFF" w:val="clear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instrText xml:space="preserve"> TOC \o "1-3" \h</w:instrText>
          </w:r>
          <w:r>
            <w:rPr>
              <w:sz w:val="24"/>
              <w:b/>
              <w:szCs w:val="24"/>
              <w:rFonts w:cs="Times New Roman" w:ascii="Times New Roman" w:hAnsi="Times New Roman"/>
              <w:lang w:eastAsia="ru-RU"/>
            </w:rPr>
            <w:fldChar w:fldCharType="separate"/>
          </w:r>
          <w:r>
            <w:rPr>
              <w:rFonts w:cs="Times New Roman" w:ascii="Times New Roman" w:hAnsi="Times New Roman"/>
              <w:b/>
              <w:sz w:val="24"/>
              <w:szCs w:val="24"/>
              <w:lang w:eastAsia="ru-RU"/>
            </w:rPr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1.Общие сведения</w:t>
            <w:tab/>
            <w:t>3</w:t>
          </w:r>
        </w:p>
        <w:p>
          <w:pPr>
            <w:pStyle w:val="TOC2"/>
            <w:shd w:val="clear" w:fill="FFFFFF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1.1.</w:t>
            <w:tab/>
            <w:t>Наименование закупаемой продукции.</w:t>
            <w:tab/>
            <w:t>3</w:t>
          </w:r>
        </w:p>
        <w:p>
          <w:pPr>
            <w:pStyle w:val="TOC2"/>
            <w:shd w:val="clear" w:fill="FFFFFF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1.2.</w:t>
            <w:tab/>
            <w:t>Цель использования закупаемой продукции.</w:t>
            <w:tab/>
            <w:t>3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2.Требования к продукции.</w:t>
            <w:tab/>
            <w:t>3</w:t>
          </w:r>
        </w:p>
        <w:p>
          <w:pPr>
            <w:pStyle w:val="TOC3"/>
            <w:shd w:val="clear" w:fill="FFFFFF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2.1.1</w:t>
            <w:tab/>
            <w:t>Перечень и объем закупаемой продукции</w:t>
            <w:tab/>
            <w:t>3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1.1 Перечень и объем закупаемой продукции</w:t>
            <w:tab/>
            <w:t>3</w:t>
          </w:r>
        </w:p>
        <w:p>
          <w:pPr>
            <w:pStyle w:val="TOC3"/>
            <w:shd w:val="clear" w:fill="FFFFFF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 w:val="false"/>
              <w:bCs w:val="false"/>
              <w:color w:val="000000"/>
              <w:sz w:val="24"/>
              <w:szCs w:val="24"/>
              <w:shd w:fill="FFFFFF" w:val="clear"/>
            </w:rPr>
            <w:t>2.1.2</w:t>
            <w:tab/>
            <w:t>Требования к срокам поставки продукции</w:t>
            <w:tab/>
            <w:t>3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2.1 Требования по срокам поставки продукции</w:t>
            <w:tab/>
            <w:t>3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2.2 Требование к качеству продукции………………………………………………...………………...4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Таблица 3. Требования к продукции</w:t>
            <w:tab/>
            <w:t>4</w:t>
          </w:r>
        </w:p>
        <w:p>
          <w:pPr>
            <w:pStyle w:val="TOC1"/>
            <w:spacing w:lineRule="auto" w:line="276"/>
            <w:rPr>
              <w:rFonts w:ascii="Times New Roman" w:hAnsi="Times New Roman"/>
              <w:sz w:val="24"/>
              <w:szCs w:val="24"/>
            </w:rPr>
          </w:pPr>
          <w:r>
            <w:rPr>
              <w:b w:val="false"/>
              <w:bCs w:val="false"/>
              <w:color w:val="000000"/>
              <w:sz w:val="24"/>
              <w:szCs w:val="24"/>
              <w:shd w:fill="FFFFFF" w:val="clear"/>
            </w:rPr>
            <w:t>3.Требования к документации по ценообразованию на этапе закупки.</w:t>
            <w:tab/>
            <w:t>6</w:t>
          </w:r>
          <w:r>
            <w:rPr>
              <w:sz w:val="24"/>
              <w:b w:val="false"/>
              <w:shd w:fill="FFFFFF" w:val="clear"/>
              <w:szCs w:val="24"/>
              <w:bCs w:val="false"/>
              <w:color w:val="000000"/>
            </w:rPr>
            <w:fldChar w:fldCharType="end"/>
          </w:r>
        </w:p>
      </w:sdtContent>
    </w:sdt>
    <w:p>
      <w:pPr>
        <w:pStyle w:val="TOC1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TOC1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 w:right="0"/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  <w:r>
        <w:br w:type="page"/>
      </w:r>
    </w:p>
    <w:p>
      <w:pPr>
        <w:pStyle w:val="Heading1"/>
        <w:keepLines/>
        <w:numPr>
          <w:ilvl w:val="0"/>
          <w:numId w:val="6"/>
        </w:numPr>
        <w:jc w:val="center"/>
        <w:rPr>
          <w:rFonts w:ascii="Times New Roman" w:hAnsi="Times New Roman"/>
          <w:sz w:val="24"/>
          <w:szCs w:val="24"/>
        </w:rPr>
      </w:pPr>
      <w:bookmarkStart w:id="1" w:name="_Toc125473240"/>
      <w:bookmarkStart w:id="2" w:name="_Toc125476050"/>
      <w:bookmarkStart w:id="3" w:name="_Toc75446566"/>
      <w:bookmarkStart w:id="4" w:name="_Toc51339692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ind w:hanging="480" w:left="480" w:right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5" w:name="_Toc125473241"/>
      <w:bookmarkStart w:id="6" w:name="_Toc1254760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widowControl/>
        <w:numPr>
          <w:ilvl w:val="1"/>
        </w:numPr>
        <w:tabs>
          <w:tab w:val="clear" w:pos="708"/>
          <w:tab w:val="left" w:pos="426" w:leader="none"/>
          <w:tab w:val="left" w:pos="993" w:leader="none"/>
        </w:tabs>
        <w:suppressAutoHyphens w:val="true"/>
        <w:overflowPunct w:val="true"/>
        <w:bidi w:val="0"/>
        <w:spacing w:before="0" w:after="0"/>
        <w:ind w:hanging="0" w:left="0"/>
        <w:jc w:val="both"/>
        <w:rPr/>
      </w:pPr>
      <w:r>
        <w:rPr>
          <w:rFonts w:eastAsia="Calibri" w:cs="Tahoma" w:ascii="Times New Roman" w:hAnsi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en-US" w:bidi="ar-SA"/>
        </w:rPr>
        <w:t>ОКПД 2: 26.51.20.110 Поставка радиолакационной станции для Кубанского филиала.</w:t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ind w:hanging="480" w:left="480" w:right="0"/>
        <w:contextualSpacing/>
        <w:outlineLvl w:val="1"/>
        <w:rPr>
          <w:rFonts w:ascii="Times New Roman" w:hAnsi="Times New Roman"/>
          <w:sz w:val="24"/>
          <w:szCs w:val="24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numPr>
          <w:ilvl w:val="1"/>
        </w:numPr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Исполнение обязательств по договору № 1190-4593-2026 от 03.09.2026г. «Строительно-монтажные работы по модернизации систем: охранной телевизионной, охранной сигнализации, охранного освещения, электропитания, контроля и управления доступом, инженерных средств защиты, оповещения на г/у на р.Большой Зеленчук Зеленчукской ГЭС-ГАЭС», заключенного между Филиала ПАО «РусГидро» - «Карачаево-Черкесский филиал и АО «Гидроремонт-ВКК».</w:t>
      </w:r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9" w:name="_Toc125473249"/>
      <w:bookmarkStart w:id="10" w:name="_Toc125476056"/>
      <w:bookmarkStart w:id="11" w:name="_Toc125473249"/>
      <w:bookmarkStart w:id="12" w:name="_Toc125476056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left"/>
        <w:rPr>
          <w:rFonts w:ascii="Times New Roman" w:hAnsi="Times New Roman" w:eastAsia="Times New Roman" w:cs="Times New Roman"/>
          <w:bCs/>
          <w:i w:val="false"/>
          <w:i w:val="false"/>
          <w:iCs w:val="false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sz w:val="24"/>
          <w:szCs w:val="24"/>
          <w:shd w:fill="FFFFFF" w:val="clear"/>
          <w:lang w:eastAsia="ru-RU"/>
        </w:rPr>
      </w:r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3" w:name="_Toc75446573"/>
      <w:bookmarkStart w:id="14" w:name="_Toc51339693"/>
      <w:r>
        <w:rPr>
          <w:rFonts w:eastAsia="Calibri"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3"/>
      <w:bookmarkEnd w:id="14"/>
      <w:r>
        <w:rPr>
          <w:rFonts w:eastAsia="Calibri" w:cs="Times New Roman" w:ascii="Times New Roman" w:hAnsi="Times New Roman"/>
          <w:b/>
          <w:iCs/>
          <w:sz w:val="24"/>
          <w:szCs w:val="24"/>
          <w:lang w:eastAsia="x-none"/>
        </w:rPr>
        <w:t>.</w:t>
      </w:r>
      <w:bookmarkEnd w:id="11"/>
      <w:bookmarkEnd w:id="12"/>
    </w:p>
    <w:p>
      <w:pPr>
        <w:pStyle w:val="Heading4"/>
        <w:numPr>
          <w:ilvl w:val="1"/>
          <w:numId w:val="4"/>
        </w:numPr>
        <w:spacing w:before="120" w:after="0"/>
        <w:ind w:hanging="567" w:left="567" w:right="0"/>
        <w:rPr>
          <w:rFonts w:ascii="Times New Roman" w:hAnsi="Times New Roman"/>
          <w:sz w:val="24"/>
          <w:szCs w:val="24"/>
        </w:rPr>
      </w:pPr>
      <w:bookmarkStart w:id="15" w:name="_Toc75446574"/>
      <w:r>
        <w:rPr>
          <w:b w:val="false"/>
          <w:bCs w:val="false"/>
          <w:sz w:val="24"/>
          <w:szCs w:val="24"/>
        </w:rPr>
        <w:t xml:space="preserve"> </w:t>
      </w:r>
      <w:r>
        <w:rPr>
          <w:bCs w:val="false"/>
          <w:sz w:val="24"/>
          <w:szCs w:val="24"/>
        </w:rPr>
        <w:t>Требования к объемам и срокам постав</w:t>
      </w:r>
      <w:r>
        <w:rPr>
          <w:sz w:val="24"/>
          <w:szCs w:val="24"/>
        </w:rPr>
        <w:t>ки</w:t>
      </w:r>
      <w:bookmarkEnd w:id="15"/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 w:right="0"/>
        <w:outlineLvl w:val="2"/>
        <w:rPr>
          <w:rFonts w:ascii="Times New Roman" w:hAnsi="Times New Roman"/>
          <w:sz w:val="24"/>
          <w:szCs w:val="24"/>
        </w:rPr>
      </w:pPr>
      <w:bookmarkStart w:id="16" w:name="_Toc75446575"/>
      <w:bookmarkStart w:id="17" w:name="_Toc125473250"/>
      <w:bookmarkStart w:id="18" w:name="_Toc125476057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19" w:name="_Toc125476058"/>
      <w:bookmarkStart w:id="20" w:name="_Toc125473251"/>
      <w:bookmarkStart w:id="21" w:name="_Toc75446576"/>
      <w:bookmarkStart w:id="22" w:name="_Toc51339695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2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9954" w:type="dxa"/>
        <w:jc w:val="left"/>
        <w:tblInd w:w="187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683"/>
        <w:gridCol w:w="6446"/>
        <w:gridCol w:w="1358"/>
        <w:gridCol w:w="1466"/>
      </w:tblGrid>
      <w:tr>
        <w:trPr/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ind w:hanging="0" w:left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Приемо-передающее устройство MRS-1000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шт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Блок сопряжения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шт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Тепловизионно-оптический модуль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шт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Сервер архивации, высота 4U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шт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ind w:hanging="0" w:left="0" w:righ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АРМ оператора, десктоп, 2 монитора, клавиатура, манипулятор "мышь"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шт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 w:right="0"/>
        <w:outlineLvl w:val="2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 w:right="0"/>
        <w:outlineLvl w:val="2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23" w:name="_Toc125476060"/>
      <w:bookmarkStart w:id="24" w:name="_Toc75446579"/>
      <w:bookmarkStart w:id="25" w:name="_Toc125473253"/>
      <w:bookmarkStart w:id="26" w:name="_Toc50125127"/>
      <w:bookmarkStart w:id="27" w:name="_Toc51339697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6"/>
      <w:bookmarkEnd w:id="27"/>
      <w:bookmarkEnd w:id="28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9889" w:type="dxa"/>
        <w:jc w:val="left"/>
        <w:tblInd w:w="22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855"/>
        <w:gridCol w:w="3285"/>
        <w:gridCol w:w="2896"/>
        <w:gridCol w:w="2852"/>
      </w:tblGrid>
      <w:tr>
        <w:trPr/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rHeight w:val="1348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u w:val="none"/>
                <w:shd w:fill="FFFFFF" w:val="clear"/>
                <w:lang w:val="ru-RU" w:eastAsia="en-US" w:bidi="ar-SA"/>
              </w:rPr>
              <w:t>ОКПД 2: 26.51.20.110 Поставка радиолакационной станции для Кубанского филиала.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u w:val="none"/>
                <w:shd w:fill="FFFFFF" w:val="clear"/>
                <w:lang w:eastAsia="ru-RU"/>
              </w:rPr>
              <w:t>(в соответствии с Таблица 1.1 Перечень объемов закупаемой продукции)</w:t>
            </w:r>
          </w:p>
        </w:tc>
        <w:tc>
          <w:tcPr>
            <w:tcW w:w="28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ru-RU"/>
              </w:rPr>
              <w:t>в течение 60 календарных дней с даты подписания договора</w:t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Heading4"/>
        <w:numPr>
          <w:ilvl w:val="1"/>
          <w:numId w:val="4"/>
        </w:numPr>
        <w:spacing w:before="120" w:after="0"/>
        <w:ind w:hanging="567" w:left="567" w:righ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125476061"/>
      <w:bookmarkStart w:id="30" w:name="_Toc125473255"/>
      <w:r>
        <w:rPr>
          <w:sz w:val="24"/>
          <w:szCs w:val="24"/>
        </w:rPr>
        <w:t>Требования к качеству продукции</w:t>
      </w:r>
      <w:bookmarkEnd w:id="29"/>
      <w:bookmarkEnd w:id="30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0"/>
        <w:rPr>
          <w:rFonts w:ascii="Times New Roman" w:hAnsi="Times New Roman"/>
          <w:sz w:val="24"/>
          <w:szCs w:val="24"/>
        </w:rPr>
      </w:pPr>
      <w:bookmarkStart w:id="31" w:name="_Toc125476062"/>
      <w:bookmarkStart w:id="32" w:name="_Toc125473256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eastAsia="Calibri"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i w:val="false"/>
          <w:i w:val="false"/>
          <w:iCs w:val="false"/>
        </w:rPr>
      </w:pPr>
      <w:bookmarkStart w:id="33" w:name="_Toc125473257"/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 w:val="false"/>
          <w:iCs w:val="false"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ar-SA"/>
        </w:rPr>
        <w:t>«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x-none"/>
        </w:rPr>
        <w:t>Перечень и объем закупаемой продукции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eastAsia="ar-SA"/>
        </w:rPr>
        <w:t>»</w:t>
      </w:r>
      <w:bookmarkEnd w:id="33"/>
    </w:p>
    <w:tbl>
      <w:tblPr>
        <w:tblW w:w="10380" w:type="dxa"/>
        <w:jc w:val="left"/>
        <w:tblInd w:w="1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773"/>
        <w:gridCol w:w="2619"/>
        <w:gridCol w:w="1971"/>
        <w:gridCol w:w="2057"/>
      </w:tblGrid>
      <w:tr>
        <w:trPr/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п/п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Наименование параметра</w:t>
            </w:r>
          </w:p>
        </w:tc>
        <w:tc>
          <w:tcPr>
            <w:tcW w:w="2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Требование заказчика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6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38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200"/>
              <w:ind w:hanging="0" w:left="-57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200"/>
              <w:ind w:hanging="0" w:left="-57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42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ind w:hanging="0" w:left="0"/>
              <w:jc w:val="both"/>
              <w:rPr>
                <w:b/>
                <w:bCs/>
              </w:rPr>
            </w:pPr>
            <w:r>
              <w:rPr>
                <w:rFonts w:eastAsia="Calibri" w:cs="Tahoma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FFFFFF" w:val="clear"/>
                <w:em w:val="none"/>
                <w:lang w:val="ru-RU" w:eastAsia="en-US" w:bidi="ar-SA"/>
              </w:rPr>
              <w:t>Приемо-передающее устройство MRS-1000</w:t>
            </w:r>
          </w:p>
        </w:tc>
        <w:tc>
          <w:tcPr>
            <w:tcW w:w="197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требованиям.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</w:r>
          </w:p>
        </w:tc>
        <w:tc>
          <w:tcPr>
            <w:tcW w:w="20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MRS-1000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Диапозон рабочих частот, МГц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9300-9500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Режим сканирования антены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Круговой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93" w:hRule="atLeast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1.1.4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Максимальная дальность обнаружения, км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Человек - 2,9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Транспорт- 6,1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Напряжение сети, В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17-27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1.1.6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Размер пикселя, мкм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1.1.7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Диапазон рабочих температур, ⁰С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 менее -40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82" w:hRule="atLeast"/>
        </w:trPr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200"/>
              <w:ind w:hanging="0" w:left="72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 более+55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Блок сопряжения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ЖНКЮ.468353.050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сетевых портов типа RJ-45 Ethernet-</w:t>
            </w:r>
          </w:p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коммутатора, шт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коннектора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SC, одномодовый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волны RX/TX, нм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1310/1550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передачи данных, км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1.2.6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переменного тока, В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 – 253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Потребляемая мощность, кВт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1.2.8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защиты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IР54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numPr>
                <w:ilvl w:val="1"/>
              </w:numPr>
              <w:tabs>
                <w:tab w:val="clear" w:pos="708"/>
                <w:tab w:val="left" w:pos="426" w:leader="none"/>
                <w:tab w:val="left" w:pos="993" w:leader="none"/>
              </w:tabs>
              <w:suppressAutoHyphens w:val="true"/>
              <w:overflowPunct w:val="true"/>
              <w:bidi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Тепловизионно-оптический модуль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РТР-100Ф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Чувствительность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40mK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Фокусное расстояние объектива, мм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Светосила объектива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F1.0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матрицы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1/1.8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1.3.6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изображения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1920х1080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Оптический зум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40x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1.3.8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поворота по горизонтали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1.3.9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поворота по вертикали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34" w:hRule="atLeast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1.3.10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температура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- 50ºС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34" w:hRule="atLeast"/>
        </w:trPr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+ 60ºС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Сервер архивации, высота 4U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ЖНКЮ.468366.016 ПС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INTEL Core i5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GeForce GTX 1050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Оперативная память, ГБ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 накопителя SSD, ГБ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1.4.6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 жесткого диска, ТБ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питания от сети переменного тока</w:t>
            </w:r>
          </w:p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частотой 50 Гц, В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 – 242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1.5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АРМ оператора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Марка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ЖНКЮ.468366.013 ПС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Процессор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INTEL Core i5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Видеокарта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GeForce GTX 1050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Оперативная память, ГБ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 накопителя SSD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1.5.6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 жесткого диска, ТБ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питания от сети переменного тока</w:t>
            </w:r>
          </w:p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частотой 50 Гц, В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 – 242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1.5.8</w:t>
            </w:r>
          </w:p>
        </w:tc>
        <w:tc>
          <w:tcPr>
            <w:tcW w:w="277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В комплекте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 монитора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клавиатура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манипулятор "мышь"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77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bidi w:val="0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десктоп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Гарантия, не менее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2.2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>
          <w:trHeight w:val="422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overflowPunct w:val="true"/>
              <w:spacing w:lineRule="exact" w:line="283" w:before="0" w:after="12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качества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экземпляра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overflowPunct w:val="true"/>
              <w:spacing w:lineRule="exact" w:line="283" w:before="0" w:after="12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 на продукцию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экземпляра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3.4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0" w:leader="none"/>
                <w:tab w:val="left" w:pos="900" w:leader="none"/>
                <w:tab w:val="left" w:pos="1134" w:leader="none"/>
                <w:tab w:val="left" w:pos="1276" w:leader="none"/>
              </w:tabs>
              <w:spacing w:lineRule="exact" w:line="283" w:before="0" w:after="16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Технический паспорт на русском языке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экземпляра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92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3.5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tabs>
                <w:tab w:val="clear" w:pos="708"/>
                <w:tab w:val="left" w:pos="900" w:leader="none"/>
              </w:tabs>
              <w:suppressAutoHyphens w:val="true"/>
              <w:bidi w:val="0"/>
              <w:spacing w:lineRule="exact" w:line="283" w:before="0" w:after="20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4"/>
                <w:szCs w:val="24"/>
                <w:lang w:val="ru-RU" w:eastAsia="zh-CN" w:bidi="ar-SA"/>
              </w:rPr>
              <w:t>Инструкция по эксплуатации на русском языке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экземпляра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3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ru-RU"/>
              </w:rPr>
              <w:t>Место поставки</w:t>
            </w:r>
          </w:p>
        </w:tc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21"/>
              <w:widowControl w:val="false"/>
              <w:numPr>
                <w:ilvl w:val="1"/>
              </w:numPr>
              <w:shd w:val="clear" w:fill="FFFFFF"/>
              <w:tabs>
                <w:tab w:val="clear" w:pos="708"/>
                <w:tab w:val="left" w:pos="142" w:leader="none"/>
                <w:tab w:val="left" w:pos="540" w:leader="none"/>
                <w:tab w:val="left" w:pos="1134" w:leader="none"/>
              </w:tabs>
              <w:spacing w:lineRule="exact" w:line="283" w:before="0" w:after="0"/>
              <w:ind w:hanging="0" w:left="0" w:right="0"/>
              <w:contextualSpacing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lang w:val="ru-RU" w:eastAsia="ru-RU" w:bidi="ar-SA"/>
              </w:rPr>
              <w:t>357007, Ставропольский край, Кочубеевский р-н, с. Кочубеевское, АВТОДОРОГА «КАВКАЗ» 246КМ+1200М(СПРАВА)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4.2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4.3</w:t>
            </w:r>
          </w:p>
        </w:tc>
        <w:tc>
          <w:tcPr>
            <w:tcW w:w="5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4.4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59" w:before="0" w:after="200"/>
              <w:ind w:hanging="0" w:left="57" w:right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Доставка оборудования должна соответствовать установленным требованиям.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5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</w:r>
          </w:p>
        </w:tc>
      </w:tr>
    </w:tbl>
    <w:p>
      <w:pPr>
        <w:pStyle w:val="Normal"/>
        <w:rPr>
          <w:rFonts w:ascii="Times New Roman" w:hAnsi="Times New Roman" w:eastAsia="Calibri" w:cs="Times New Roman"/>
          <w:b/>
          <w:sz w:val="24"/>
          <w:szCs w:val="24"/>
          <w:lang w:eastAsia="x-none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120" w:after="0"/>
        <w:ind w:hanging="0" w:left="360" w:right="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keepNext w:val="true"/>
        <w:keepLines/>
        <w:numPr>
          <w:ilvl w:val="0"/>
          <w:numId w:val="0"/>
        </w:numPr>
        <w:spacing w:before="120" w:after="0"/>
        <w:ind w:hanging="0" w:left="0" w:right="0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2"/>
      <w:type w:val="nextPage"/>
      <w:pgSz w:w="11906" w:h="16838"/>
      <w:pgMar w:left="1134" w:right="624" w:gutter="0" w:header="0" w:top="454" w:footer="0" w:bottom="454"/>
      <w:pgNumType w:fmt="decimal"/>
      <w:formProt w:val="false"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0"/>
        <w:numId w:val="0"/>
      </w:numPr>
      <w:spacing w:before="120" w:after="60"/>
      <w:outlineLvl w:val="2"/>
    </w:pPr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Style5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>
    <w:name w:val="Верхний колонтитул Знак"/>
    <w:basedOn w:val="DefaultParagraphFont"/>
    <w:qFormat/>
    <w:rPr/>
  </w:style>
  <w:style w:type="character" w:styleId="Style7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>
    <w:name w:val="apple-converted-space"/>
    <w:basedOn w:val="DefaultParagraphFont"/>
    <w:qFormat/>
    <w:rPr/>
  </w:style>
  <w:style w:type="character" w:styleId="Bodytext2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>
    <w:name w:val="Абзац списка Знак"/>
    <w:link w:val="ListParagraph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>
    <w:name w:val="Гиперссылка1"/>
    <w:basedOn w:val="DefaultParagraphFont"/>
    <w:qFormat/>
    <w:rPr>
      <w:color w:val="0000FF"/>
      <w:u w:val="single"/>
    </w:rPr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>
    <w:name w:val="Символ сноски"/>
    <w:qFormat/>
    <w:rPr/>
  </w:style>
  <w:style w:type="character" w:styleId="Style13">
    <w:name w:val="Ссылка указателя"/>
    <w:qFormat/>
    <w:rPr/>
  </w:style>
  <w:style w:type="character" w:styleId="Strong1">
    <w:name w:val="Strong1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rong11">
    <w:name w:val="Strong11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basedOn w:val="12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12"/>
    <w:qFormat/>
    <w:pPr/>
    <w:rPr/>
  </w:style>
  <w:style w:type="paragraph" w:styleId="Style18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 w:right="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rFonts w:ascii="Calibri" w:hAnsi="Calibri"/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eastAsia="Calibri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shd w:val="clear" w:fill="FFFFFF"/>
      <w:tabs>
        <w:tab w:val="clear" w:pos="708"/>
        <w:tab w:val="right" w:pos="10138" w:leader="dot"/>
      </w:tabs>
      <w:spacing w:before="0" w:after="100"/>
    </w:pPr>
    <w:rPr>
      <w:rFonts w:ascii="Times New Roman" w:hAnsi="Times New Roman" w:eastAsia="Calibri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jc w:val="center"/>
    </w:pPr>
    <w:rPr>
      <w:b/>
      <w:bCs/>
    </w:rPr>
  </w:style>
  <w:style w:type="paragraph" w:styleId="Style21">
    <w:name w:val="Абзац списка"/>
    <w:basedOn w:val="Normal"/>
    <w:qFormat/>
    <w:pPr>
      <w:widowControl w:val="false"/>
      <w:spacing w:before="0" w:after="0"/>
      <w:ind w:hanging="0" w:left="720" w:right="0"/>
      <w:contextualSpacing/>
    </w:pPr>
    <w:rPr/>
  </w:style>
  <w:style w:type="numbering" w:styleId="26903232511">
    <w:name w:val="26903232511"/>
    <w:qFormat/>
  </w:style>
  <w:style w:type="numbering" w:styleId="41329559151">
    <w:name w:val="4132955915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Application>AlterOffice/2026.2.1.0$Linux_X86_64 LibreOffice_project/f008988ffacaa0b2bf57911c2759d08ca79831df</Application>
  <AppVersion>15.0000</AppVersion>
  <Pages>6</Pages>
  <Words>803</Words>
  <Characters>5309</Characters>
  <CharactersWithSpaces>5865</CharactersWithSpaces>
  <Paragraphs>248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2024-05-02T12:37:00Z</dcterms:created>
  <dc:creator>Катков Олег Валерьевич</dc:creator>
  <dc:description/>
  <dc:language>ru-RU</dc:language>
  <cp:lastModifiedBy>velikosvyatnn@corp.gidroogk.com</cp:lastModifiedBy>
  <cp:lastPrinted>2023-12-12T08:29:00Z</cp:lastPrinted>
  <dcterms:modified xsi:type="dcterms:W3CDTF">2026-09-15T15:45:34Z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