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customXml/_rels/item8.xml.rels" ContentType="application/vnd.openxmlformats-package.relationships+xml"/>
  <Override PartName="/customXml/_rels/item7.xml.rels" ContentType="application/vnd.openxmlformats-package.relationships+xml"/>
  <Override PartName="/customXml/_rels/item6.xml.rels" ContentType="application/vnd.openxmlformats-package.relationships+xml"/>
  <Override PartName="/customXml/_rels/item5.xml.rels" ContentType="application/vnd.openxmlformats-package.relationships+xml"/>
  <Override PartName="/customXml/_rels/item4.xml.rels" ContentType="application/vnd.openxmlformats-package.relationships+xml"/>
  <Override PartName="/customXml/_rels/item3.xml.rels" ContentType="application/vnd.openxmlformats-package.relationships+xml"/>
  <Override PartName="/customXml/_rels/item2.xml.rels" ContentType="application/vnd.openxmlformats-package.relationships+xml"/>
  <Override PartName="/customXml/_rels/item1.xml.rels" ContentType="application/vnd.openxmlformats-package.relationships+xml"/>
  <Override PartName="/customXml/item8.xml" ContentType="application/xml"/>
  <Override PartName="/customXml/itemProps8.xml" ContentType="application/vnd.openxmlformats-officedocument.customXmlProperties+xml"/>
  <Override PartName="/customXml/item7.xml" ContentType="application/xml"/>
  <Override PartName="/customXml/itemProps7.xml" ContentType="application/vnd.openxmlformats-officedocument.customXmlProperties+xml"/>
  <Override PartName="/customXml/item6.xml" ContentType="application/xml"/>
  <Override PartName="/customXml/item1.xml" ContentType="application/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2.xml" ContentType="application/xml"/>
  <Override PartName="/customXml/itemProps3.xml" ContentType="application/vnd.openxmlformats-officedocument.customXmlProperties+xml"/>
  <Override PartName="/customXml/item3.xml" ContentType="application/xml"/>
  <Override PartName="/customXml/itemProps4.xml" ContentType="application/vnd.openxmlformats-officedocument.customXmlProperties+xml"/>
  <Override PartName="/customXml/item4.xml" ContentType="application/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5.xml" ContentType="application/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media/image1.png" ContentType="image/png"/>
  <Override PartName="/word/settings.xml" ContentType="application/vnd.openxmlformats-officedocument.wordprocessingml.settings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widowControl w:val="false"/>
        <w:tabs>
          <w:tab w:val="left" w:pos="-3240" w:leader="none"/>
        </w:tabs>
        <w:jc w:val="right"/>
        <w:rPr/>
      </w:pPr>
      <w:r>
        <w:rPr>
          <w:highlight w:val="white"/>
        </w:rPr>
        <w:t>Приложение 1 к ТТ</w:t>
      </w:r>
    </w:p>
    <w:p>
      <w:pPr>
        <w:pStyle w:val="Normal"/>
        <w:widowControl w:val="false"/>
        <w:tabs>
          <w:tab w:val="left" w:pos="-3240" w:leader="none"/>
        </w:tabs>
        <w:jc w:val="right"/>
        <w:rPr>
          <w:highlight w:val="white"/>
        </w:rPr>
      </w:pPr>
      <w:r>
        <w:rPr>
          <w:highlight w:val="white"/>
        </w:rPr>
      </w:r>
    </w:p>
    <w:p>
      <w:pPr>
        <w:pStyle w:val="Normal"/>
        <w:widowControl w:val="false"/>
        <w:tabs>
          <w:tab w:val="left" w:pos="-3240" w:leader="none"/>
        </w:tabs>
        <w:jc w:val="center"/>
        <w:rPr>
          <w:b/>
          <w:b/>
          <w:bCs/>
          <w:color w:val="000000"/>
          <w:highlight w:val="white"/>
        </w:rPr>
      </w:pPr>
      <w:r>
        <w:rPr/>
      </w:r>
    </w:p>
    <w:p>
      <w:pPr>
        <w:pStyle w:val="Normal"/>
        <w:widowControl w:val="false"/>
        <w:tabs>
          <w:tab w:val="left" w:pos="-3240" w:leader="none"/>
        </w:tabs>
        <w:jc w:val="center"/>
        <w:rPr>
          <w:highlight w:val="white"/>
        </w:rPr>
      </w:pPr>
      <w:r>
        <w:rPr>
          <w:b/>
          <w:bCs/>
          <w:color w:val="000000"/>
          <w:shd w:fill="FFFFFF" w:val="clear"/>
        </w:rPr>
        <w:t xml:space="preserve">ТЕХНИЧЕСКИЕ УСЛОВИЯ </w:t>
      </w:r>
    </w:p>
    <w:p>
      <w:pPr>
        <w:pStyle w:val="Normal"/>
        <w:widowControl w:val="false"/>
        <w:tabs>
          <w:tab w:val="left" w:pos="-3240" w:leader="none"/>
        </w:tabs>
        <w:jc w:val="center"/>
        <w:rPr>
          <w:highlight w:val="white"/>
        </w:rPr>
      </w:pPr>
      <w:r>
        <w:rPr>
          <w:b/>
          <w:bCs/>
          <w:color w:val="000000"/>
          <w:shd w:fill="FFFFFF" w:val="clear"/>
        </w:rPr>
        <w:t>на технологическое присоединение к электрическим сетям АО «ДРСК»</w:t>
      </w:r>
    </w:p>
    <w:p>
      <w:pPr>
        <w:pStyle w:val="Normal"/>
        <w:jc w:val="center"/>
        <w:rPr>
          <w:b/>
          <w:b/>
          <w:shd w:fill="FFFFFF" w:val="clear"/>
        </w:rPr>
      </w:pPr>
      <w:r>
        <w:rPr>
          <w:b/>
          <w:shd w:fill="FFFFFF" w:val="clear"/>
        </w:rPr>
      </w:r>
    </w:p>
    <w:tbl>
      <w:tblPr>
        <w:tblW w:w="10205" w:type="dxa"/>
        <w:jc w:val="left"/>
        <w:tblInd w:w="0" w:type="dxa"/>
        <w:tblBorders/>
        <w:tblCellMar>
          <w:top w:w="0" w:type="dxa"/>
          <w:left w:w="108" w:type="dxa"/>
          <w:bottom w:w="0" w:type="dxa"/>
          <w:right w:w="108" w:type="dxa"/>
        </w:tblCellMar>
        <w:tblLook w:val="01e0" w:noVBand="0" w:noHBand="0" w:lastColumn="1" w:firstColumn="1" w:lastRow="1" w:firstRow="1"/>
      </w:tblPr>
      <w:tblGrid>
        <w:gridCol w:w="4866"/>
        <w:gridCol w:w="5338"/>
      </w:tblGrid>
      <w:tr>
        <w:trPr>
          <w:trHeight w:val="323" w:hRule="atLeast"/>
        </w:trPr>
        <w:tc>
          <w:tcPr>
            <w:tcW w:w="4866" w:type="dxa"/>
            <w:tcBorders/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b/>
                <w:shd w:fill="FFFFFF" w:val="clear"/>
              </w:rPr>
              <w:t xml:space="preserve">№ </w:t>
            </w:r>
          </w:p>
        </w:tc>
        <w:tc>
          <w:tcPr>
            <w:tcW w:w="5338" w:type="dxa"/>
            <w:tcBorders/>
            <w:shd w:color="auto" w:fill="auto" w:val="clear"/>
          </w:tcPr>
          <w:p>
            <w:pPr>
              <w:pStyle w:val="Normal"/>
              <w:widowControl w:val="false"/>
              <w:jc w:val="right"/>
              <w:rPr/>
            </w:pPr>
            <w:r>
              <w:rPr>
                <w:b/>
                <w:shd w:fill="FFFFFF" w:val="clear"/>
              </w:rPr>
              <w:t>.02.2026 г.</w:t>
            </w:r>
          </w:p>
        </w:tc>
      </w:tr>
    </w:tbl>
    <w:p>
      <w:pPr>
        <w:pStyle w:val="Normal"/>
        <w:widowControl w:val="false"/>
        <w:tabs>
          <w:tab w:val="left" w:pos="-3240" w:leader="none"/>
        </w:tabs>
        <w:jc w:val="both"/>
        <w:rPr>
          <w:color w:val="000000"/>
          <w:shd w:fill="FFFFFF" w:val="clear"/>
        </w:rPr>
      </w:pPr>
      <w:r>
        <w:rPr>
          <w:color w:val="000000"/>
          <w:shd w:fill="FFFFFF" w:val="clear"/>
        </w:rPr>
      </w:r>
    </w:p>
    <w:p>
      <w:pPr>
        <w:pStyle w:val="Normal"/>
        <w:widowControl w:val="false"/>
        <w:tabs>
          <w:tab w:val="left" w:pos="-3240" w:leader="none"/>
        </w:tabs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color w:val="000000"/>
          <w:sz w:val="26"/>
          <w:szCs w:val="26"/>
          <w:shd w:fill="FFFFFF" w:val="clear"/>
        </w:rPr>
        <w:t>Настоящие Технические условия разработаны на основании Заявки от 18.07.2025 ТПр 3959/25 и являются неотъемлемой частью Договора об осуществлении технологического присоединения от ___________ № ___________ энергопринимающих устройств ООО</w:t>
      </w:r>
      <w:r>
        <w:rPr>
          <w:sz w:val="26"/>
          <w:szCs w:val="26"/>
          <w:shd w:fill="FFFFFF" w:val="clear"/>
        </w:rPr>
        <w:t xml:space="preserve"> «Абалон</w:t>
      </w:r>
      <w:r>
        <w:rPr>
          <w:color w:val="000000"/>
          <w:sz w:val="26"/>
          <w:szCs w:val="26"/>
          <w:shd w:fill="FFFFFF" w:val="clear"/>
        </w:rPr>
        <w:t xml:space="preserve">», именуемого в дальнейшем – Заявитель, к электрическим сетям Акционерного общества «Дальневосточная распределительная сетевая компания» (далее – Сетевая организация). </w:t>
      </w:r>
    </w:p>
    <w:p>
      <w:pPr>
        <w:pStyle w:val="Normal"/>
        <w:widowControl w:val="false"/>
        <w:tabs>
          <w:tab w:val="left" w:pos="-3240" w:leader="none"/>
        </w:tabs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color w:val="000000"/>
          <w:sz w:val="26"/>
          <w:szCs w:val="26"/>
          <w:shd w:fill="FFFFFF" w:val="clear"/>
        </w:rPr>
        <w:t>Настоящие технические условия вступают в силу с даты их утверждения Сетевой организацией и действительны в течение 6 (шести) лет.</w:t>
      </w:r>
    </w:p>
    <w:p>
      <w:pPr>
        <w:pStyle w:val="Normal"/>
        <w:widowControl w:val="false"/>
        <w:tabs>
          <w:tab w:val="left" w:pos="-3240" w:leader="none"/>
        </w:tabs>
        <w:jc w:val="both"/>
        <w:rPr>
          <w:rFonts w:ascii="Times New Roman" w:hAnsi="Times New Roman"/>
          <w:color w:val="000000"/>
          <w:sz w:val="26"/>
          <w:szCs w:val="26"/>
          <w:shd w:fill="FFFFFF" w:val="clear"/>
        </w:rPr>
      </w:pPr>
      <w:r>
        <w:rPr>
          <w:color w:val="000000"/>
          <w:sz w:val="26"/>
          <w:szCs w:val="26"/>
          <w:shd w:fill="FFFFFF" w:val="clear"/>
        </w:rPr>
      </w:r>
    </w:p>
    <w:p>
      <w:pPr>
        <w:pStyle w:val="Normal"/>
        <w:widowControl w:val="false"/>
        <w:tabs>
          <w:tab w:val="left" w:pos="-3240" w:leader="none"/>
        </w:tabs>
        <w:spacing w:before="0" w:after="0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b/>
          <w:color w:val="000000"/>
          <w:sz w:val="26"/>
          <w:szCs w:val="26"/>
          <w:shd w:fill="FFFFFF" w:val="clear"/>
        </w:rPr>
        <w:t>Наименование энергопринимающих устройств:</w:t>
      </w:r>
      <w:r>
        <w:rPr>
          <w:color w:val="000000"/>
          <w:sz w:val="26"/>
          <w:szCs w:val="26"/>
          <w:shd w:fill="FFFFFF" w:val="clear"/>
        </w:rPr>
        <w:t xml:space="preserve"> Энергопринимающие устройства объекта "Консервный завод по переработке рыбы и морепродуктов"</w:t>
      </w:r>
    </w:p>
    <w:p>
      <w:pPr>
        <w:pStyle w:val="Normal"/>
        <w:widowControl w:val="false"/>
        <w:tabs>
          <w:tab w:val="left" w:pos="-3240" w:leader="none"/>
        </w:tabs>
        <w:spacing w:before="0" w:after="0"/>
        <w:ind w:firstLine="567"/>
        <w:contextualSpacing/>
        <w:jc w:val="both"/>
        <w:rPr>
          <w:rFonts w:ascii="Times New Roman" w:hAnsi="Times New Roman"/>
          <w:color w:val="000000"/>
          <w:sz w:val="26"/>
          <w:szCs w:val="26"/>
          <w:shd w:fill="FFFFFF" w:val="clear"/>
        </w:rPr>
      </w:pPr>
      <w:r>
        <w:rPr>
          <w:color w:val="000000"/>
          <w:sz w:val="26"/>
          <w:szCs w:val="26"/>
          <w:shd w:fill="FFFFFF" w:val="clear"/>
        </w:rPr>
      </w:r>
    </w:p>
    <w:p>
      <w:pPr>
        <w:pStyle w:val="ListParagraph"/>
        <w:widowControl w:val="false"/>
        <w:spacing w:lineRule="auto" w:line="240"/>
        <w:ind w:left="0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b/>
          <w:color w:val="000000"/>
          <w:sz w:val="26"/>
          <w:szCs w:val="26"/>
          <w:shd w:fill="FFFFFF" w:val="clear"/>
          <w:lang w:eastAsia="ru-RU"/>
        </w:rPr>
        <w:t>Наименование и месторасположение объектов, в целях энергоснабжения которых осуществляется технологическое присоединение энергопринимающих устройств:</w:t>
      </w:r>
      <w:r>
        <w:rPr>
          <w:rFonts w:eastAsia="Times New Roman" w:cs="Times New Roman" w:ascii="Times New Roman" w:hAnsi="Times New Roman"/>
          <w:color w:val="000000"/>
          <w:sz w:val="26"/>
          <w:szCs w:val="26"/>
          <w:shd w:fill="FFFFFF" w:val="clear"/>
          <w:lang w:eastAsia="ru-RU"/>
        </w:rPr>
        <w:t xml:space="preserve"> Энергопринимающие устройства объекта "Консервный завод по переработке рыбы и морепродуктов"</w:t>
      </w:r>
      <w:r>
        <w:rPr>
          <w:rFonts w:cs="Times New Roman" w:ascii="Times New Roman" w:hAnsi="Times New Roman"/>
          <w:color w:val="000000"/>
          <w:sz w:val="26"/>
          <w:szCs w:val="26"/>
          <w:shd w:fill="FFFFFF" w:val="clear"/>
        </w:rPr>
        <w:t xml:space="preserve">, </w:t>
      </w:r>
      <w:r>
        <w:rPr>
          <w:rFonts w:eastAsia="Times New Roman" w:cs="Times New Roman" w:ascii="Times New Roman" w:hAnsi="Times New Roman"/>
          <w:color w:val="000000"/>
          <w:sz w:val="26"/>
          <w:szCs w:val="26"/>
          <w:shd w:fill="FFFFFF" w:val="clear"/>
          <w:lang w:eastAsia="ru-RU"/>
        </w:rPr>
        <w:t>расположенные в</w:t>
      </w:r>
      <w:r>
        <w:rPr>
          <w:rFonts w:cs="Times New Roman" w:ascii="Times New Roman" w:hAnsi="Times New Roman"/>
          <w:color w:val="000000"/>
          <w:sz w:val="26"/>
          <w:szCs w:val="26"/>
          <w:shd w:fill="FFFFFF" w:val="clear"/>
        </w:rPr>
        <w:t xml:space="preserve"> Приморский край, г. Партизанск, в 1565 м.  на юго-восток от ул. Герцена,90а (25:33:180119:573)</w:t>
      </w:r>
    </w:p>
    <w:p>
      <w:pPr>
        <w:pStyle w:val="ListParagraph"/>
        <w:widowControl w:val="false"/>
        <w:spacing w:lineRule="auto" w:line="240"/>
        <w:ind w:left="0" w:firstLine="567"/>
        <w:jc w:val="both"/>
        <w:rPr>
          <w:rFonts w:ascii="Times New Roman" w:hAnsi="Times New Roman" w:eastAsia="Times New Roman" w:cs="Times New Roman"/>
          <w:color w:val="000000"/>
          <w:sz w:val="26"/>
          <w:szCs w:val="26"/>
          <w:shd w:fill="FFFFFF" w:val="clear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shd w:fill="FFFFFF" w:val="clear"/>
          <w:lang w:eastAsia="ru-RU"/>
        </w:rPr>
      </w:r>
    </w:p>
    <w:p>
      <w:pPr>
        <w:pStyle w:val="ListParagraph"/>
        <w:widowControl w:val="false"/>
        <w:spacing w:lineRule="auto" w:line="240" w:before="0" w:after="0"/>
        <w:ind w:left="0" w:firstLine="567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b/>
          <w:color w:val="000000"/>
          <w:sz w:val="26"/>
          <w:szCs w:val="26"/>
          <w:shd w:fill="FFFFFF" w:val="clear"/>
          <w:lang w:eastAsia="ru-RU"/>
        </w:rPr>
        <w:t xml:space="preserve">Максимальная мощность присоединяемых энергопринимающих устройств: </w:t>
      </w:r>
    </w:p>
    <w:p>
      <w:pPr>
        <w:pStyle w:val="ListParagraph"/>
        <w:widowControl w:val="false"/>
        <w:spacing w:lineRule="auto" w:line="240" w:before="0" w:after="0"/>
        <w:ind w:left="0" w:firstLine="567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b/>
          <w:color w:val="000000"/>
          <w:sz w:val="26"/>
          <w:szCs w:val="26"/>
          <w:shd w:fill="FFFFFF" w:val="clear"/>
          <w:lang w:eastAsia="ru-RU"/>
        </w:rPr>
        <w:t xml:space="preserve">1800 </w:t>
      </w:r>
      <w:r>
        <w:rPr>
          <w:rFonts w:eastAsia="Times New Roman" w:cs="Times New Roman" w:ascii="Times New Roman" w:hAnsi="Times New Roman"/>
          <w:color w:val="000000"/>
          <w:sz w:val="26"/>
          <w:szCs w:val="26"/>
          <w:shd w:fill="FFFFFF" w:val="clear"/>
          <w:lang w:eastAsia="ru-RU"/>
        </w:rPr>
        <w:t>кВт,</w:t>
      </w:r>
    </w:p>
    <w:p>
      <w:pPr>
        <w:pStyle w:val="ListParagraph"/>
        <w:widowControl w:val="false"/>
        <w:spacing w:lineRule="auto" w:line="240" w:before="0" w:after="0"/>
        <w:ind w:left="0" w:firstLine="567"/>
        <w:contextualSpacing/>
        <w:jc w:val="both"/>
        <w:rPr>
          <w:rFonts w:ascii="Times New Roman" w:hAnsi="Times New Roman" w:eastAsia="Times New Roman" w:cs="Times New Roman"/>
          <w:color w:val="000000"/>
          <w:sz w:val="26"/>
          <w:szCs w:val="26"/>
          <w:shd w:fill="FFFFFF" w:val="clear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shd w:fill="FFFFFF" w:val="clear"/>
          <w:lang w:eastAsia="ru-RU"/>
        </w:rPr>
      </w:r>
    </w:p>
    <w:p>
      <w:pPr>
        <w:pStyle w:val="ListParagraph"/>
        <w:widowControl w:val="false"/>
        <w:spacing w:lineRule="auto" w:line="240" w:before="0" w:after="0"/>
        <w:ind w:left="0" w:firstLine="567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b/>
          <w:color w:val="000000"/>
          <w:sz w:val="26"/>
          <w:szCs w:val="26"/>
          <w:shd w:fill="FFFFFF" w:val="clear"/>
          <w:lang w:eastAsia="ru-RU"/>
        </w:rPr>
        <w:t>Ранее присоединенная в точках присоединения максимальная мощность:</w:t>
      </w:r>
      <w:r>
        <w:rPr>
          <w:rFonts w:eastAsia="Times New Roman" w:cs="Times New Roman" w:ascii="Times New Roman" w:hAnsi="Times New Roman"/>
          <w:color w:val="000000"/>
          <w:sz w:val="26"/>
          <w:szCs w:val="26"/>
          <w:shd w:fill="FFFFFF" w:val="clear"/>
          <w:lang w:eastAsia="ru-RU"/>
        </w:rPr>
        <w:t xml:space="preserve"> 0 кВт.</w:t>
      </w:r>
    </w:p>
    <w:p>
      <w:pPr>
        <w:pStyle w:val="ListParagraph"/>
        <w:widowControl w:val="false"/>
        <w:spacing w:lineRule="auto" w:line="240" w:before="0" w:after="0"/>
        <w:ind w:left="0" w:firstLine="567"/>
        <w:contextualSpacing/>
        <w:jc w:val="both"/>
        <w:rPr>
          <w:rFonts w:ascii="Times New Roman" w:hAnsi="Times New Roman" w:eastAsia="Times New Roman" w:cs="Times New Roman"/>
          <w:color w:val="000000"/>
          <w:sz w:val="26"/>
          <w:szCs w:val="26"/>
          <w:shd w:fill="FFFFFF" w:val="clear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shd w:fill="FFFFFF" w:val="clear"/>
          <w:lang w:eastAsia="ru-RU"/>
        </w:rPr>
      </w:r>
    </w:p>
    <w:p>
      <w:pPr>
        <w:pStyle w:val="ListParagraph"/>
        <w:widowControl w:val="false"/>
        <w:spacing w:lineRule="auto" w:line="240" w:before="0" w:after="0"/>
        <w:ind w:left="0" w:firstLine="567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b/>
          <w:color w:val="000000"/>
          <w:sz w:val="26"/>
          <w:szCs w:val="26"/>
          <w:shd w:fill="FFFFFF" w:val="clear"/>
          <w:lang w:eastAsia="ru-RU"/>
        </w:rPr>
        <w:t>Максимальная мощность в точках присоединения с учетом ранее присоединенной: 1800 кВт:</w:t>
      </w:r>
    </w:p>
    <w:p>
      <w:pPr>
        <w:pStyle w:val="ListParagraph"/>
        <w:widowControl w:val="false"/>
        <w:spacing w:lineRule="auto" w:line="240" w:before="0" w:after="0"/>
        <w:ind w:left="0" w:firstLine="567"/>
        <w:contextualSpacing/>
        <w:jc w:val="both"/>
        <w:rPr>
          <w:rFonts w:ascii="Times New Roman" w:hAnsi="Times New Roman" w:eastAsia="Times New Roman"/>
          <w:color w:val="000000"/>
          <w:sz w:val="26"/>
          <w:szCs w:val="26"/>
          <w:shd w:fill="FFFFFF" w:val="clear"/>
          <w:lang w:eastAsia="ru-RU"/>
        </w:rPr>
      </w:pPr>
      <w:r>
        <w:rPr>
          <w:rFonts w:eastAsia="Times New Roman" w:ascii="Times New Roman" w:hAnsi="Times New Roman"/>
          <w:color w:val="000000"/>
          <w:sz w:val="26"/>
          <w:szCs w:val="26"/>
          <w:shd w:fill="FFFFFF" w:val="clear"/>
          <w:lang w:eastAsia="ru-RU"/>
        </w:rPr>
      </w:r>
    </w:p>
    <w:p>
      <w:pPr>
        <w:pStyle w:val="Normal"/>
        <w:widowControl w:val="false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b/>
          <w:color w:val="000000"/>
          <w:sz w:val="26"/>
          <w:szCs w:val="26"/>
          <w:shd w:fill="FFFFFF" w:val="clear"/>
        </w:rPr>
        <w:t>Точки присоединение и распределение мощности по каждой точке присоединения:</w:t>
      </w:r>
      <w:r>
        <w:rPr>
          <w:color w:val="000000"/>
          <w:sz w:val="26"/>
          <w:szCs w:val="26"/>
          <w:shd w:fill="FFFFFF" w:val="clear"/>
        </w:rPr>
        <w:t xml:space="preserve"> </w:t>
      </w:r>
    </w:p>
    <w:p>
      <w:pPr>
        <w:pStyle w:val="Normal"/>
        <w:widowControl w:val="false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color w:val="000000"/>
          <w:sz w:val="26"/>
          <w:szCs w:val="26"/>
          <w:shd w:fill="FFFFFF" w:val="clear"/>
        </w:rPr>
        <w:t xml:space="preserve">- 1 (одна) точка присоединения от </w:t>
      </w:r>
      <w:r>
        <w:rPr>
          <w:bCs/>
          <w:color w:val="000000"/>
          <w:sz w:val="26"/>
          <w:szCs w:val="26"/>
          <w:shd w:fill="FFFFFF" w:val="clear"/>
        </w:rPr>
        <w:t xml:space="preserve">элементов электрической сети 6 кВ Сетевой организации, </w:t>
      </w:r>
      <w:r>
        <w:rPr>
          <w:color w:val="000000"/>
          <w:sz w:val="26"/>
          <w:szCs w:val="26"/>
          <w:shd w:fill="FFFFFF" w:val="clear"/>
        </w:rPr>
        <w:t>расположенные на границе земельного участка заявителя на конечной опоре проектируемой ЛЭП 6 кВ от линейной ячейки 6 кВ №</w:t>
      </w:r>
      <w:r>
        <w:rPr>
          <w:bCs/>
          <w:color w:val="000000"/>
          <w:sz w:val="26"/>
          <w:szCs w:val="26"/>
          <w:shd w:fill="FFFFFF" w:val="clear"/>
        </w:rPr>
        <w:t xml:space="preserve"> 2 ПС 110/6 кВ Южная с максимальной мощностью 1800 </w:t>
      </w:r>
      <w:r>
        <w:rPr>
          <w:color w:val="000000"/>
          <w:sz w:val="26"/>
          <w:szCs w:val="26"/>
          <w:shd w:fill="FFFFFF" w:val="clear"/>
        </w:rPr>
        <w:t>кВт</w:t>
      </w:r>
      <w:r>
        <w:rPr>
          <w:rFonts w:eastAsia="Calibri" w:eastAsiaTheme="minorHAnsi"/>
          <w:color w:val="000000"/>
          <w:sz w:val="26"/>
          <w:szCs w:val="26"/>
          <w:shd w:fill="FFFFFF" w:val="clear"/>
          <w:lang w:eastAsia="en-US"/>
        </w:rPr>
        <w:t>:</w:t>
      </w:r>
    </w:p>
    <w:p>
      <w:pPr>
        <w:pStyle w:val="Normal"/>
        <w:widowControl w:val="false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widowControl w:val="false"/>
        <w:ind w:firstLine="567"/>
        <w:jc w:val="both"/>
        <w:rPr>
          <w:rFonts w:ascii="Times New Roman" w:hAnsi="Times New Roman"/>
          <w:sz w:val="26"/>
          <w:szCs w:val="26"/>
          <w:shd w:fill="FFFFFF" w:val="clear"/>
        </w:rPr>
      </w:pPr>
      <w:r>
        <w:rPr>
          <w:sz w:val="26"/>
          <w:szCs w:val="26"/>
          <w:shd w:fill="FFFFFF" w:val="clear"/>
        </w:rPr>
      </w:r>
    </w:p>
    <w:p>
      <w:pPr>
        <w:pStyle w:val="Normal"/>
        <w:widowControl w:val="false"/>
        <w:tabs>
          <w:tab w:val="left" w:pos="-3240" w:leader="none"/>
        </w:tabs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b/>
          <w:color w:val="000000"/>
          <w:sz w:val="26"/>
          <w:szCs w:val="26"/>
          <w:shd w:fill="FFFFFF" w:val="clear"/>
        </w:rPr>
        <w:t xml:space="preserve">Категория надежности: </w:t>
      </w:r>
      <w:r>
        <w:rPr>
          <w:b/>
          <w:color w:val="000000"/>
          <w:sz w:val="26"/>
          <w:szCs w:val="26"/>
          <w:highlight w:val="white"/>
          <w:shd w:fill="FFFFFF" w:val="clear"/>
        </w:rPr>
        <w:t>3</w:t>
      </w:r>
    </w:p>
    <w:p>
      <w:pPr>
        <w:pStyle w:val="Normal"/>
        <w:widowControl w:val="false"/>
        <w:tabs>
          <w:tab w:val="left" w:pos="-3240" w:leader="none"/>
        </w:tabs>
        <w:ind w:firstLine="567"/>
        <w:jc w:val="both"/>
        <w:rPr>
          <w:rFonts w:ascii="Times New Roman" w:hAnsi="Times New Roman"/>
          <w:b/>
          <w:b/>
          <w:color w:val="000000"/>
          <w:sz w:val="26"/>
          <w:szCs w:val="26"/>
          <w:shd w:fill="FFFFFF" w:val="clear"/>
        </w:rPr>
      </w:pPr>
      <w:r>
        <w:rPr>
          <w:b/>
          <w:color w:val="000000"/>
          <w:sz w:val="26"/>
          <w:szCs w:val="26"/>
          <w:shd w:fill="FFFFFF" w:val="clear"/>
        </w:rPr>
      </w:r>
    </w:p>
    <w:p>
      <w:pPr>
        <w:pStyle w:val="Normal"/>
        <w:widowControl w:val="false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b/>
          <w:color w:val="000000"/>
          <w:sz w:val="26"/>
          <w:szCs w:val="26"/>
          <w:shd w:fill="FFFFFF" w:val="clear"/>
        </w:rPr>
        <w:t>Класс напряжения электрических сетей, к которым осуществляется технологическое присоединение:</w:t>
      </w:r>
      <w:r>
        <w:rPr>
          <w:color w:val="000000"/>
          <w:sz w:val="26"/>
          <w:szCs w:val="26"/>
          <w:shd w:fill="FFFFFF" w:val="clear"/>
        </w:rPr>
        <w:t xml:space="preserve"> 6 </w:t>
      </w:r>
      <w:r>
        <w:rPr>
          <w:bCs/>
          <w:color w:val="000000"/>
          <w:sz w:val="26"/>
          <w:szCs w:val="26"/>
          <w:shd w:fill="FFFFFF" w:val="clear"/>
        </w:rPr>
        <w:t>кВ</w:t>
      </w:r>
    </w:p>
    <w:p>
      <w:pPr>
        <w:pStyle w:val="Normal"/>
        <w:widowControl w:val="false"/>
        <w:tabs>
          <w:tab w:val="left" w:pos="-3240" w:leader="none"/>
        </w:tabs>
        <w:jc w:val="both"/>
        <w:rPr>
          <w:rFonts w:ascii="Times New Roman" w:hAnsi="Times New Roman"/>
          <w:color w:val="000000"/>
          <w:sz w:val="26"/>
          <w:szCs w:val="26"/>
          <w:shd w:fill="FFFFFF" w:val="clear"/>
        </w:rPr>
      </w:pPr>
      <w:r>
        <w:rPr>
          <w:color w:val="000000"/>
          <w:sz w:val="26"/>
          <w:szCs w:val="26"/>
          <w:shd w:fill="FFFFFF" w:val="clear"/>
        </w:rPr>
      </w:r>
    </w:p>
    <w:p>
      <w:pPr>
        <w:pStyle w:val="Normal"/>
        <w:widowControl w:val="false"/>
        <w:tabs>
          <w:tab w:val="left" w:pos="-3240" w:leader="none"/>
        </w:tabs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b/>
          <w:color w:val="000000"/>
          <w:sz w:val="26"/>
          <w:szCs w:val="26"/>
          <w:shd w:fill="FFFFFF" w:val="clear"/>
        </w:rPr>
        <w:t xml:space="preserve">Основной источник питания: </w:t>
      </w:r>
      <w:r>
        <w:rPr>
          <w:b w:val="false"/>
          <w:bCs w:val="false"/>
          <w:color w:val="000000"/>
          <w:sz w:val="26"/>
          <w:szCs w:val="26"/>
          <w:shd w:fill="FFFFFF" w:val="clear"/>
        </w:rPr>
        <w:t>фидер</w:t>
      </w:r>
      <w:r>
        <w:rPr>
          <w:b/>
          <w:color w:val="000000"/>
          <w:sz w:val="26"/>
          <w:szCs w:val="26"/>
          <w:shd w:fill="FFFFFF" w:val="clear"/>
        </w:rPr>
        <w:t xml:space="preserve"> </w:t>
      </w:r>
      <w:r>
        <w:rPr>
          <w:color w:val="000000"/>
          <w:sz w:val="26"/>
          <w:szCs w:val="26"/>
          <w:shd w:fill="FFFFFF" w:val="clear"/>
        </w:rPr>
        <w:t>6 кВ № 2</w:t>
      </w:r>
      <w:r>
        <w:rPr>
          <w:bCs/>
          <w:color w:val="000000"/>
          <w:sz w:val="26"/>
          <w:szCs w:val="26"/>
          <w:shd w:fill="FFFFFF" w:val="clear"/>
        </w:rPr>
        <w:t xml:space="preserve"> ПС 110/6 кВ Южная</w:t>
      </w:r>
    </w:p>
    <w:p>
      <w:pPr>
        <w:pStyle w:val="Normal"/>
        <w:widowControl w:val="false"/>
        <w:tabs>
          <w:tab w:val="left" w:pos="-3240" w:leader="none"/>
        </w:tabs>
        <w:ind w:firstLine="567"/>
        <w:jc w:val="both"/>
        <w:rPr>
          <w:rFonts w:ascii="Times New Roman" w:hAnsi="Times New Roman"/>
          <w:b/>
          <w:b/>
          <w:color w:val="000000"/>
          <w:sz w:val="26"/>
          <w:szCs w:val="26"/>
          <w:shd w:fill="FFFFFF" w:val="clear"/>
        </w:rPr>
      </w:pPr>
      <w:r>
        <w:rPr>
          <w:b/>
          <w:color w:val="000000"/>
          <w:sz w:val="26"/>
          <w:szCs w:val="26"/>
          <w:shd w:fill="FFFFFF" w:val="clear"/>
        </w:rPr>
      </w:r>
    </w:p>
    <w:p>
      <w:pPr>
        <w:pStyle w:val="Normal"/>
        <w:widowControl w:val="false"/>
        <w:tabs>
          <w:tab w:val="left" w:pos="-3240" w:leader="none"/>
        </w:tabs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b/>
          <w:color w:val="000000"/>
          <w:sz w:val="26"/>
          <w:szCs w:val="26"/>
          <w:shd w:fill="FFFFFF" w:val="clear"/>
        </w:rPr>
        <w:t>Резервный источник питания:</w:t>
      </w:r>
      <w:r>
        <w:rPr>
          <w:color w:val="000000"/>
          <w:sz w:val="26"/>
          <w:szCs w:val="26"/>
          <w:shd w:fill="FFFFFF" w:val="clear"/>
        </w:rPr>
        <w:t xml:space="preserve"> </w:t>
      </w:r>
      <w:r>
        <w:rPr>
          <w:bCs/>
          <w:color w:val="000000"/>
          <w:sz w:val="26"/>
          <w:szCs w:val="26"/>
          <w:shd w:fill="FFFFFF" w:val="clear"/>
        </w:rPr>
        <w:t>отсутствует</w:t>
      </w:r>
    </w:p>
    <w:p>
      <w:pPr>
        <w:pStyle w:val="Normal"/>
        <w:widowControl w:val="false"/>
        <w:tabs>
          <w:tab w:val="left" w:pos="-3240" w:leader="none"/>
        </w:tabs>
        <w:ind w:firstLine="567"/>
        <w:jc w:val="both"/>
        <w:rPr>
          <w:rFonts w:ascii="Times New Roman" w:hAnsi="Times New Roman"/>
          <w:color w:val="000000"/>
          <w:sz w:val="26"/>
          <w:szCs w:val="26"/>
          <w:shd w:fill="FFFFFF" w:val="clear"/>
        </w:rPr>
      </w:pPr>
      <w:r>
        <w:rPr>
          <w:color w:val="000000"/>
          <w:sz w:val="26"/>
          <w:szCs w:val="26"/>
          <w:shd w:fill="FFFFFF" w:val="clear"/>
        </w:rPr>
      </w:r>
    </w:p>
    <w:p>
      <w:pPr>
        <w:pStyle w:val="Normal"/>
        <w:widowControl w:val="false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b/>
          <w:color w:val="000000"/>
          <w:sz w:val="26"/>
          <w:szCs w:val="26"/>
          <w:shd w:fill="FFFFFF" w:val="clear"/>
        </w:rPr>
        <w:t>Граница балансовой принадлежности и эксплуатационной ответственности:</w:t>
      </w:r>
      <w:r>
        <w:rPr>
          <w:color w:val="000000"/>
          <w:sz w:val="26"/>
          <w:szCs w:val="26"/>
          <w:shd w:fill="FFFFFF" w:val="clear"/>
        </w:rPr>
        <w:t xml:space="preserve"> элементы электрической сети сетевой организации, расположенные на ближайшей опоре проектируемой ЛЭП 6 кВ.</w:t>
      </w:r>
    </w:p>
    <w:p>
      <w:pPr>
        <w:pStyle w:val="Normal"/>
        <w:widowControl w:val="false"/>
        <w:ind w:firstLine="567"/>
        <w:jc w:val="both"/>
        <w:rPr>
          <w:rFonts w:ascii="Times New Roman" w:hAnsi="Times New Roman"/>
          <w:sz w:val="26"/>
          <w:szCs w:val="26"/>
          <w:shd w:fill="FFFFFF" w:val="clear"/>
        </w:rPr>
      </w:pPr>
      <w:r>
        <w:rPr>
          <w:sz w:val="26"/>
          <w:szCs w:val="26"/>
          <w:shd w:fill="FFFFFF" w:val="clear"/>
        </w:rPr>
      </w:r>
    </w:p>
    <w:p>
      <w:pPr>
        <w:pStyle w:val="Normal"/>
        <w:widowControl w:val="false"/>
        <w:tabs>
          <w:tab w:val="left" w:pos="-3240" w:leader="none"/>
        </w:tabs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b/>
          <w:sz w:val="26"/>
          <w:szCs w:val="26"/>
          <w:shd w:fill="FFFFFF" w:val="clear"/>
        </w:rPr>
        <w:t xml:space="preserve">Год ввода в эксплуатацию энергопринимающего устройства/объекта электросетевого хозяйства: </w:t>
      </w:r>
      <w:r>
        <w:rPr>
          <w:b w:val="false"/>
          <w:bCs w:val="false"/>
          <w:sz w:val="26"/>
          <w:szCs w:val="26"/>
          <w:shd w:fill="FFFFFF" w:val="clear"/>
        </w:rPr>
        <w:t>2027 г (требуемый заявителем).</w:t>
      </w:r>
    </w:p>
    <w:p>
      <w:pPr>
        <w:pStyle w:val="ListParagraph"/>
        <w:widowControl w:val="false"/>
        <w:numPr>
          <w:ilvl w:val="0"/>
          <w:numId w:val="1"/>
        </w:numPr>
        <w:tabs>
          <w:tab w:val="left" w:pos="319" w:leader="none"/>
        </w:tabs>
        <w:spacing w:lineRule="auto" w:line="240" w:before="240" w:after="120"/>
        <w:ind w:left="0" w:hanging="0"/>
        <w:contextualSpacing/>
        <w:jc w:val="center"/>
        <w:rPr>
          <w:rFonts w:ascii="Times New Roman" w:hAnsi="Times New Roman"/>
          <w:sz w:val="26"/>
          <w:szCs w:val="26"/>
        </w:rPr>
      </w:pPr>
      <w:r>
        <w:rPr>
          <w:rFonts w:cs="Times New Roman" w:ascii="Times New Roman" w:hAnsi="Times New Roman"/>
          <w:b/>
          <w:color w:val="000000"/>
          <w:sz w:val="26"/>
          <w:szCs w:val="26"/>
          <w:shd w:fill="FFFFFF" w:val="clear"/>
        </w:rPr>
        <w:t>МЕРОПРИЯТИЯ ПО ОСНОВНОМУ (ПЕРВИЧНОМУ) ЭЛЕКТРОТЕХНИЧЕСКОМУ ОБОРУДОВАНИЮ</w:t>
      </w:r>
    </w:p>
    <w:p>
      <w:pPr>
        <w:pStyle w:val="Normal"/>
        <w:widowControl w:val="false"/>
        <w:tabs>
          <w:tab w:val="left" w:pos="-3240" w:leader="none"/>
        </w:tabs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color w:val="000000"/>
          <w:sz w:val="26"/>
          <w:szCs w:val="26"/>
          <w:shd w:fill="FFFFFF" w:val="clear"/>
        </w:rPr>
        <w:t>Выполнить в сроки, устанавливаемые Договором об осуществлении технологического присоединения, но не позднее окончания срока действия настоящих Технических условий (пояснительная схема прилагается):</w:t>
      </w:r>
    </w:p>
    <w:p>
      <w:pPr>
        <w:pStyle w:val="Normal"/>
        <w:widowControl w:val="false"/>
        <w:tabs>
          <w:tab w:val="left" w:pos="-3240" w:leader="none"/>
        </w:tabs>
        <w:ind w:firstLine="567"/>
        <w:jc w:val="both"/>
        <w:rPr>
          <w:rFonts w:ascii="Times New Roman" w:hAnsi="Times New Roman"/>
          <w:color w:val="000000"/>
          <w:sz w:val="26"/>
          <w:szCs w:val="26"/>
          <w:shd w:fill="FFFFFF" w:val="clear"/>
        </w:rPr>
      </w:pPr>
      <w:r>
        <w:rPr>
          <w:color w:val="000000"/>
          <w:sz w:val="26"/>
          <w:szCs w:val="26"/>
          <w:shd w:fill="FFFFFF" w:val="clear"/>
        </w:rPr>
      </w:r>
    </w:p>
    <w:p>
      <w:pPr>
        <w:pStyle w:val="Normal"/>
        <w:numPr>
          <w:ilvl w:val="1"/>
          <w:numId w:val="2"/>
        </w:numPr>
        <w:spacing w:before="0" w:after="0"/>
        <w:ind w:left="0"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b/>
          <w:bCs/>
          <w:sz w:val="26"/>
          <w:szCs w:val="26"/>
          <w:shd w:fill="FFFFFF" w:val="clear"/>
        </w:rPr>
        <w:t xml:space="preserve">На объектах Заявителя: </w:t>
      </w:r>
    </w:p>
    <w:p>
      <w:pPr>
        <w:pStyle w:val="ListParagraph"/>
        <w:numPr>
          <w:ilvl w:val="2"/>
          <w:numId w:val="2"/>
        </w:numPr>
        <w:tabs>
          <w:tab w:val="left" w:pos="709" w:leader="none"/>
        </w:tabs>
        <w:spacing w:lineRule="auto" w:line="240" w:before="0" w:after="0"/>
        <w:ind w:left="0"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  <w:shd w:fill="FFFFFF" w:val="clear"/>
        </w:rPr>
        <w:t>Монтаж ЛЭП 6 кВ от точки присоединения до вводно-распределительных устройств объектов заявителя в соответствии с действующими нормативно-техническими документами и требованиями безопасности.</w:t>
      </w:r>
    </w:p>
    <w:p>
      <w:pPr>
        <w:pStyle w:val="ListParagraph"/>
        <w:numPr>
          <w:ilvl w:val="2"/>
          <w:numId w:val="2"/>
        </w:numPr>
        <w:tabs>
          <w:tab w:val="left" w:pos="709" w:leader="none"/>
        </w:tabs>
        <w:spacing w:lineRule="auto" w:line="240" w:before="0" w:after="0"/>
        <w:ind w:left="0"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  <w:shd w:fill="FFFFFF" w:val="clear"/>
        </w:rPr>
        <w:t>Монтаж необходимого количества ТП 6/0,4 кВ с трансформаторами расчетной мощности.</w:t>
      </w:r>
    </w:p>
    <w:p>
      <w:pPr>
        <w:pStyle w:val="ListParagraph"/>
        <w:numPr>
          <w:ilvl w:val="2"/>
          <w:numId w:val="2"/>
        </w:numPr>
        <w:tabs>
          <w:tab w:val="left" w:pos="709" w:leader="none"/>
        </w:tabs>
        <w:spacing w:lineRule="auto" w:line="240" w:before="0" w:after="0"/>
        <w:ind w:left="0"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  <w:shd w:fill="FFFFFF" w:val="clear"/>
        </w:rPr>
        <w:t>Строительство ЛЭП 0,4 кВ от ТП 6/0,4 кВ до электроустановок котельной.</w:t>
      </w:r>
    </w:p>
    <w:p>
      <w:pPr>
        <w:pStyle w:val="Normal"/>
        <w:numPr>
          <w:ilvl w:val="1"/>
          <w:numId w:val="2"/>
        </w:numPr>
        <w:spacing w:before="0" w:after="0"/>
        <w:ind w:left="0"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b/>
          <w:bCs/>
          <w:sz w:val="26"/>
          <w:szCs w:val="26"/>
          <w:shd w:fill="FFFFFF" w:val="clear"/>
        </w:rPr>
        <w:t>На объектах Сетевой организации:</w:t>
      </w:r>
    </w:p>
    <w:p>
      <w:pPr>
        <w:pStyle w:val="Normal"/>
        <w:numPr>
          <w:ilvl w:val="2"/>
          <w:numId w:val="2"/>
        </w:numPr>
        <w:tabs>
          <w:tab w:val="left" w:pos="1310" w:leader="none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b w:val="false"/>
          <w:bCs w:val="false"/>
          <w:sz w:val="26"/>
          <w:szCs w:val="26"/>
          <w:shd w:fill="FFFFFF" w:val="clear"/>
        </w:rPr>
        <w:t xml:space="preserve">Строительство одной КВЛ 6 кВ от линейной ячейки 6 кВ № 2 </w:t>
      </w:r>
      <w:r>
        <w:rPr>
          <w:b w:val="false"/>
          <w:bCs/>
          <w:color w:val="000000"/>
          <w:sz w:val="26"/>
          <w:szCs w:val="26"/>
          <w:shd w:fill="FFFFFF" w:val="clear"/>
        </w:rPr>
        <w:t>ПС 110/6 кВ Южная</w:t>
      </w:r>
      <w:bookmarkStart w:id="0" w:name="__DdeLink__1372_3895753083_Копия_2"/>
      <w:bookmarkEnd w:id="0"/>
      <w:r>
        <w:rPr>
          <w:b w:val="false"/>
          <w:bCs w:val="false"/>
          <w:sz w:val="26"/>
          <w:szCs w:val="26"/>
          <w:shd w:fill="FFFFFF" w:val="clear"/>
        </w:rPr>
        <w:t xml:space="preserve"> до границы участка заявителя ориентировочной длиной 4 км с установкой разъединителя 6 кВ.</w:t>
      </w:r>
    </w:p>
    <w:p>
      <w:pPr>
        <w:pStyle w:val="Normal"/>
        <w:widowControl/>
        <w:numPr>
          <w:ilvl w:val="0"/>
          <w:numId w:val="0"/>
        </w:numPr>
        <w:suppressAutoHyphens w:val="true"/>
        <w:bidi w:val="0"/>
        <w:spacing w:before="0" w:after="0"/>
        <w:ind w:left="0" w:right="0" w:hanging="0"/>
        <w:jc w:val="both"/>
        <w:rPr>
          <w:rFonts w:ascii="Times New Roman" w:hAnsi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  <w:shd w:fill="FFFFFF" w:val="clear"/>
          <w:lang w:val="ru-RU" w:eastAsia="ru-RU" w:bidi="ar-SA"/>
        </w:rPr>
        <w:t xml:space="preserve">          </w:t>
      </w:r>
      <w:r>
        <w:rPr>
          <w:rFonts w:eastAsia="Times New Roman" w:cs="Times New Roman"/>
          <w:sz w:val="26"/>
          <w:szCs w:val="26"/>
          <w:shd w:fill="FFFFFF" w:val="clear"/>
          <w:lang w:val="ru-RU" w:eastAsia="ru-RU" w:bidi="ar-SA"/>
        </w:rPr>
        <w:t xml:space="preserve">1.2.1.1. В том числе ВЛ 6 кВ проводом сечением не менее 120 </w:t>
      </w:r>
      <w:r>
        <w:rPr>
          <w:rFonts w:eastAsia="Times New Roman" w:cs="Times New Roman"/>
          <w:position w:val="0"/>
          <w:sz w:val="26"/>
          <w:sz w:val="26"/>
          <w:szCs w:val="26"/>
          <w:shd w:fill="FFFFFF" w:val="clear"/>
          <w:vertAlign w:val="baseline"/>
          <w:lang w:val="ru-RU" w:eastAsia="ru-RU" w:bidi="ar-SA"/>
        </w:rPr>
        <w:t>мм</w:t>
      </w:r>
      <w:r>
        <w:rPr>
          <w:rFonts w:eastAsia="Times New Roman" w:cs="Times New Roman"/>
          <w:sz w:val="26"/>
          <w:szCs w:val="26"/>
          <w:shd w:fill="FFFFFF" w:val="clear"/>
          <w:vertAlign w:val="superscript"/>
          <w:lang w:val="ru-RU" w:eastAsia="ru-RU" w:bidi="ar-SA"/>
        </w:rPr>
        <w:t>2</w:t>
      </w:r>
      <w:r>
        <w:rPr>
          <w:rFonts w:eastAsia="Times New Roman" w:cs="Times New Roman"/>
          <w:position w:val="0"/>
          <w:sz w:val="26"/>
          <w:sz w:val="26"/>
          <w:szCs w:val="26"/>
          <w:shd w:fill="FFFFFF" w:val="clear"/>
          <w:vertAlign w:val="baseline"/>
          <w:lang w:val="ru-RU" w:eastAsia="ru-RU" w:bidi="ar-SA"/>
        </w:rPr>
        <w:t xml:space="preserve"> протяженностью ориентировочно 3,3 км, и в</w:t>
      </w:r>
      <w:r>
        <w:rPr>
          <w:rFonts w:eastAsia="Times New Roman" w:cs="Times New Roman"/>
          <w:sz w:val="26"/>
          <w:szCs w:val="26"/>
          <w:shd w:fill="FFFFFF" w:val="clear"/>
          <w:lang w:val="ru-RU" w:eastAsia="ru-RU" w:bidi="ar-SA"/>
        </w:rPr>
        <w:t xml:space="preserve"> местах пересечения с действующими коммуникациями, предусмотреть строительство проектируемой КЛ 6 кВ методом горизонтально-направленного бурения </w:t>
      </w:r>
      <w:r>
        <w:rPr>
          <w:rFonts w:eastAsia="Times New Roman" w:cs="Times New Roman"/>
          <w:strike w:val="false"/>
          <w:dstrike w:val="false"/>
          <w:sz w:val="26"/>
          <w:szCs w:val="26"/>
          <w:shd w:fill="FFFFFF" w:val="clear"/>
          <w:lang w:val="ru-RU" w:eastAsia="ru-RU" w:bidi="ar-SA"/>
        </w:rPr>
        <w:t>кабелем</w:t>
      </w:r>
      <w:r>
        <w:rPr>
          <w:rFonts w:eastAsia="Times New Roman" w:cs="Times New Roman"/>
          <w:sz w:val="26"/>
          <w:szCs w:val="26"/>
          <w:shd w:fill="FFFFFF" w:val="clear"/>
          <w:lang w:val="ru-RU" w:eastAsia="ru-RU" w:bidi="ar-SA"/>
        </w:rPr>
        <w:t xml:space="preserve"> сечением не менее 240 мм</w:t>
      </w:r>
      <w:r>
        <w:rPr>
          <w:rFonts w:eastAsia="Times New Roman" w:cs="Times New Roman"/>
          <w:sz w:val="26"/>
          <w:szCs w:val="26"/>
          <w:shd w:fill="FFFFFF" w:val="clear"/>
          <w:vertAlign w:val="superscript"/>
          <w:lang w:val="ru-RU" w:eastAsia="ru-RU" w:bidi="ar-SA"/>
        </w:rPr>
        <w:t>2</w:t>
      </w:r>
      <w:r>
        <w:rPr>
          <w:rFonts w:eastAsia="Times New Roman" w:cs="Times New Roman"/>
          <w:sz w:val="26"/>
          <w:szCs w:val="26"/>
          <w:shd w:fill="FFFFFF" w:val="clear"/>
          <w:lang w:val="ru-RU" w:eastAsia="ru-RU" w:bidi="ar-SA"/>
        </w:rPr>
        <w:t xml:space="preserve"> длиной ориентировочно 0,7 км.</w:t>
      </w:r>
    </w:p>
    <w:p>
      <w:pPr>
        <w:pStyle w:val="ListParagraph"/>
        <w:widowControl/>
        <w:tabs>
          <w:tab w:val="left" w:pos="0" w:leader="none"/>
          <w:tab w:val="left" w:pos="142" w:leader="none"/>
        </w:tabs>
        <w:suppressAutoHyphens w:val="true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6"/>
          <w:szCs w:val="26"/>
          <w:shd w:fill="FFFFFF" w:val="clear"/>
          <w:lang w:val="ru-RU" w:eastAsia="ru-RU" w:bidi="ar-SA"/>
        </w:rPr>
        <w:t xml:space="preserve">         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6"/>
          <w:szCs w:val="26"/>
          <w:shd w:fill="FFFFFF" w:val="clear"/>
          <w:lang w:val="ru-RU" w:eastAsia="ru-RU" w:bidi="ar-SA"/>
        </w:rPr>
        <w:t xml:space="preserve">1.2.2. Реконструкция РУ 6 кВ ПС 110/6 кВ Южная с монтажом линейной ячейки 6 кВ с вакуумным выключателем и </w:t>
      </w:r>
      <w:r>
        <w:rPr>
          <w:rFonts w:eastAsia="Calibri" w:cs="Times New Roman" w:ascii="Times New Roman" w:hAnsi="Times New Roman"/>
          <w:b w:val="false"/>
          <w:bCs/>
          <w:color w:val="000000"/>
          <w:sz w:val="26"/>
          <w:szCs w:val="26"/>
          <w:shd w:fill="FFFFFF" w:val="clear"/>
          <w:lang w:val="ru-RU" w:eastAsia="ru-RU" w:bidi="ar-SA"/>
        </w:rPr>
        <w:t>трансформаторами тока.</w:t>
      </w:r>
    </w:p>
    <w:p>
      <w:pPr>
        <w:pStyle w:val="ListParagraph"/>
        <w:widowControl/>
        <w:tabs>
          <w:tab w:val="left" w:pos="0" w:leader="none"/>
          <w:tab w:val="left" w:pos="142" w:leader="none"/>
        </w:tabs>
        <w:suppressAutoHyphens w:val="true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eastAsia="Calibri" w:cs="Times New Roman" w:ascii="Times New Roman" w:hAnsi="Times New Roman"/>
          <w:b w:val="false"/>
          <w:bCs/>
          <w:color w:val="000000"/>
          <w:sz w:val="26"/>
          <w:szCs w:val="26"/>
          <w:shd w:fill="FFFFFF" w:val="clear"/>
          <w:lang w:val="ru-RU" w:eastAsia="ru-RU" w:bidi="ar-SA"/>
        </w:rPr>
        <w:t xml:space="preserve">        </w:t>
      </w:r>
      <w:r>
        <w:rPr>
          <w:rFonts w:eastAsia="Calibri" w:cs="Times New Roman" w:ascii="Times New Roman" w:hAnsi="Times New Roman"/>
          <w:b w:val="false"/>
          <w:bCs/>
          <w:color w:val="000000"/>
          <w:sz w:val="26"/>
          <w:szCs w:val="26"/>
          <w:shd w:fill="FFFFFF" w:val="clear"/>
          <w:lang w:val="ru-RU" w:eastAsia="ru-RU" w:bidi="ar-SA"/>
        </w:rPr>
        <w:t>1.2.2.1. Трансформаторы тока принять с расчётным коэффициентом трансформации, соответствующим максимальной нагрузке, класс точности вторичной обмотки трансформаторов тока для учёта и измерений принять не ниже 0,5, для устройств релейной защиты и автоматики 10 р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6"/>
          <w:szCs w:val="26"/>
          <w:shd w:fill="FFFFFF" w:val="clear"/>
          <w:lang w:val="ru-RU" w:eastAsia="ru-RU" w:bidi="ar-SA"/>
        </w:rPr>
        <w:t>.</w:t>
      </w:r>
      <w:r>
        <w:rPr>
          <w:rFonts w:cs="Times New Roman" w:ascii="Times New Roman" w:hAnsi="Times New Roman"/>
          <w:color w:val="000000"/>
          <w:sz w:val="26"/>
          <w:szCs w:val="26"/>
          <w:shd w:fill="FFFFFF" w:val="clear"/>
        </w:rPr>
        <w:t xml:space="preserve"> </w:t>
      </w:r>
    </w:p>
    <w:p>
      <w:pPr>
        <w:pStyle w:val="ListParagraph"/>
        <w:widowControl/>
        <w:suppressAutoHyphens w:val="true"/>
        <w:bidi w:val="0"/>
        <w:spacing w:lineRule="auto" w:line="276" w:before="0" w:after="200"/>
        <w:ind w:left="0" w:right="0" w:hanging="0"/>
        <w:contextualSpacing/>
        <w:jc w:val="left"/>
        <w:rPr>
          <w:rFonts w:ascii="Times New Roman" w:hAnsi="Times New Roman"/>
          <w:sz w:val="26"/>
          <w:szCs w:val="26"/>
          <w:shd w:fill="FFFFFF" w:val="clear"/>
        </w:rPr>
      </w:pPr>
      <w:r>
        <w:rPr>
          <w:rFonts w:ascii="Times New Roman" w:hAnsi="Times New Roman"/>
          <w:sz w:val="26"/>
          <w:szCs w:val="26"/>
          <w:shd w:fill="FFFFFF" w:val="clear"/>
        </w:rPr>
      </w:r>
    </w:p>
    <w:p>
      <w:pPr>
        <w:pStyle w:val="ListParagraph"/>
        <w:widowControl w:val="false"/>
        <w:numPr>
          <w:ilvl w:val="0"/>
          <w:numId w:val="1"/>
        </w:numPr>
        <w:tabs>
          <w:tab w:val="left" w:pos="319" w:leader="none"/>
        </w:tabs>
        <w:spacing w:lineRule="auto" w:line="240" w:before="240" w:after="120"/>
        <w:ind w:left="0" w:hanging="0"/>
        <w:contextualSpacing/>
        <w:jc w:val="center"/>
        <w:rPr>
          <w:rFonts w:ascii="Times New Roman" w:hAnsi="Times New Roman"/>
          <w:sz w:val="26"/>
          <w:szCs w:val="26"/>
        </w:rPr>
      </w:pPr>
      <w:r>
        <w:rPr>
          <w:rFonts w:cs="Times New Roman" w:ascii="Times New Roman" w:hAnsi="Times New Roman"/>
          <w:b/>
          <w:color w:val="000000"/>
          <w:sz w:val="26"/>
          <w:szCs w:val="26"/>
          <w:shd w:fill="FFFFFF" w:val="clear"/>
        </w:rPr>
        <w:t>МЕРОПРИЯТИЯ ПО ОБОРУДОВАНИЮ СИСТЕМ ТЕХНОЛОГИЧЕСКОГО УПРАВЛЕНИЯ</w:t>
      </w:r>
    </w:p>
    <w:p>
      <w:pPr>
        <w:pStyle w:val="ListParagraph"/>
        <w:tabs>
          <w:tab w:val="left" w:pos="1310" w:leader="none"/>
        </w:tabs>
        <w:spacing w:lineRule="auto" w:line="240" w:before="0" w:after="0"/>
        <w:ind w:left="0" w:hanging="0"/>
        <w:contextualSpacing/>
        <w:jc w:val="both"/>
        <w:rPr>
          <w:rFonts w:ascii="Times New Roman" w:hAnsi="Times New Roman" w:eastAsia="Times New Roman" w:cs="Times New Roman"/>
          <w:bCs/>
          <w:color w:val="000000"/>
          <w:sz w:val="26"/>
          <w:szCs w:val="26"/>
          <w:shd w:fill="FFFFFF" w:val="clear"/>
          <w:lang w:eastAsia="ru-RU"/>
        </w:rPr>
      </w:pPr>
      <w:r>
        <w:rPr>
          <w:rFonts w:eastAsia="Times New Roman" w:cs="Times New Roman" w:ascii="Times New Roman" w:hAnsi="Times New Roman"/>
          <w:bCs/>
          <w:color w:val="000000"/>
          <w:sz w:val="26"/>
          <w:szCs w:val="26"/>
          <w:shd w:fill="FFFFFF" w:val="clear"/>
          <w:lang w:eastAsia="ru-RU"/>
        </w:rPr>
      </w:r>
    </w:p>
    <w:p>
      <w:pPr>
        <w:pStyle w:val="ListParagraph"/>
        <w:numPr>
          <w:ilvl w:val="1"/>
          <w:numId w:val="1"/>
        </w:numPr>
        <w:tabs>
          <w:tab w:val="left" w:pos="1310" w:leader="none"/>
        </w:tabs>
        <w:spacing w:lineRule="auto" w:line="240" w:before="0" w:after="0"/>
        <w:ind w:left="0" w:firstLine="709"/>
        <w:contextualSpacing/>
        <w:jc w:val="both"/>
        <w:rPr>
          <w:rFonts w:ascii="Times New Roman" w:hAnsi="Times New Roman" w:eastAsia="Times New Roman" w:cs="Times New Roman"/>
          <w:bCs/>
          <w:color w:val="000000"/>
          <w:sz w:val="26"/>
          <w:szCs w:val="26"/>
          <w:highlight w:val="white"/>
          <w:lang w:val="ru-RU" w:eastAsia="ru-RU" w:bidi="ar-SA"/>
        </w:rPr>
      </w:pPr>
      <w:r>
        <w:rPr>
          <w:rFonts w:eastAsia="Times New Roman" w:cs="Times New Roman" w:ascii="Times New Roman" w:hAnsi="Times New Roman"/>
          <w:bCs/>
          <w:color w:val="000000"/>
          <w:sz w:val="26"/>
          <w:szCs w:val="26"/>
          <w:shd w:fill="FFFFFF" w:val="clear"/>
          <w:lang w:val="ru-RU" w:eastAsia="ru-RU" w:bidi="ar-SA"/>
        </w:rPr>
        <w:t>Расчет  уставок релейной защиты в линейной ячейке 6 кВ № 2 ПС 110/6 кВ Южная.</w:t>
      </w:r>
    </w:p>
    <w:p>
      <w:pPr>
        <w:pStyle w:val="Normal"/>
        <w:spacing w:before="0" w:after="0"/>
        <w:ind w:left="0" w:right="0" w:hanging="0"/>
        <w:contextualSpacing/>
        <w:rPr>
          <w:rFonts w:ascii="Times New Roman" w:hAnsi="Times New Roman" w:eastAsia="Times New Roman" w:cs="Times New Roman"/>
          <w:bCs/>
          <w:color w:val="000000"/>
          <w:sz w:val="26"/>
          <w:szCs w:val="26"/>
          <w:highlight w:val="white"/>
          <w:lang w:val="ru-RU" w:eastAsia="ru-RU" w:bidi="ar-SA"/>
        </w:rPr>
      </w:pPr>
      <w:r>
        <w:rPr>
          <w:rFonts w:eastAsia="Times New Roman" w:cs="Times New Roman"/>
          <w:b/>
          <w:bCs/>
          <w:color w:val="000000"/>
          <w:sz w:val="26"/>
          <w:szCs w:val="26"/>
          <w:shd w:fill="FFFFFF" w:val="clear"/>
          <w:lang w:val="ru-RU" w:eastAsia="ru-RU" w:bidi="ar-SA"/>
        </w:rPr>
        <w:t xml:space="preserve">          </w:t>
      </w:r>
      <w:r>
        <w:rPr>
          <w:rFonts w:eastAsia="Times New Roman" w:cs="Times New Roman"/>
          <w:b/>
          <w:bCs/>
          <w:color w:val="000000"/>
          <w:sz w:val="26"/>
          <w:szCs w:val="26"/>
          <w:shd w:fill="FFFFFF" w:val="clear"/>
          <w:lang w:val="ru-RU" w:eastAsia="ru-RU" w:bidi="ar-SA"/>
        </w:rPr>
        <w:t>2.2.</w:t>
      </w:r>
      <w:r>
        <w:rPr>
          <w:rFonts w:eastAsia="Times New Roman" w:cs="Times New Roman"/>
          <w:bCs/>
          <w:color w:val="000000"/>
          <w:sz w:val="26"/>
          <w:szCs w:val="26"/>
          <w:shd w:fill="FFFFFF" w:val="clear"/>
          <w:lang w:val="ru-RU" w:eastAsia="ru-RU" w:bidi="ar-SA"/>
        </w:rPr>
        <w:t xml:space="preserve"> Оснастить объекты электросетевого хозяйства, указанные в разделе 1 настоящих технических условий, микропроцессорными устройствами и/или комплексами релейной защиты и автоматики (РЗА).</w:t>
      </w:r>
    </w:p>
    <w:p>
      <w:pPr>
        <w:pStyle w:val="Normal"/>
        <w:spacing w:lineRule="auto" w:line="240" w:before="0" w:after="0"/>
        <w:ind w:left="42" w:right="0" w:hanging="0"/>
        <w:contextualSpacing/>
        <w:jc w:val="both"/>
        <w:rPr>
          <w:rFonts w:ascii="Times New Roman" w:hAnsi="Times New Roman" w:eastAsia="Times New Roman" w:cs="Times New Roman"/>
          <w:bCs/>
          <w:color w:val="000000"/>
          <w:sz w:val="26"/>
          <w:szCs w:val="26"/>
          <w:highlight w:val="white"/>
          <w:lang w:val="ru-RU" w:eastAsia="ru-RU" w:bidi="ar-SA"/>
        </w:rPr>
      </w:pPr>
      <w:r>
        <w:rPr>
          <w:rFonts w:eastAsia="Times New Roman" w:cs="Times New Roman"/>
          <w:bCs/>
          <w:color w:val="000000"/>
          <w:sz w:val="26"/>
          <w:szCs w:val="26"/>
          <w:shd w:fill="FFFFFF" w:val="clear"/>
          <w:lang w:val="ru-RU" w:eastAsia="ru-RU" w:bidi="ar-SA"/>
        </w:rPr>
        <w:t xml:space="preserve">     </w:t>
      </w:r>
      <w:r>
        <w:rPr>
          <w:rFonts w:eastAsia="Times New Roman" w:cs="Times New Roman"/>
          <w:b/>
          <w:bCs/>
          <w:color w:val="000000"/>
          <w:sz w:val="26"/>
          <w:szCs w:val="26"/>
          <w:shd w:fill="FFFFFF" w:val="clear"/>
          <w:lang w:val="ru-RU" w:eastAsia="ru-RU" w:bidi="ar-SA"/>
        </w:rPr>
        <w:t xml:space="preserve">   </w:t>
      </w:r>
      <w:r>
        <w:rPr>
          <w:rFonts w:eastAsia="Times New Roman" w:cs="Times New Roman"/>
          <w:b/>
          <w:bCs/>
          <w:color w:val="000000"/>
          <w:sz w:val="26"/>
          <w:szCs w:val="26"/>
          <w:shd w:fill="FFFFFF" w:val="clear"/>
          <w:lang w:val="ru-RU" w:eastAsia="ru-RU" w:bidi="ar-SA"/>
        </w:rPr>
        <w:t>2.3.</w:t>
      </w:r>
      <w:r>
        <w:rPr>
          <w:rFonts w:eastAsia="Times New Roman" w:cs="Times New Roman"/>
          <w:bCs/>
          <w:color w:val="000000"/>
          <w:sz w:val="26"/>
          <w:szCs w:val="26"/>
          <w:shd w:fill="FFFFFF" w:val="clear"/>
          <w:lang w:val="ru-RU" w:eastAsia="ru-RU" w:bidi="ar-SA"/>
        </w:rPr>
        <w:t xml:space="preserve"> Устройства защиты и автоматики должны обеспечивать свою работу при частоте 45,0 – 55,0 Гц </w:t>
      </w:r>
      <w:r>
        <w:rPr>
          <w:rStyle w:val="Style22"/>
          <w:rFonts w:eastAsia="Times New Roman" w:cs="Times New Roman" w:ascii="Liberation Serif" w:hAnsi="Liberation Serif"/>
          <w:bCs/>
          <w:color w:val="000000"/>
          <w:sz w:val="26"/>
          <w:szCs w:val="26"/>
          <w:shd w:fill="FFFFFF" w:val="clear"/>
          <w:lang w:val="ru-RU" w:eastAsia="ru-RU" w:bidi="ar-SA"/>
        </w:rPr>
        <w:t>(АЧР, ЧАПВ)</w:t>
      </w:r>
      <w:r>
        <w:rPr>
          <w:rFonts w:eastAsia="Times New Roman" w:cs="Times New Roman"/>
          <w:bCs/>
          <w:color w:val="000000"/>
          <w:sz w:val="26"/>
          <w:szCs w:val="26"/>
          <w:shd w:fill="FFFFFF" w:val="clear"/>
          <w:lang w:val="ru-RU" w:eastAsia="ru-RU" w:bidi="ar-SA"/>
        </w:rPr>
        <w:t>.</w:t>
      </w:r>
    </w:p>
    <w:p>
      <w:pPr>
        <w:pStyle w:val="Normal"/>
        <w:spacing w:before="0" w:after="0"/>
        <w:contextualSpacing/>
        <w:rPr>
          <w:rFonts w:ascii="Times New Roman" w:hAnsi="Times New Roman" w:eastAsia="Times New Roman" w:cs="Times New Roman"/>
          <w:bCs/>
          <w:color w:val="000000"/>
          <w:sz w:val="26"/>
          <w:szCs w:val="26"/>
          <w:highlight w:val="white"/>
          <w:lang w:val="ru-RU" w:eastAsia="ru-RU" w:bidi="ar-SA"/>
        </w:rPr>
      </w:pPr>
      <w:r>
        <w:rPr>
          <w:rFonts w:eastAsia="Times New Roman" w:cs="Times New Roman"/>
          <w:bCs/>
          <w:color w:val="000000"/>
          <w:sz w:val="26"/>
          <w:szCs w:val="26"/>
          <w:shd w:fill="FFFFFF" w:val="clear"/>
          <w:lang w:val="ru-RU" w:eastAsia="ru-RU" w:bidi="ar-SA"/>
        </w:rPr>
        <w:t xml:space="preserve">        </w:t>
      </w:r>
      <w:r>
        <w:rPr>
          <w:rFonts w:eastAsia="Times New Roman" w:cs="Times New Roman"/>
          <w:b/>
          <w:bCs/>
          <w:color w:val="000000"/>
          <w:sz w:val="26"/>
          <w:szCs w:val="26"/>
          <w:shd w:fill="FFFFFF" w:val="clear"/>
          <w:lang w:val="ru-RU" w:eastAsia="ru-RU" w:bidi="ar-SA"/>
        </w:rPr>
        <w:t xml:space="preserve"> </w:t>
      </w:r>
      <w:r>
        <w:rPr>
          <w:rFonts w:eastAsia="Times New Roman" w:cs="Times New Roman"/>
          <w:b/>
          <w:bCs/>
          <w:color w:val="000000"/>
          <w:sz w:val="26"/>
          <w:szCs w:val="26"/>
          <w:shd w:fill="FFFFFF" w:val="clear"/>
          <w:lang w:val="ru-RU" w:eastAsia="ru-RU" w:bidi="ar-SA"/>
        </w:rPr>
        <w:t>2.4.</w:t>
      </w:r>
      <w:r>
        <w:rPr>
          <w:rFonts w:eastAsia="Times New Roman" w:cs="Times New Roman"/>
          <w:bCs/>
          <w:color w:val="000000"/>
          <w:sz w:val="26"/>
          <w:szCs w:val="26"/>
          <w:shd w:fill="FFFFFF" w:val="clear"/>
          <w:lang w:val="ru-RU" w:eastAsia="ru-RU" w:bidi="ar-SA"/>
        </w:rPr>
        <w:t xml:space="preserve">  </w:t>
      </w:r>
      <w:r>
        <w:rPr>
          <w:rStyle w:val="Style22"/>
          <w:rFonts w:eastAsia="Times New Roman" w:cs="Times New Roman" w:ascii="Liberation Serif" w:hAnsi="Liberation Serif"/>
          <w:bCs/>
          <w:color w:val="000000"/>
          <w:sz w:val="26"/>
          <w:szCs w:val="26"/>
          <w:shd w:fill="FFFFFF" w:val="clear"/>
          <w:lang w:val="ru-RU" w:eastAsia="ru-RU" w:bidi="ar-SA"/>
        </w:rPr>
        <w:t>В ТП 10/0,4 кВ предусмотреть заземление, защиту от токов короткого замыкания и атмосферных перенапряжений.</w:t>
      </w:r>
    </w:p>
    <w:p>
      <w:pPr>
        <w:pStyle w:val="ListParagraph"/>
        <w:widowControl w:val="false"/>
        <w:tabs>
          <w:tab w:val="left" w:pos="1176" w:leader="none"/>
        </w:tabs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 w:eastAsia="Times New Roman" w:cs="Times New Roman"/>
          <w:bCs/>
          <w:color w:val="000000"/>
          <w:sz w:val="26"/>
          <w:szCs w:val="26"/>
          <w:highlight w:val="white"/>
          <w:lang w:val="ru-RU" w:eastAsia="ru-RU" w:bidi="ar-SA"/>
        </w:rPr>
      </w:pPr>
      <w:r>
        <w:rPr>
          <w:rFonts w:eastAsia="Times New Roman" w:cs="Times New Roman" w:ascii="Times New Roman" w:hAnsi="Times New Roman"/>
          <w:bCs/>
          <w:color w:val="000000"/>
          <w:sz w:val="26"/>
          <w:szCs w:val="26"/>
          <w:shd w:fill="FFFFFF" w:val="clear"/>
          <w:lang w:val="ru-RU" w:eastAsia="ru-RU" w:bidi="ar-SA"/>
        </w:rPr>
        <w:t xml:space="preserve">   </w:t>
      </w:r>
      <w:r>
        <w:rPr>
          <w:rFonts w:eastAsia="Times New Roman" w:cs="Times New Roman" w:ascii="Times New Roman" w:hAnsi="Times New Roman"/>
          <w:b/>
          <w:bCs/>
          <w:color w:val="000000"/>
          <w:sz w:val="26"/>
          <w:szCs w:val="26"/>
          <w:shd w:fill="FFFFFF" w:val="clear"/>
          <w:lang w:val="ru-RU" w:eastAsia="ru-RU" w:bidi="ar-SA"/>
        </w:rPr>
        <w:t>2.5.</w:t>
      </w:r>
      <w:r>
        <w:rPr>
          <w:rFonts w:eastAsia="Times New Roman" w:cs="Times New Roman" w:ascii="Times New Roman" w:hAnsi="Times New Roman"/>
          <w:bCs/>
          <w:color w:val="000000"/>
          <w:sz w:val="26"/>
          <w:szCs w:val="26"/>
          <w:shd w:fill="FFFFFF" w:val="clear"/>
          <w:lang w:val="ru-RU" w:eastAsia="ru-RU" w:bidi="ar-SA"/>
        </w:rPr>
        <w:t xml:space="preserve"> Предусмотреть подключение нагрузки Заявителя под действие устройств противоаварийной автоматики. </w:t>
      </w:r>
    </w:p>
    <w:p>
      <w:pPr>
        <w:pStyle w:val="ListParagraph"/>
        <w:widowControl w:val="false"/>
        <w:tabs>
          <w:tab w:val="left" w:pos="1310" w:leader="none"/>
        </w:tabs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 w:eastAsia="Times New Roman" w:cs="Times New Roman"/>
          <w:bCs/>
          <w:color w:val="000000"/>
          <w:sz w:val="26"/>
          <w:szCs w:val="26"/>
          <w:highlight w:val="white"/>
          <w:lang w:val="ru-RU" w:eastAsia="ru-RU" w:bidi="ar-SA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shd w:fill="FFFFFF" w:val="clear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b/>
          <w:bCs/>
          <w:color w:val="000000"/>
          <w:sz w:val="26"/>
          <w:szCs w:val="26"/>
          <w:shd w:fill="FFFFFF" w:val="clear"/>
          <w:lang w:eastAsia="ru-RU"/>
        </w:rPr>
        <w:t xml:space="preserve">        </w:t>
      </w:r>
      <w:r>
        <w:rPr>
          <w:rFonts w:eastAsia="Times New Roman" w:cs="Times New Roman" w:ascii="Times New Roman" w:hAnsi="Times New Roman"/>
          <w:b/>
          <w:bCs/>
          <w:color w:val="000000"/>
          <w:sz w:val="26"/>
          <w:szCs w:val="26"/>
          <w:shd w:fill="FFFFFF" w:val="clear"/>
          <w:lang w:eastAsia="ru-RU"/>
        </w:rPr>
        <w:t xml:space="preserve">2.6. </w:t>
      </w:r>
      <w:r>
        <w:rPr>
          <w:rFonts w:eastAsia="Times New Roman" w:cs="Times New Roman" w:ascii="Times New Roman" w:hAnsi="Times New Roman"/>
          <w:color w:val="000000"/>
          <w:sz w:val="26"/>
          <w:szCs w:val="26"/>
          <w:shd w:fill="FFFFFF" w:val="clear"/>
          <w:lang w:eastAsia="ru-RU"/>
        </w:rPr>
        <w:t xml:space="preserve">Выполнить учет электроэнергии </w:t>
      </w:r>
      <w:r>
        <w:rPr>
          <w:rFonts w:eastAsia="Times New Roman" w:cs="Times New Roman" w:ascii="Times New Roman" w:hAnsi="Times New Roman"/>
          <w:bCs/>
          <w:color w:val="000000"/>
          <w:sz w:val="26"/>
          <w:szCs w:val="26"/>
          <w:shd w:fill="FFFFFF" w:val="clear"/>
          <w:lang w:eastAsia="ru-RU"/>
        </w:rPr>
        <w:t>в соответствии с Типовой инструкцией по учету электроэнергии при ее производстве, передаче и распределении (СО 153-34.09.101-94), требованиями правил организации учета электрической энергии на розничном рынке, установленных Федеральным законом от 26.03.2003 № 35-ФЗ «Об электроэнергетике», Основными положениями функционирования розничных рынков электрической энергии, утвержденными Постановлением Правительства РФ от 04.05.2012 № 442</w:t>
      </w:r>
      <w:r>
        <w:rPr>
          <w:rFonts w:eastAsia="Times New Roman" w:cs="Times New Roman" w:ascii="Times New Roman" w:hAnsi="Times New Roman"/>
          <w:sz w:val="26"/>
          <w:szCs w:val="26"/>
          <w:shd w:fill="FFFFFF" w:val="clear"/>
          <w:lang w:eastAsia="ru-RU"/>
        </w:rPr>
        <w:t>.</w:t>
      </w:r>
    </w:p>
    <w:p>
      <w:pPr>
        <w:pStyle w:val="ListParagraph"/>
        <w:numPr>
          <w:ilvl w:val="0"/>
          <w:numId w:val="0"/>
        </w:numPr>
        <w:spacing w:lineRule="auto" w:line="240"/>
        <w:ind w:left="0" w:hanging="0"/>
        <w:jc w:val="both"/>
        <w:rPr/>
      </w:pPr>
      <w:r>
        <w:rPr>
          <w:rFonts w:eastAsia="Times New Roman" w:cs="Times New Roman" w:ascii="Times New Roman" w:hAnsi="Times New Roman"/>
          <w:b/>
          <w:bCs/>
          <w:color w:val="000000"/>
          <w:sz w:val="26"/>
          <w:szCs w:val="26"/>
          <w:shd w:fill="FFFFFF" w:val="clear"/>
          <w:lang w:eastAsia="ru-RU"/>
        </w:rPr>
        <w:t xml:space="preserve">    </w:t>
      </w:r>
      <w:r>
        <w:rPr>
          <w:rFonts w:eastAsia="Times New Roman" w:cs="Times New Roman" w:ascii="Times New Roman" w:hAnsi="Times New Roman"/>
          <w:b/>
          <w:bCs/>
          <w:color w:val="000000"/>
          <w:sz w:val="26"/>
          <w:szCs w:val="26"/>
          <w:shd w:fill="FFFFFF" w:val="clear"/>
          <w:lang w:eastAsia="ru-RU"/>
        </w:rPr>
        <w:t xml:space="preserve">2.7. </w:t>
      </w:r>
      <w:r>
        <w:rPr>
          <w:rFonts w:eastAsia="Times New Roman" w:cs="Times New Roman" w:ascii="Times New Roman" w:hAnsi="Times New Roman"/>
          <w:color w:val="000000"/>
          <w:sz w:val="26"/>
          <w:szCs w:val="26"/>
          <w:shd w:fill="FFFFFF" w:val="clear"/>
          <w:lang w:eastAsia="ru-RU"/>
        </w:rPr>
        <w:t>В случае установки на территории заявителя объектов по производству электрической энергии, оснастить данные объекты устройствами, исключающими выдачу мощности в электрическую сеть Сетевой организации.</w:t>
      </w:r>
    </w:p>
    <w:p>
      <w:pPr>
        <w:pStyle w:val="ListParagraph"/>
        <w:widowControl w:val="false"/>
        <w:tabs>
          <w:tab w:val="left" w:pos="1176" w:leader="none"/>
        </w:tabs>
        <w:spacing w:lineRule="auto" w:line="240" w:before="0" w:after="0"/>
        <w:ind w:left="0" w:firstLine="709"/>
        <w:contextualSpacing/>
        <w:jc w:val="both"/>
        <w:rPr>
          <w:rFonts w:ascii="Times New Roman" w:hAnsi="Times New Roman" w:eastAsia="Times New Roman" w:cs="Times New Roman"/>
          <w:color w:val="000000"/>
          <w:sz w:val="26"/>
          <w:szCs w:val="26"/>
          <w:shd w:fill="FFFFFF" w:val="clear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shd w:fill="FFFFFF" w:val="clear"/>
          <w:lang w:eastAsia="ru-RU"/>
        </w:rPr>
      </w:r>
    </w:p>
    <w:p>
      <w:pPr>
        <w:pStyle w:val="ListParagraph"/>
        <w:widowControl w:val="false"/>
        <w:numPr>
          <w:ilvl w:val="0"/>
          <w:numId w:val="1"/>
        </w:numPr>
        <w:tabs>
          <w:tab w:val="left" w:pos="319" w:leader="none"/>
        </w:tabs>
        <w:spacing w:lineRule="auto" w:line="240" w:before="240" w:after="120"/>
        <w:ind w:left="0" w:firstLine="709"/>
        <w:contextualSpacing/>
        <w:jc w:val="center"/>
        <w:rPr>
          <w:rFonts w:ascii="Times New Roman" w:hAnsi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b/>
          <w:color w:val="000000"/>
          <w:sz w:val="26"/>
          <w:szCs w:val="26"/>
          <w:shd w:fill="FFFFFF" w:val="clear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b/>
          <w:color w:val="000000"/>
          <w:sz w:val="26"/>
          <w:szCs w:val="26"/>
          <w:shd w:fill="FFFFFF" w:val="clear"/>
          <w:lang w:eastAsia="ru-RU"/>
        </w:rPr>
        <w:t>ТРЕБОВАНИЯ К ЭНЕРГОПРИНИМАЮЩИМ УСТРОЙСТВАМ</w:t>
      </w:r>
    </w:p>
    <w:p>
      <w:pPr>
        <w:pStyle w:val="ListParagraph"/>
        <w:widowControl w:val="false"/>
        <w:numPr>
          <w:ilvl w:val="1"/>
          <w:numId w:val="1"/>
        </w:numPr>
        <w:tabs>
          <w:tab w:val="left" w:pos="1176" w:leader="none"/>
        </w:tabs>
        <w:spacing w:lineRule="auto" w:line="240" w:before="0" w:after="0"/>
        <w:ind w:left="0"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shd w:fill="FFFFFF" w:val="clear"/>
          <w:lang w:eastAsia="ru-RU"/>
        </w:rPr>
        <w:t>Схему электроснабжения потребителей разработать с учетом подключения нагрузки Заявителя под действие устройств противоаварийной автоматики в полном объеме.</w:t>
      </w:r>
    </w:p>
    <w:p>
      <w:pPr>
        <w:pStyle w:val="ListParagraph"/>
        <w:widowControl w:val="false"/>
        <w:numPr>
          <w:ilvl w:val="1"/>
          <w:numId w:val="1"/>
        </w:numPr>
        <w:tabs>
          <w:tab w:val="left" w:pos="1176" w:leader="none"/>
        </w:tabs>
        <w:spacing w:lineRule="auto" w:line="240" w:before="0" w:after="0"/>
        <w:ind w:left="0"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shd w:fill="FFFFFF" w:val="clear"/>
          <w:lang w:eastAsia="ru-RU"/>
        </w:rPr>
        <w:t>Схему электроснабжения потребителей 3 категории надежности электроснабжения выполнить в соответствии с ПУЭ (обеспечить обязательное наличие основного и резервного питания).</w:t>
      </w:r>
    </w:p>
    <w:p>
      <w:pPr>
        <w:pStyle w:val="ListParagraph"/>
        <w:widowControl w:val="false"/>
        <w:numPr>
          <w:ilvl w:val="1"/>
          <w:numId w:val="1"/>
        </w:numPr>
        <w:tabs>
          <w:tab w:val="left" w:pos="1176" w:leader="none"/>
        </w:tabs>
        <w:spacing w:lineRule="auto" w:line="240" w:before="0" w:after="0"/>
        <w:ind w:left="0"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shd w:fill="FFFFFF" w:val="clear"/>
          <w:lang w:eastAsia="ru-RU"/>
        </w:rPr>
        <w:t>В случае выявления при проектировании согласно пункту 4.1 настоящих технических условий возможности нарушения соотношения потребления активной и реактивной мощности: нарушение критерия tg φ ≤ 0,4 в точках присоединения к электрическим сетям Сетевой организации энергопринимающих устройств Заявителя, в целях поддержания соотношения потребления активной и реактивной мощности оснастить объекты электросетевого хозяйства Заявителя, указанные в разделе 1 настоящих Технических условий, средствами компенсации реактивной мощности и автоматикой регулирования напряжения и поддержания соотношений потребления активной и реактивной мощности.</w:t>
      </w:r>
    </w:p>
    <w:p>
      <w:pPr>
        <w:pStyle w:val="Normal"/>
        <w:widowControl w:val="false"/>
        <w:tabs>
          <w:tab w:val="left" w:pos="900" w:leader="none"/>
        </w:tabs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color w:val="000000"/>
          <w:sz w:val="26"/>
          <w:szCs w:val="26"/>
          <w:shd w:fill="FFFFFF" w:val="clear"/>
        </w:rPr>
        <w:t>При проведении расчетов, определяющих необходимость оснащения объекта электросетевого хозяйства Заявителя средствами компенсации реактивной мощности и автоматикой регулирования напряжения, и при проектировании согласно пункту 4.1 настоящих Технических условий нормально допускаемые и предельно допускаемые значения отклонения на вводах приемников электрической энергии принять соответственно ±5% и ±10% от номинального напряжения электрической сети.</w:t>
      </w:r>
    </w:p>
    <w:p>
      <w:pPr>
        <w:pStyle w:val="Normal"/>
        <w:widowControl w:val="false"/>
        <w:numPr>
          <w:ilvl w:val="1"/>
          <w:numId w:val="1"/>
        </w:numPr>
        <w:tabs>
          <w:tab w:val="left" w:pos="1176" w:leader="none"/>
        </w:tabs>
        <w:spacing w:before="0" w:after="0"/>
        <w:ind w:left="0"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color w:val="000000"/>
          <w:sz w:val="26"/>
          <w:szCs w:val="26"/>
          <w:shd w:fill="FFFFFF" w:val="clear"/>
        </w:rPr>
        <w:t xml:space="preserve">При наличии непрерывных технологических процессов, нарушение которых связано с высокими материальными затратами, оснастить электрические сети Заявителя средствами, обеспечивающими нечувствительность систем управления непрерывным технологическим процессом к провалам напряжения в соответствии с ГОСТ </w:t>
      </w:r>
      <w:r>
        <w:rPr>
          <w:sz w:val="26"/>
          <w:szCs w:val="26"/>
          <w:shd w:fill="FFFFFF" w:val="clear"/>
        </w:rPr>
        <w:t>32144-2013</w:t>
      </w:r>
      <w:r>
        <w:rPr>
          <w:color w:val="000000"/>
          <w:sz w:val="26"/>
          <w:szCs w:val="26"/>
          <w:shd w:fill="FFFFFF" w:val="clear"/>
        </w:rPr>
        <w:t>.</w:t>
      </w:r>
    </w:p>
    <w:p>
      <w:pPr>
        <w:pStyle w:val="Normal"/>
        <w:widowControl w:val="false"/>
        <w:tabs>
          <w:tab w:val="left" w:pos="1176" w:leader="none"/>
        </w:tabs>
        <w:spacing w:before="0" w:after="0"/>
        <w:ind w:left="0"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widowControl w:val="false"/>
        <w:tabs>
          <w:tab w:val="left" w:pos="1176" w:leader="none"/>
        </w:tabs>
        <w:spacing w:before="0" w:after="0"/>
        <w:ind w:left="0"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widowControl w:val="false"/>
        <w:tabs>
          <w:tab w:val="left" w:pos="1176" w:leader="none"/>
        </w:tabs>
        <w:spacing w:before="0" w:after="0"/>
        <w:ind w:left="0"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</w:r>
    </w:p>
    <w:p>
      <w:pPr>
        <w:pStyle w:val="ListParagraph"/>
        <w:widowControl w:val="false"/>
        <w:numPr>
          <w:ilvl w:val="0"/>
          <w:numId w:val="1"/>
        </w:numPr>
        <w:tabs>
          <w:tab w:val="left" w:pos="319" w:leader="none"/>
        </w:tabs>
        <w:spacing w:lineRule="auto" w:line="240" w:before="240" w:after="120"/>
        <w:ind w:left="0" w:hanging="0"/>
        <w:contextualSpacing/>
        <w:jc w:val="center"/>
        <w:rPr>
          <w:rFonts w:ascii="Times New Roman" w:hAnsi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b/>
          <w:color w:val="000000"/>
          <w:sz w:val="26"/>
          <w:szCs w:val="26"/>
          <w:shd w:fill="FFFFFF" w:val="clear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b/>
          <w:color w:val="000000"/>
          <w:sz w:val="26"/>
          <w:szCs w:val="26"/>
          <w:shd w:fill="FFFFFF" w:val="clear"/>
          <w:lang w:eastAsia="ru-RU"/>
        </w:rPr>
        <w:t>ПОРЯДОК ВЫПОЛНЕНИЯ МЕРОПРИЯТИЙ ПО ТЕХНОЛОГИЧЕСКОМУ ПРИСОЕДИНЕНИЮ</w:t>
      </w:r>
    </w:p>
    <w:p>
      <w:pPr>
        <w:pStyle w:val="ListParagraph"/>
        <w:widowControl w:val="false"/>
        <w:numPr>
          <w:ilvl w:val="1"/>
          <w:numId w:val="1"/>
        </w:numPr>
        <w:tabs>
          <w:tab w:val="left" w:pos="1176" w:leader="none"/>
        </w:tabs>
        <w:spacing w:lineRule="auto" w:line="240" w:before="0" w:after="0"/>
        <w:ind w:left="42" w:firstLine="567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shd w:fill="FFFFFF" w:val="clear"/>
          <w:lang w:eastAsia="ru-RU"/>
        </w:rPr>
        <w:t xml:space="preserve">Заявитель выполняет мероприятия, указанные в пунктах 1.1 и 2.4., 2.7. с учетом требований раздела 3 настоящих Технических условий, включая разработку проектной и рабочей документации. </w:t>
      </w:r>
    </w:p>
    <w:p>
      <w:pPr>
        <w:pStyle w:val="ListParagraph"/>
        <w:widowControl w:val="false"/>
        <w:tabs>
          <w:tab w:val="left" w:pos="1176" w:leader="none"/>
        </w:tabs>
        <w:spacing w:lineRule="auto" w:line="240" w:before="0" w:after="0"/>
        <w:ind w:left="0" w:firstLine="6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shd w:fill="FFFFFF" w:val="clear"/>
          <w:lang w:eastAsia="ru-RU"/>
        </w:rPr>
        <w:t>Заявитель обязан представить Сетевой организации копии разделов проектной документации, предусматривающих реализацию технических решений, обеспечивающих выполнение настоящих технических условий.</w:t>
      </w:r>
    </w:p>
    <w:p>
      <w:pPr>
        <w:pStyle w:val="ListParagraph"/>
        <w:numPr>
          <w:ilvl w:val="0"/>
          <w:numId w:val="0"/>
        </w:numPr>
        <w:spacing w:before="0" w:after="0"/>
        <w:ind w:left="0" w:hanging="0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shd w:fill="FFFFFF" w:val="clear"/>
          <w:lang w:eastAsia="ru-RU"/>
        </w:rPr>
        <w:t xml:space="preserve">    </w:t>
      </w:r>
      <w:r>
        <w:rPr>
          <w:rFonts w:eastAsia="Times New Roman" w:cs="Times New Roman" w:ascii="Times New Roman" w:hAnsi="Times New Roman"/>
          <w:b/>
          <w:bCs/>
          <w:color w:val="000000"/>
          <w:sz w:val="26"/>
          <w:szCs w:val="26"/>
          <w:shd w:fill="FFFFFF" w:val="clear"/>
          <w:lang w:eastAsia="ru-RU"/>
        </w:rPr>
        <w:t xml:space="preserve">   </w:t>
      </w:r>
      <w:r>
        <w:rPr>
          <w:rFonts w:eastAsia="Times New Roman" w:cs="Times New Roman" w:ascii="Times New Roman" w:hAnsi="Times New Roman"/>
          <w:b/>
          <w:bCs/>
          <w:color w:val="000000"/>
          <w:sz w:val="26"/>
          <w:szCs w:val="26"/>
          <w:shd w:fill="FFFFFF" w:val="clear"/>
          <w:lang w:eastAsia="ru-RU"/>
        </w:rPr>
        <w:t xml:space="preserve">4.2. </w:t>
      </w:r>
      <w:r>
        <w:rPr>
          <w:rFonts w:eastAsia="Times New Roman" w:cs="Times New Roman" w:ascii="Times New Roman" w:hAnsi="Times New Roman"/>
          <w:color w:val="000000"/>
          <w:sz w:val="26"/>
          <w:szCs w:val="26"/>
          <w:shd w:fill="FFFFFF" w:val="clear"/>
          <w:lang w:eastAsia="ru-RU"/>
        </w:rPr>
        <w:t xml:space="preserve">Сетевая организация выполняет мероприятия, указанные в пунктах 1.2, 2.1, 2.2., 2.3, 2.5, 2.6. с </w:t>
      </w:r>
      <w:r>
        <w:rPr>
          <w:rFonts w:cs="Times New Roman" w:ascii="Times New Roman" w:hAnsi="Times New Roman"/>
          <w:color w:val="000000"/>
          <w:sz w:val="26"/>
          <w:szCs w:val="26"/>
          <w:shd w:fill="FFFFFF" w:val="clear"/>
        </w:rPr>
        <w:t>настоящих Технических условий, включая разработку проектной и рабочей документации.</w:t>
      </w:r>
    </w:p>
    <w:p>
      <w:pPr>
        <w:pStyle w:val="Normal"/>
        <w:spacing w:before="0" w:after="0"/>
        <w:ind w:firstLine="567"/>
        <w:contextualSpacing/>
        <w:jc w:val="both"/>
        <w:rPr/>
      </w:pPr>
      <w:r>
        <w:rPr>
          <w:color w:val="000000"/>
          <w:sz w:val="26"/>
          <w:szCs w:val="26"/>
          <w:shd w:fill="FFFFFF" w:val="clear"/>
        </w:rPr>
        <w:t>При необходимости выполнения работ по модернизации (замене) систем технологического управления на объектах третьих лиц, урегулирование отношений с третьими лицами по выполнению работ на принадлежащих им объектах осуществляет Сетевая организация.</w:t>
      </w:r>
    </w:p>
    <w:p>
      <w:pPr>
        <w:pStyle w:val="ListParagraph"/>
        <w:widowControl w:val="false"/>
        <w:numPr>
          <w:ilvl w:val="0"/>
          <w:numId w:val="0"/>
        </w:numPr>
        <w:tabs>
          <w:tab w:val="left" w:pos="1176" w:leader="none"/>
        </w:tabs>
        <w:spacing w:lineRule="auto" w:line="240" w:before="0" w:after="0"/>
        <w:ind w:left="42" w:hanging="0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cs="Times New Roman" w:ascii="Times New Roman" w:hAnsi="Times New Roman"/>
          <w:color w:val="000000"/>
          <w:sz w:val="26"/>
          <w:szCs w:val="26"/>
          <w:shd w:fill="FFFFFF" w:val="clear"/>
        </w:rPr>
        <w:t xml:space="preserve">   </w:t>
      </w:r>
      <w:r>
        <w:rPr>
          <w:rFonts w:cs="Times New Roman" w:ascii="Times New Roman" w:hAnsi="Times New Roman"/>
          <w:b/>
          <w:bCs/>
          <w:color w:val="000000"/>
          <w:sz w:val="26"/>
          <w:szCs w:val="26"/>
          <w:shd w:fill="FFFFFF" w:val="clear"/>
        </w:rPr>
        <w:t xml:space="preserve">  </w:t>
      </w:r>
      <w:r>
        <w:rPr>
          <w:rFonts w:cs="Times New Roman" w:ascii="Times New Roman" w:hAnsi="Times New Roman"/>
          <w:b/>
          <w:bCs/>
          <w:color w:val="000000"/>
          <w:sz w:val="26"/>
          <w:szCs w:val="26"/>
          <w:shd w:fill="FFFFFF" w:val="clear"/>
        </w:rPr>
        <w:t xml:space="preserve">4.3. </w:t>
      </w:r>
      <w:r>
        <w:rPr>
          <w:rFonts w:cs="Times New Roman" w:ascii="Times New Roman" w:hAnsi="Times New Roman"/>
          <w:color w:val="000000"/>
          <w:sz w:val="26"/>
          <w:szCs w:val="26"/>
          <w:shd w:fill="FFFFFF" w:val="clear"/>
        </w:rPr>
        <w:t>Если в ходе проектирования возникает необходимость частичного отступления от настоящих Технических условий, такие отступления подлежат согласованию с Сетевой организацией (путем внесения изменений в настоящие Технические условия).</w:t>
      </w:r>
    </w:p>
    <w:p>
      <w:pPr>
        <w:pStyle w:val="ListParagraph"/>
        <w:widowControl w:val="false"/>
        <w:numPr>
          <w:ilvl w:val="0"/>
          <w:numId w:val="0"/>
        </w:numPr>
        <w:tabs>
          <w:tab w:val="left" w:pos="1176" w:leader="none"/>
        </w:tabs>
        <w:spacing w:lineRule="auto" w:line="240" w:before="0" w:after="0"/>
        <w:ind w:left="0" w:hanging="0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cs="Times New Roman" w:ascii="Times New Roman" w:hAnsi="Times New Roman"/>
          <w:color w:val="000000"/>
          <w:sz w:val="26"/>
          <w:szCs w:val="26"/>
          <w:shd w:fill="FFFFFF" w:val="clear"/>
        </w:rPr>
        <w:t xml:space="preserve">  </w:t>
      </w:r>
      <w:r>
        <w:rPr>
          <w:rFonts w:cs="Times New Roman" w:ascii="Times New Roman" w:hAnsi="Times New Roman"/>
          <w:b/>
          <w:bCs/>
          <w:color w:val="000000"/>
          <w:sz w:val="26"/>
          <w:szCs w:val="26"/>
          <w:shd w:fill="FFFFFF" w:val="clear"/>
        </w:rPr>
        <w:t xml:space="preserve">4.4. </w:t>
      </w:r>
      <w:r>
        <w:rPr>
          <w:rFonts w:cs="Times New Roman" w:ascii="Times New Roman" w:hAnsi="Times New Roman"/>
          <w:color w:val="000000"/>
          <w:sz w:val="26"/>
          <w:szCs w:val="26"/>
          <w:shd w:fill="FFFFFF" w:val="clear"/>
        </w:rPr>
        <w:t xml:space="preserve">Провести проверку выполнения настоящих Технических условий, включая проведение осмотра (обследования) электроустановок, с участием </w:t>
      </w:r>
      <w:r>
        <w:rPr>
          <w:rFonts w:eastAsia="Times New Roman" w:cs="Times New Roman" w:ascii="Times New Roman" w:hAnsi="Times New Roman"/>
          <w:color w:val="000000"/>
          <w:sz w:val="26"/>
          <w:szCs w:val="26"/>
          <w:shd w:fill="FFFFFF" w:val="clear"/>
          <w:lang w:eastAsia="ru-RU"/>
        </w:rPr>
        <w:t>представителей Сетевой организации</w:t>
      </w:r>
      <w:r>
        <w:rPr>
          <w:rFonts w:cs="Times New Roman" w:ascii="Times New Roman" w:hAnsi="Times New Roman"/>
          <w:color w:val="000000"/>
          <w:sz w:val="26"/>
          <w:szCs w:val="26"/>
          <w:shd w:fill="FFFFFF" w:val="clear"/>
        </w:rPr>
        <w:t>.</w:t>
      </w:r>
    </w:p>
    <w:p>
      <w:pPr>
        <w:pStyle w:val="ListParagraph"/>
        <w:widowControl w:val="false"/>
        <w:numPr>
          <w:ilvl w:val="0"/>
          <w:numId w:val="0"/>
        </w:numPr>
        <w:tabs>
          <w:tab w:val="left" w:pos="1176" w:leader="none"/>
        </w:tabs>
        <w:spacing w:lineRule="auto" w:line="240" w:before="0" w:after="0"/>
        <w:ind w:left="42" w:hanging="0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cs="Times New Roman" w:ascii="Times New Roman" w:hAnsi="Times New Roman"/>
          <w:color w:val="000000"/>
          <w:sz w:val="26"/>
          <w:szCs w:val="26"/>
          <w:shd w:fill="FFFFFF" w:val="clear"/>
        </w:rPr>
        <w:t xml:space="preserve">     </w:t>
      </w:r>
      <w:r>
        <w:rPr>
          <w:rFonts w:cs="Times New Roman" w:ascii="Times New Roman" w:hAnsi="Times New Roman"/>
          <w:b/>
          <w:bCs/>
          <w:color w:val="000000"/>
          <w:sz w:val="26"/>
          <w:szCs w:val="26"/>
          <w:shd w:fill="FFFFFF" w:val="clear"/>
        </w:rPr>
        <w:t>4.5.</w:t>
      </w:r>
      <w:r>
        <w:rPr>
          <w:rFonts w:cs="Times New Roman" w:ascii="Times New Roman" w:hAnsi="Times New Roman"/>
          <w:color w:val="000000"/>
          <w:sz w:val="26"/>
          <w:szCs w:val="26"/>
          <w:shd w:fill="FFFFFF" w:val="clear"/>
        </w:rPr>
        <w:t xml:space="preserve"> Получить от </w:t>
      </w:r>
      <w:bookmarkStart w:id="1" w:name="__DdeLink__31173_27574242"/>
      <w:r>
        <w:rPr>
          <w:rFonts w:cs="Times New Roman" w:ascii="Times New Roman" w:hAnsi="Times New Roman"/>
          <w:color w:val="000000"/>
          <w:sz w:val="26"/>
          <w:szCs w:val="26"/>
          <w:shd w:fill="FFFFFF" w:val="clear"/>
        </w:rPr>
        <w:t>Сетевой организации</w:t>
      </w:r>
      <w:bookmarkEnd w:id="1"/>
      <w:r>
        <w:rPr>
          <w:rFonts w:cs="Times New Roman" w:ascii="Times New Roman" w:hAnsi="Times New Roman"/>
          <w:color w:val="000000"/>
          <w:sz w:val="26"/>
          <w:szCs w:val="26"/>
          <w:shd w:fill="FFFFFF" w:val="clear"/>
        </w:rPr>
        <w:t xml:space="preserve"> акт о выполнении технических условий</w:t>
      </w:r>
      <w:r>
        <w:rPr>
          <w:rFonts w:eastAsia="Times New Roman" w:cs="Times New Roman" w:ascii="Times New Roman" w:hAnsi="Times New Roman"/>
          <w:color w:val="000000"/>
          <w:sz w:val="26"/>
          <w:szCs w:val="26"/>
          <w:shd w:fill="FFFFFF" w:val="clear"/>
          <w:lang w:eastAsia="ru-RU"/>
        </w:rPr>
        <w:t>.</w:t>
      </w:r>
    </w:p>
    <w:p>
      <w:pPr>
        <w:pStyle w:val="ListParagraph"/>
        <w:widowControl w:val="false"/>
        <w:numPr>
          <w:ilvl w:val="0"/>
          <w:numId w:val="0"/>
        </w:numPr>
        <w:tabs>
          <w:tab w:val="left" w:pos="1176" w:leader="none"/>
        </w:tabs>
        <w:spacing w:lineRule="auto" w:line="240" w:before="0" w:after="0"/>
        <w:ind w:left="42" w:hanging="0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shd w:fill="FFFFFF" w:val="clear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b/>
          <w:bCs/>
          <w:color w:val="000000"/>
          <w:sz w:val="26"/>
          <w:szCs w:val="26"/>
          <w:shd w:fill="FFFFFF" w:val="clear"/>
          <w:lang w:eastAsia="ru-RU"/>
        </w:rPr>
        <w:t>4.6.</w:t>
      </w:r>
      <w:r>
        <w:rPr>
          <w:rFonts w:eastAsia="Times New Roman" w:cs="Times New Roman" w:ascii="Times New Roman" w:hAnsi="Times New Roman"/>
          <w:color w:val="000000"/>
          <w:sz w:val="26"/>
          <w:szCs w:val="26"/>
          <w:shd w:fill="FFFFFF" w:val="clear"/>
          <w:lang w:eastAsia="ru-RU"/>
        </w:rPr>
        <w:t xml:space="preserve"> Получить разрешение </w:t>
      </w:r>
      <w:r>
        <w:rPr>
          <w:rFonts w:cs="Times New Roman" w:ascii="Times New Roman" w:hAnsi="Times New Roman"/>
          <w:color w:val="000000"/>
          <w:sz w:val="26"/>
          <w:szCs w:val="26"/>
          <w:shd w:fill="FFFFFF" w:val="clear"/>
        </w:rPr>
        <w:t>федерального органа исполнительной власти, осуществляющего федеральный</w:t>
      </w:r>
      <w:r>
        <w:rPr>
          <w:rFonts w:eastAsia="Times New Roman" w:cs="Times New Roman" w:ascii="Times New Roman" w:hAnsi="Times New Roman"/>
          <w:color w:val="000000"/>
          <w:sz w:val="26"/>
          <w:szCs w:val="26"/>
          <w:shd w:fill="FFFFFF" w:val="clear"/>
          <w:lang w:eastAsia="ru-RU"/>
        </w:rPr>
        <w:t xml:space="preserve"> государственный энергетический надзор,</w:t>
      </w:r>
      <w:r>
        <w:rPr>
          <w:rFonts w:cs="Times New Roman" w:ascii="Times New Roman" w:hAnsi="Times New Roman"/>
          <w:color w:val="000000"/>
          <w:sz w:val="26"/>
          <w:szCs w:val="26"/>
          <w:shd w:fill="FFFFFF" w:val="clear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6"/>
          <w:szCs w:val="26"/>
          <w:shd w:fill="FFFFFF" w:val="clear"/>
          <w:lang w:eastAsia="ru-RU"/>
        </w:rPr>
        <w:t>на допуск в эксплуатацию объектов электросетевого хозяйства Заявителя.</w:t>
      </w:r>
    </w:p>
    <w:p>
      <w:pPr>
        <w:pStyle w:val="ListParagraph"/>
        <w:widowControl w:val="false"/>
        <w:tabs>
          <w:tab w:val="left" w:pos="1176" w:leader="none"/>
        </w:tabs>
        <w:spacing w:lineRule="auto" w:line="240" w:before="0" w:after="0"/>
        <w:ind w:left="609" w:hanging="0"/>
        <w:contextualSpacing/>
        <w:jc w:val="both"/>
        <w:rPr>
          <w:rFonts w:ascii="Times New Roman" w:hAnsi="Times New Roman" w:eastAsia="Times New Roman" w:cs="Times New Roman"/>
          <w:color w:val="000000"/>
          <w:sz w:val="26"/>
          <w:szCs w:val="26"/>
          <w:shd w:fill="FFFFFF" w:val="clear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shd w:fill="FFFFFF" w:val="clear"/>
          <w:lang w:eastAsia="ru-RU"/>
        </w:rPr>
      </w:r>
    </w:p>
    <w:p>
      <w:pPr>
        <w:pStyle w:val="Normal"/>
        <w:widowControl w:val="false"/>
        <w:tabs>
          <w:tab w:val="left" w:pos="-3240" w:leader="none"/>
        </w:tabs>
        <w:spacing w:lineRule="auto" w:line="228"/>
        <w:ind w:left="2268" w:hanging="1701"/>
        <w:jc w:val="both"/>
        <w:rPr>
          <w:rFonts w:ascii="Times New Roman" w:hAnsi="Times New Roman"/>
          <w:sz w:val="26"/>
          <w:szCs w:val="26"/>
        </w:rPr>
      </w:pPr>
      <w:r>
        <w:rPr>
          <w:color w:val="000000"/>
          <w:sz w:val="26"/>
          <w:szCs w:val="26"/>
          <w:shd w:fill="FFFFFF" w:val="clear"/>
        </w:rPr>
        <w:t xml:space="preserve"> </w:t>
      </w:r>
      <w:r>
        <w:rPr>
          <w:color w:val="000000"/>
          <w:sz w:val="26"/>
          <w:szCs w:val="26"/>
          <w:shd w:fill="FFFFFF" w:val="clear"/>
        </w:rPr>
        <w:t>Приложение:</w:t>
        <w:tab/>
        <w:t>Пояснительная схема присоединения энергопринимающих устройств Заявителя к электрическим сетям на 1 л. в 1 экз.</w:t>
      </w:r>
    </w:p>
    <w:p>
      <w:pPr>
        <w:sectPr>
          <w:headerReference w:type="default" r:id="rId2"/>
          <w:type w:val="nextPage"/>
          <w:pgSz w:w="11906" w:h="16838"/>
          <w:pgMar w:left="992" w:right="709" w:header="709" w:top="851" w:footer="0" w:bottom="851" w:gutter="0"/>
          <w:pgNumType w:fmt="decimal"/>
          <w:formProt w:val="false"/>
          <w:titlePg/>
          <w:textDirection w:val="lrTb"/>
          <w:docGrid w:type="default" w:linePitch="360" w:charSpace="4294961151"/>
        </w:sectPr>
        <w:pStyle w:val="Normal"/>
        <w:widowControl w:val="false"/>
        <w:tabs>
          <w:tab w:val="left" w:pos="-3240" w:leader="none"/>
        </w:tabs>
        <w:spacing w:lineRule="auto" w:line="228"/>
        <w:ind w:left="2268" w:hanging="1701"/>
        <w:jc w:val="both"/>
        <w:rPr>
          <w:rFonts w:ascii="Times New Roman" w:hAnsi="Times New Roman"/>
          <w:sz w:val="26"/>
          <w:szCs w:val="26"/>
          <w:shd w:fill="FFFFFF" w:val="clear"/>
        </w:rPr>
      </w:pPr>
      <w:r>
        <w:rPr>
          <w:sz w:val="26"/>
          <w:szCs w:val="26"/>
          <w:shd w:fill="FFFFFF" w:val="clear"/>
        </w:rPr>
      </w:r>
    </w:p>
    <w:tbl>
      <w:tblPr>
        <w:tblStyle w:val="af2"/>
        <w:tblW w:w="9486" w:type="dxa"/>
        <w:jc w:val="left"/>
        <w:tblInd w:w="0" w:type="dxa"/>
        <w:tblCellMar>
          <w:top w:w="0" w:type="dxa"/>
          <w:left w:w="17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9486"/>
      </w:tblGrid>
      <w:tr>
        <w:trPr/>
        <w:tc>
          <w:tcPr>
            <w:tcW w:w="94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jc w:val="right"/>
              <w:rPr/>
            </w:pPr>
            <w:r>
              <w:rPr>
                <w:shd w:fill="FFFFFF" w:val="clear"/>
              </w:rPr>
              <w:t>Приложение к техническим условиям</w:t>
            </w:r>
          </w:p>
          <w:p>
            <w:pPr>
              <w:pStyle w:val="Normal"/>
              <w:widowControl w:val="false"/>
              <w:spacing w:before="0" w:after="0"/>
              <w:jc w:val="right"/>
              <w:rPr>
                <w:highlight w:val="white"/>
              </w:rPr>
            </w:pPr>
            <w:r>
              <w:rPr>
                <w:shd w:fill="FFFFFF" w:val="clear"/>
              </w:rPr>
              <w:t>от ______________ №______________</w:t>
            </w:r>
          </w:p>
        </w:tc>
      </w:tr>
    </w:tbl>
    <w:p>
      <w:pPr>
        <w:pStyle w:val="Normal"/>
        <w:jc w:val="center"/>
        <w:rPr>
          <w:color w:val="000000"/>
          <w:shd w:fill="FFFFFF" w:val="clear"/>
        </w:rPr>
      </w:pPr>
      <w:r>
        <w:rPr>
          <w:color w:val="000000"/>
          <w:shd w:fill="FFFFFF" w:val="clear"/>
        </w:rPr>
      </w:r>
    </w:p>
    <w:p>
      <w:pPr>
        <w:pStyle w:val="Normal"/>
        <w:jc w:val="center"/>
        <w:rPr>
          <w:highlight w:val="white"/>
        </w:rPr>
      </w:pPr>
      <w:bookmarkStart w:id="2" w:name="_MON_1717934096"/>
      <w:bookmarkEnd w:id="2"/>
      <w:r>
        <w:rPr>
          <w:color w:val="000000"/>
          <w:shd w:fill="FFFFFF" w:val="clear"/>
        </w:rPr>
        <w:t>Пояснительная схема присоединения энергопринимающих устройств Заявителя к электрическим сетям</w:t>
      </w:r>
    </w:p>
    <w:p>
      <w:pPr>
        <w:pStyle w:val="Normal"/>
        <w:ind w:left="-851" w:right="283" w:hanging="0"/>
        <w:rPr/>
      </w:pPr>
      <w:r>
        <w:rPr/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posOffset>2054860</wp:posOffset>
            </wp:positionH>
            <wp:positionV relativeFrom="paragraph">
              <wp:posOffset>688975</wp:posOffset>
            </wp:positionV>
            <wp:extent cx="1952625" cy="3810000"/>
            <wp:effectExtent l="0" t="0" r="0" b="0"/>
            <wp:wrapSquare wrapText="largest"/>
            <wp:docPr id="1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headerReference w:type="default" r:id="rId4"/>
      <w:headerReference w:type="first" r:id="rId5"/>
      <w:footerReference w:type="default" r:id="rId6"/>
      <w:type w:val="nextPage"/>
      <w:pgSz w:w="11906" w:h="16838"/>
      <w:pgMar w:left="1134" w:right="850" w:header="708" w:top="1134" w:footer="708" w:bottom="1134" w:gutter="0"/>
      <w:pgNumType w:fmt="decimal"/>
      <w:formProt w:val="false"/>
      <w:titlePg/>
      <w:textDirection w:val="lrTb"/>
      <w:docGrid w:type="default" w:linePitch="36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  <w:font w:name="Courier New">
    <w:charset w:val="01"/>
    <w:family w:val="roman"/>
    <w:pitch w:val="variable"/>
  </w:font>
  <w:font w:name="Arial Narrow">
    <w:charset w:val="01"/>
    <w:family w:val="roman"/>
    <w:pitch w:val="variable"/>
  </w:font>
  <w:font w:name="Tahoma">
    <w:charset w:val="01"/>
    <w:family w:val="roman"/>
    <w:pitch w:val="variable"/>
  </w:font>
  <w:font w:name="Verdana">
    <w:charset w:val="01"/>
    <w:family w:val="roman"/>
    <w:pitch w:val="variable"/>
  </w:font>
  <w:font w:name="Cambria">
    <w:charset w:val="01"/>
    <w:family w:val="roman"/>
    <w:pitch w:val="variable"/>
  </w:font>
  <w:font w:name="Wingdings">
    <w:charset w:val="01"/>
    <w:family w:val="roman"/>
    <w:pitch w:val="variable"/>
  </w:font>
  <w:font w:name="Symbol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Calibri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tabs>
        <w:tab w:val="center" w:pos="5131" w:leader="none"/>
      </w:tabs>
      <w:rPr>
        <w:color w:val="000000"/>
        <w:sz w:val="16"/>
        <w:szCs w:val="16"/>
      </w:rPr>
    </w:pPr>
    <w:r>
      <w:rPr>
        <w:color w:val="000000"/>
        <w:sz w:val="16"/>
        <w:szCs w:val="16"/>
      </w:rPr>
      <w:t xml:space="preserve">Исп. Тыщук А.Д.  </w:t>
    </w:r>
  </w:p>
  <w:p>
    <w:pPr>
      <w:pStyle w:val="Normal"/>
      <w:tabs>
        <w:tab w:val="center" w:pos="5131" w:leader="none"/>
      </w:tabs>
      <w:rPr>
        <w:color w:val="000000"/>
        <w:sz w:val="16"/>
        <w:szCs w:val="16"/>
      </w:rPr>
    </w:pPr>
    <w:r>
      <w:rPr>
        <w:rFonts w:eastAsia="Wingdings" w:cs="Wingdings" w:ascii="Wingdings" w:hAnsi="Wingdings"/>
        <w:color w:val="000000"/>
        <w:sz w:val="16"/>
        <w:szCs w:val="16"/>
      </w:rPr>
      <w:t></w:t>
    </w:r>
    <w:r>
      <w:rPr>
        <w:color w:val="000000"/>
        <w:sz w:val="16"/>
        <w:szCs w:val="16"/>
      </w:rPr>
      <w:t xml:space="preserve"> </w:t>
    </w:r>
    <w:r>
      <w:rPr>
        <w:color w:val="000000"/>
        <w:sz w:val="16"/>
        <w:szCs w:val="16"/>
      </w:rPr>
      <w:t>8 (423) 22-11-317</w:t>
    </w:r>
  </w:p>
  <w:p>
    <w:pPr>
      <w:pStyle w:val="Normal"/>
      <w:tabs>
        <w:tab w:val="center" w:pos="5131" w:leader="none"/>
      </w:tabs>
      <w:rPr>
        <w:color w:val="000000"/>
        <w:sz w:val="16"/>
        <w:szCs w:val="16"/>
      </w:rPr>
    </w:pPr>
    <w:r>
      <w:rPr>
        <w:color w:val="000000"/>
        <w:sz w:val="16"/>
        <w:szCs w:val="16"/>
        <w:lang w:val="en-US"/>
      </w:rPr>
      <w:t>Tyschuk</w:t>
    </w:r>
    <w:r>
      <w:rPr>
        <w:color w:val="000000"/>
        <w:sz w:val="16"/>
        <w:szCs w:val="16"/>
      </w:rPr>
      <w:t>-</w:t>
    </w:r>
    <w:r>
      <w:rPr>
        <w:color w:val="000000"/>
        <w:sz w:val="16"/>
        <w:szCs w:val="16"/>
        <w:lang w:val="en-US"/>
      </w:rPr>
      <w:t>ad</w:t>
    </w:r>
    <w:r>
      <w:rPr>
        <w:color w:val="000000"/>
        <w:sz w:val="16"/>
        <w:szCs w:val="16"/>
      </w:rPr>
      <w:t xml:space="preserve">@ </w:t>
    </w:r>
    <w:r>
      <w:rPr>
        <w:color w:val="000000"/>
        <w:sz w:val="16"/>
        <w:szCs w:val="16"/>
        <w:lang w:val="en-US"/>
      </w:rPr>
      <w:t>prim</w:t>
    </w:r>
    <w:r>
      <w:rPr>
        <w:color w:val="000000"/>
        <w:sz w:val="16"/>
        <w:szCs w:val="16"/>
      </w:rPr>
      <w:t>.</w:t>
    </w:r>
    <w:r>
      <w:rPr>
        <w:color w:val="000000"/>
        <w:sz w:val="16"/>
        <w:szCs w:val="16"/>
        <w:lang w:val="en-US"/>
      </w:rPr>
      <w:t>drsk</w:t>
    </w:r>
    <w:r>
      <w:rPr>
        <w:color w:val="000000"/>
        <w:sz w:val="16"/>
        <w:szCs w:val="16"/>
      </w:rPr>
      <w:t>.</w:t>
    </w:r>
    <w:r>
      <w:rPr>
        <w:color w:val="000000"/>
        <w:sz w:val="16"/>
        <w:szCs w:val="16"/>
        <w:lang w:val="en-US"/>
      </w:rPr>
      <w:t>ru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Top of Page)"/>
        <w:docPartUnique w:val="true"/>
      </w:docPartObj>
      <w:id w:val="1665631777"/>
    </w:sdtPr>
    <w:sdtContent>
      <w:p>
        <w:pPr>
          <w:pStyle w:val="Style30"/>
          <w:jc w:val="center"/>
          <w:rPr/>
        </w:pPr>
        <w:r>
          <w:rPr/>
          <w:fldChar w:fldCharType="begin"/>
        </w:r>
        <w:r>
          <w:instrText> PAGE </w:instrText>
        </w:r>
        <w:r>
          <w:fldChar w:fldCharType="separate"/>
        </w:r>
        <w:r>
          <w:t>4</w:t>
        </w:r>
        <w:r>
          <w:fldChar w:fldCharType="end"/>
        </w:r>
      </w:p>
      <w:p>
        <w:pPr>
          <w:pStyle w:val="Style30"/>
          <w:rPr/>
        </w:pPr>
        <w:r>
          <w:rPr/>
        </w:r>
      </w:p>
    </w:sdtContent>
  </w:sdt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Top of Page)"/>
        <w:docPartUnique w:val="true"/>
      </w:docPartObj>
      <w:id w:val="1144858601"/>
    </w:sdtPr>
    <w:sdtContent>
      <w:p>
        <w:pPr>
          <w:pStyle w:val="Style30"/>
          <w:jc w:val="center"/>
          <w:rPr/>
        </w:pPr>
        <w:r>
          <w:rPr/>
          <w:fldChar w:fldCharType="begin"/>
        </w:r>
        <w:r>
          <w:instrText> PAGE </w:instrText>
        </w:r>
        <w:r>
          <w:fldChar w:fldCharType="separate"/>
        </w:r>
        <w:r>
          <w:t>0</w:t>
        </w:r>
        <w:r>
          <w:fldChar w:fldCharType="end"/>
        </w:r>
      </w:p>
      <w:p>
        <w:pPr>
          <w:pStyle w:val="Style30"/>
          <w:rPr/>
        </w:pPr>
        <w:r>
          <w:rPr/>
        </w:r>
      </w:p>
    </w:sdtContent>
  </w:sdt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suff w:val="space"/>
      <w:lvlText w:val="%1."/>
      <w:lvlJc w:val="left"/>
      <w:pPr>
        <w:ind w:left="1211" w:hanging="360"/>
      </w:pPr>
      <w:rPr>
        <w:sz w:val="26"/>
        <w:b/>
        <w:rFonts w:ascii="Times New Roman" w:hAnsi="Times New Roman"/>
      </w:rPr>
    </w:lvl>
    <w:lvl w:ilvl="1">
      <w:start w:val="1"/>
      <w:numFmt w:val="decimal"/>
      <w:suff w:val="space"/>
      <w:lvlText w:val="%1.%2."/>
      <w:lvlJc w:val="left"/>
      <w:pPr>
        <w:ind w:left="3977" w:hanging="432"/>
      </w:pPr>
      <w:rPr>
        <w:sz w:val="26"/>
        <w:b/>
        <w:rFonts w:ascii="Times New Roman" w:hAnsi="Times New Roman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sz w:val="24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lvl w:ilvl="0">
      <w:start w:val="1"/>
      <w:numFmt w:val="decimal"/>
      <w:lvlText w:val="%1."/>
      <w:lvlJc w:val="left"/>
      <w:pPr>
        <w:ind w:left="420" w:hanging="420"/>
      </w:pPr>
      <w:rPr>
        <w:b/>
      </w:rPr>
    </w:lvl>
    <w:lvl w:ilvl="1">
      <w:start w:val="1"/>
      <w:numFmt w:val="decimal"/>
      <w:suff w:val="space"/>
      <w:lvlText w:val="%1.%2."/>
      <w:lvlJc w:val="left"/>
      <w:pPr>
        <w:ind w:left="1287" w:hanging="720"/>
      </w:pPr>
      <w:rPr>
        <w:sz w:val="26"/>
        <w:b/>
        <w:rFonts w:ascii="Times New Roman" w:hAnsi="Times New Roman"/>
      </w:rPr>
    </w:lvl>
    <w:lvl w:ilvl="2">
      <w:start w:val="1"/>
      <w:numFmt w:val="decimal"/>
      <w:suff w:val="space"/>
      <w:lvlText w:val="%1.%2.%3."/>
      <w:lvlJc w:val="left"/>
      <w:pPr>
        <w:ind w:left="4265" w:hanging="720"/>
      </w:pPr>
      <w:rPr>
        <w:sz w:val="26"/>
        <w:b w:val="false"/>
        <w:rFonts w:ascii="Times New Roman" w:hAnsi="Times New Roman"/>
      </w:rPr>
    </w:lvl>
    <w:lvl w:ilvl="3">
      <w:start w:val="1"/>
      <w:numFmt w:val="decimal"/>
      <w:suff w:val="space"/>
      <w:lvlText w:val="%1.%2.%3.%4."/>
      <w:lvlJc w:val="left"/>
      <w:pPr>
        <w:ind w:left="1364" w:hanging="1080"/>
      </w:pPr>
      <w:rPr>
        <w:b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b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b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12"/>
  <w:embedSystemFonts/>
  <w:defaultTabStop w:val="708"/>
  <w:autoHyphenation w:val="fals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/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A"/>
      <w:sz w:val="24"/>
      <w:szCs w:val="24"/>
      <w:lang w:val="ru-RU" w:eastAsia="ru-RU" w:bidi="ar-SA"/>
    </w:rPr>
  </w:style>
  <w:style w:type="paragraph" w:styleId="1">
    <w:name w:val="Heading 1"/>
    <w:basedOn w:val="Normal"/>
    <w:qFormat/>
    <w:pPr>
      <w:keepNext w:val="true"/>
      <w:jc w:val="center"/>
      <w:outlineLvl w:val="0"/>
    </w:pPr>
    <w:rPr>
      <w:b/>
      <w:bCs/>
      <w:sz w:val="16"/>
    </w:rPr>
  </w:style>
  <w:style w:type="paragraph" w:styleId="2">
    <w:name w:val="Heading 2"/>
    <w:basedOn w:val="Normal"/>
    <w:qFormat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3">
    <w:name w:val="Heading 3"/>
    <w:basedOn w:val="Normal"/>
    <w:qFormat/>
    <w:pPr>
      <w:keepNext w:val="true"/>
      <w:tabs>
        <w:tab w:val="left" w:pos="360" w:leader="none"/>
      </w:tabs>
      <w:spacing w:lineRule="auto" w:line="240" w:before="240" w:after="60"/>
      <w:ind w:left="360" w:right="0" w:hanging="0"/>
      <w:outlineLvl w:val="2"/>
    </w:pPr>
    <w:rPr>
      <w:rFonts w:ascii="Arial" w:hAnsi="Arial" w:eastAsia="Times New Roman" w:cs="Arial"/>
      <w:b/>
      <w:bCs/>
      <w:sz w:val="26"/>
      <w:szCs w:val="26"/>
      <w:lang w:eastAsia="ru-RU"/>
    </w:rPr>
  </w:style>
  <w:style w:type="paragraph" w:styleId="4">
    <w:name w:val="Heading 4"/>
    <w:basedOn w:val="Style28"/>
    <w:qFormat/>
    <w:pPr>
      <w:outlineLvl w:val="3"/>
    </w:pPr>
    <w:rPr/>
  </w:style>
  <w:style w:type="paragraph" w:styleId="5">
    <w:name w:val="Heading 5"/>
    <w:basedOn w:val="Normal"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">
    <w:name w:val="Heading 6"/>
    <w:basedOn w:val="Normal"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">
    <w:name w:val="Heading 7"/>
    <w:basedOn w:val="Normal"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8">
    <w:name w:val="Heading 8"/>
    <w:basedOn w:val="Normal"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9">
    <w:name w:val="Heading 9"/>
    <w:basedOn w:val="Normal"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5" w:customStyle="1">
    <w:name w:val="Интернет-ссылка"/>
    <w:rPr>
      <w:color w:val="0000FF"/>
      <w:u w:val="single"/>
    </w:rPr>
  </w:style>
  <w:style w:type="character" w:styleId="Style6" w:customStyle="1">
    <w:name w:val="Нижний колонтитул Знак"/>
    <w:qFormat/>
    <w:rsid w:val="005b3b56"/>
    <w:rPr>
      <w:sz w:val="24"/>
      <w:szCs w:val="24"/>
    </w:rPr>
  </w:style>
  <w:style w:type="character" w:styleId="Style7" w:customStyle="1">
    <w:name w:val="Верхний колонтитул Знак"/>
    <w:uiPriority w:val="99"/>
    <w:qFormat/>
    <w:rsid w:val="00cf4d14"/>
    <w:rPr/>
  </w:style>
  <w:style w:type="character" w:styleId="ConsPlusNonformat" w:customStyle="1">
    <w:name w:val="ConsPlusNonformat Знак"/>
    <w:qFormat/>
    <w:locked/>
    <w:rsid w:val="003b3dac"/>
    <w:rPr>
      <w:rFonts w:ascii="Courier New" w:hAnsi="Courier New" w:cs="Courier New"/>
    </w:rPr>
  </w:style>
  <w:style w:type="character" w:styleId="FontStyle15" w:customStyle="1">
    <w:name w:val="Font Style15"/>
    <w:qFormat/>
    <w:rsid w:val="003b3dac"/>
    <w:rPr>
      <w:rFonts w:ascii="Arial Narrow" w:hAnsi="Arial Narrow" w:cs="Arial Narrow"/>
      <w:sz w:val="22"/>
      <w:szCs w:val="22"/>
    </w:rPr>
  </w:style>
  <w:style w:type="character" w:styleId="Style8">
    <w:name w:val="Текст сноски Знак"/>
    <w:basedOn w:val="DefaultParagraphFont"/>
    <w:qFormat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9">
    <w:name w:val="Символ сноски"/>
    <w:qFormat/>
    <w:rPr>
      <w:rFonts w:cs="Times New Roman"/>
      <w:vertAlign w:val="superscript"/>
    </w:rPr>
  </w:style>
  <w:style w:type="character" w:styleId="Style10">
    <w:name w:val="Привязка сноски"/>
    <w:rPr>
      <w:rFonts w:cs="Times New Roman"/>
      <w:vertAlign w:val="superscript"/>
    </w:rPr>
  </w:style>
  <w:style w:type="character" w:styleId="Style11">
    <w:name w:val="Текст концевой сноски Знак"/>
    <w:basedOn w:val="DefaultParagraphFont"/>
    <w:qFormat/>
    <w:rPr>
      <w:sz w:val="20"/>
      <w:szCs w:val="20"/>
    </w:rPr>
  </w:style>
  <w:style w:type="character" w:styleId="Style12">
    <w:name w:val="Символ концевой сноски"/>
    <w:qFormat/>
    <w:rPr>
      <w:vertAlign w:val="superscript"/>
    </w:rPr>
  </w:style>
  <w:style w:type="character" w:styleId="Style13">
    <w:name w:val="Привязка концевой сноски"/>
    <w:rPr>
      <w:vertAlign w:val="superscript"/>
    </w:rPr>
  </w:style>
  <w:style w:type="character" w:styleId="Style14">
    <w:name w:val="Текст примечания Знак"/>
    <w:basedOn w:val="DefaultParagraphFont"/>
    <w:qFormat/>
    <w:rPr>
      <w:rFonts w:ascii="Times New Roman" w:hAnsi="Times New Roman"/>
      <w:sz w:val="20"/>
      <w:szCs w:val="20"/>
    </w:rPr>
  </w:style>
  <w:style w:type="character" w:styleId="Style15">
    <w:name w:val="Текст выноски Знак"/>
    <w:basedOn w:val="DefaultParagraphFont"/>
    <w:qFormat/>
    <w:rPr>
      <w:rFonts w:ascii="Tahoma" w:hAnsi="Tahoma" w:cs="Tahoma"/>
      <w:sz w:val="16"/>
      <w:szCs w:val="16"/>
    </w:rPr>
  </w:style>
  <w:style w:type="character" w:styleId="Annotationreference">
    <w:name w:val="annotation reference"/>
    <w:basedOn w:val="DefaultParagraphFont"/>
    <w:qFormat/>
    <w:rPr>
      <w:sz w:val="16"/>
      <w:szCs w:val="16"/>
    </w:rPr>
  </w:style>
  <w:style w:type="character" w:styleId="Style16">
    <w:name w:val="Тема примечания Знак"/>
    <w:basedOn w:val="Style14"/>
    <w:qFormat/>
    <w:rPr>
      <w:rFonts w:ascii="Times New Roman" w:hAnsi="Times New Roman"/>
      <w:b/>
      <w:bCs/>
      <w:sz w:val="20"/>
      <w:szCs w:val="20"/>
    </w:rPr>
  </w:style>
  <w:style w:type="character" w:styleId="Webofficeattributevalue1">
    <w:name w:val="webofficeattributevalue1"/>
    <w:basedOn w:val="DefaultParagraphFont"/>
    <w:qFormat/>
    <w:rPr>
      <w:rFonts w:ascii="Verdana" w:hAnsi="Verdana"/>
      <w:strike w:val="false"/>
      <w:dstrike w:val="false"/>
      <w:color w:val="000000"/>
      <w:sz w:val="18"/>
      <w:szCs w:val="18"/>
      <w:u w:val="none"/>
      <w:effect w:val="none"/>
    </w:rPr>
  </w:style>
  <w:style w:type="character" w:styleId="31">
    <w:name w:val="Заголовок 3 Знак"/>
    <w:basedOn w:val="DefaultParagraphFont"/>
    <w:qFormat/>
    <w:rPr>
      <w:rFonts w:ascii="Arial" w:hAnsi="Arial" w:eastAsia="Times New Roman" w:cs="Arial"/>
      <w:b/>
      <w:bCs/>
      <w:sz w:val="26"/>
      <w:szCs w:val="26"/>
      <w:lang w:eastAsia="ru-RU"/>
    </w:rPr>
  </w:style>
  <w:style w:type="character" w:styleId="Style17">
    <w:name w:val="Основной текст с отступом Знак"/>
    <w:basedOn w:val="DefaultParagraphFont"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11">
    <w:name w:val="Заголовок 1 Знак"/>
    <w:basedOn w:val="DefaultParagraphFont"/>
    <w:qFormat/>
    <w:rPr>
      <w:rFonts w:ascii="Cambria" w:hAnsi="Cambria" w:eastAsia="Times New Roman" w:cs="Times New Roman"/>
      <w:color w:val="365F91"/>
      <w:sz w:val="32"/>
      <w:szCs w:val="32"/>
    </w:rPr>
  </w:style>
  <w:style w:type="character" w:styleId="Style18">
    <w:name w:val="Основной текст Знак"/>
    <w:basedOn w:val="DefaultParagraphFont"/>
    <w:qFormat/>
    <w:rPr>
      <w:rFonts w:ascii="Times New Roman" w:hAnsi="Times New Roman" w:eastAsia="Calibri" w:cs="Times New Roman"/>
      <w:sz w:val="26"/>
      <w:szCs w:val="26"/>
      <w:lang w:eastAsia="ru-RU"/>
    </w:rPr>
  </w:style>
  <w:style w:type="character" w:styleId="Style19">
    <w:name w:val="Абзац списка Знак"/>
    <w:qFormat/>
    <w:rPr/>
  </w:style>
  <w:style w:type="character" w:styleId="FollowedHyperlink">
    <w:name w:val="FollowedHyperlink"/>
    <w:qFormat/>
    <w:rPr>
      <w:color w:val="800000"/>
      <w:u w:val="single"/>
      <w:lang w:val="zxx" w:eastAsia="zxx" w:bidi="zxx"/>
    </w:rPr>
  </w:style>
  <w:style w:type="character" w:styleId="Style20">
    <w:name w:val="Символ нумерации"/>
    <w:qFormat/>
    <w:rPr/>
  </w:style>
  <w:style w:type="character" w:styleId="Footnotereference1">
    <w:name w:val="footnote reference1"/>
    <w:qFormat/>
    <w:rPr>
      <w:rFonts w:cs="Times New Roman"/>
      <w:vertAlign w:val="superscript"/>
    </w:rPr>
  </w:style>
  <w:style w:type="character" w:styleId="Endnotereference1">
    <w:name w:val="endnote reference1"/>
    <w:basedOn w:val="DefaultParagraphFont"/>
    <w:qFormat/>
    <w:rPr>
      <w:vertAlign w:val="superscript"/>
    </w:rPr>
  </w:style>
  <w:style w:type="character" w:styleId="Style21">
    <w:name w:val="Выделение"/>
    <w:qFormat/>
    <w:rPr>
      <w:i/>
      <w:iCs/>
    </w:rPr>
  </w:style>
  <w:style w:type="character" w:styleId="Style22">
    <w:name w:val="Основной шрифт абзаца"/>
    <w:qFormat/>
    <w:rPr/>
  </w:style>
  <w:style w:type="character" w:styleId="WW8Num17z0">
    <w:name w:val="WW8Num17z0"/>
    <w:qFormat/>
    <w:rPr>
      <w:spacing w:val="2"/>
      <w:sz w:val="26"/>
      <w:szCs w:val="26"/>
    </w:rPr>
  </w:style>
  <w:style w:type="character" w:styleId="WW8Num16z2">
    <w:name w:val="WW8Num16z2"/>
    <w:qFormat/>
    <w:rPr>
      <w:rFonts w:ascii="Wingdings" w:hAnsi="Wingdings" w:cs="Wingdings"/>
    </w:rPr>
  </w:style>
  <w:style w:type="character" w:styleId="WW8Num16z1">
    <w:name w:val="WW8Num16z1"/>
    <w:qFormat/>
    <w:rPr>
      <w:rFonts w:ascii="Courier New" w:hAnsi="Courier New" w:cs="Courier New"/>
    </w:rPr>
  </w:style>
  <w:style w:type="character" w:styleId="WW8Num16z0">
    <w:name w:val="WW8Num16z0"/>
    <w:qFormat/>
    <w:rPr>
      <w:rFonts w:ascii="Symbol" w:hAnsi="Symbol" w:cs="Symbol"/>
    </w:rPr>
  </w:style>
  <w:style w:type="character" w:styleId="WW8Num15z0">
    <w:name w:val="WW8Num15z0"/>
    <w:qFormat/>
    <w:rPr/>
  </w:style>
  <w:style w:type="character" w:styleId="WW8Num14z3">
    <w:name w:val="WW8Num14z3"/>
    <w:qFormat/>
    <w:rPr/>
  </w:style>
  <w:style w:type="character" w:styleId="WW8Num14z1">
    <w:name w:val="WW8Num14z1"/>
    <w:qFormat/>
    <w:rPr>
      <w:b w:val="false"/>
    </w:rPr>
  </w:style>
  <w:style w:type="character" w:styleId="WW8Num14z0">
    <w:name w:val="WW8Num14z0"/>
    <w:qFormat/>
    <w:rPr>
      <w:b/>
    </w:rPr>
  </w:style>
  <w:style w:type="character" w:styleId="WW8Num13z2">
    <w:name w:val="WW8Num13z2"/>
    <w:qFormat/>
    <w:rPr>
      <w:b w:val="false"/>
    </w:rPr>
  </w:style>
  <w:style w:type="character" w:styleId="WW8Num13z0">
    <w:name w:val="WW8Num13z0"/>
    <w:qFormat/>
    <w:rPr>
      <w:b/>
    </w:rPr>
  </w:style>
  <w:style w:type="character" w:styleId="WW8Num12z0">
    <w:name w:val="WW8Num12z0"/>
    <w:qFormat/>
    <w:rPr>
      <w:sz w:val="26"/>
      <w:szCs w:val="26"/>
    </w:rPr>
  </w:style>
  <w:style w:type="character" w:styleId="WW8Num11z3">
    <w:name w:val="WW8Num11z3"/>
    <w:qFormat/>
    <w:rPr>
      <w:rFonts w:cs="Times New Roman"/>
    </w:rPr>
  </w:style>
  <w:style w:type="character" w:styleId="WW8Num11z2">
    <w:name w:val="WW8Num11z2"/>
    <w:qFormat/>
    <w:rPr>
      <w:rFonts w:cs="Times New Roman"/>
      <w:b w:val="false"/>
      <w:sz w:val="26"/>
      <w:szCs w:val="26"/>
    </w:rPr>
  </w:style>
  <w:style w:type="character" w:styleId="WW8Num11z1">
    <w:name w:val="WW8Num11z1"/>
    <w:qFormat/>
    <w:rPr>
      <w:rFonts w:cs="Times New Roman"/>
      <w:sz w:val="26"/>
      <w:szCs w:val="26"/>
    </w:rPr>
  </w:style>
  <w:style w:type="character" w:styleId="WW8Num11z0">
    <w:name w:val="WW8Num11z0"/>
    <w:qFormat/>
    <w:rPr>
      <w:rFonts w:cs="Times New Roman"/>
      <w:b/>
    </w:rPr>
  </w:style>
  <w:style w:type="character" w:styleId="WW8Num10z0">
    <w:name w:val="WW8Num10z0"/>
    <w:qFormat/>
    <w:rPr>
      <w:sz w:val="26"/>
      <w:szCs w:val="26"/>
    </w:rPr>
  </w:style>
  <w:style w:type="character" w:styleId="WW8Num9z8">
    <w:name w:val="WW8Num9z8"/>
    <w:qFormat/>
    <w:rPr/>
  </w:style>
  <w:style w:type="character" w:styleId="WW8Num9z7">
    <w:name w:val="WW8Num9z7"/>
    <w:qFormat/>
    <w:rPr/>
  </w:style>
  <w:style w:type="character" w:styleId="WW8Num9z6">
    <w:name w:val="WW8Num9z6"/>
    <w:qFormat/>
    <w:rPr/>
  </w:style>
  <w:style w:type="character" w:styleId="WW8Num9z5">
    <w:name w:val="WW8Num9z5"/>
    <w:qFormat/>
    <w:rPr/>
  </w:style>
  <w:style w:type="character" w:styleId="WW8Num9z4">
    <w:name w:val="WW8Num9z4"/>
    <w:qFormat/>
    <w:rPr/>
  </w:style>
  <w:style w:type="character" w:styleId="WW8Num9z3">
    <w:name w:val="WW8Num9z3"/>
    <w:qFormat/>
    <w:rPr/>
  </w:style>
  <w:style w:type="character" w:styleId="WW8Num9z2">
    <w:name w:val="WW8Num9z2"/>
    <w:qFormat/>
    <w:rPr/>
  </w:style>
  <w:style w:type="character" w:styleId="WW8Num9z1">
    <w:name w:val="WW8Num9z1"/>
    <w:qFormat/>
    <w:rPr/>
  </w:style>
  <w:style w:type="character" w:styleId="WW8Num9z0">
    <w:name w:val="WW8Num9z0"/>
    <w:qFormat/>
    <w:rPr>
      <w:b/>
      <w:sz w:val="26"/>
    </w:rPr>
  </w:style>
  <w:style w:type="character" w:styleId="WW8Num8z1">
    <w:name w:val="WW8Num8z1"/>
    <w:qFormat/>
    <w:rPr/>
  </w:style>
  <w:style w:type="character" w:styleId="WW8Num8z0">
    <w:name w:val="WW8Num8z0"/>
    <w:qFormat/>
    <w:rPr>
      <w:b/>
    </w:rPr>
  </w:style>
  <w:style w:type="character" w:styleId="WW8Num7z0">
    <w:name w:val="WW8Num7z0"/>
    <w:qFormat/>
    <w:rPr/>
  </w:style>
  <w:style w:type="character" w:styleId="WW8Num6z0">
    <w:name w:val="WW8Num6z0"/>
    <w:qFormat/>
    <w:rPr/>
  </w:style>
  <w:style w:type="character" w:styleId="WW8Num5z2">
    <w:name w:val="WW8Num5z2"/>
    <w:qFormat/>
    <w:rPr>
      <w:rFonts w:cs="Courier New"/>
    </w:rPr>
  </w:style>
  <w:style w:type="character" w:styleId="WW8Num5z0">
    <w:name w:val="WW8Num5z0"/>
    <w:qFormat/>
    <w:rPr>
      <w:rFonts w:cs="Times New Roman"/>
    </w:rPr>
  </w:style>
  <w:style w:type="character" w:styleId="WW8Num4z2">
    <w:name w:val="WW8Num4z2"/>
    <w:qFormat/>
    <w:rPr>
      <w:rFonts w:ascii="Times New Roman" w:hAnsi="Times New Roman" w:eastAsia="Times New Roman" w:cs="Times New Roman"/>
      <w:b w:val="false"/>
      <w:sz w:val="28"/>
      <w:szCs w:val="28"/>
      <w:lang w:eastAsia="ru-RU"/>
    </w:rPr>
  </w:style>
  <w:style w:type="character" w:styleId="WW8Num4z1">
    <w:name w:val="WW8Num4z1"/>
    <w:qFormat/>
    <w:rPr>
      <w:rFonts w:ascii="Times New Roman" w:hAnsi="Times New Roman" w:eastAsia="Times New Roman" w:cs="Times New Roman"/>
      <w:b/>
      <w:bCs/>
      <w:sz w:val="28"/>
      <w:szCs w:val="28"/>
      <w:lang w:eastAsia="ru-RU"/>
    </w:rPr>
  </w:style>
  <w:style w:type="character" w:styleId="WW8Num4z0">
    <w:name w:val="WW8Num4z0"/>
    <w:qFormat/>
    <w:rPr>
      <w:b/>
    </w:rPr>
  </w:style>
  <w:style w:type="character" w:styleId="WW8Num3z8">
    <w:name w:val="WW8Num3z8"/>
    <w:qFormat/>
    <w:rPr/>
  </w:style>
  <w:style w:type="character" w:styleId="WW8Num3z7">
    <w:name w:val="WW8Num3z7"/>
    <w:qFormat/>
    <w:rPr/>
  </w:style>
  <w:style w:type="character" w:styleId="WW8Num3z6">
    <w:name w:val="WW8Num3z6"/>
    <w:qFormat/>
    <w:rPr/>
  </w:style>
  <w:style w:type="character" w:styleId="WW8Num3z5">
    <w:name w:val="WW8Num3z5"/>
    <w:qFormat/>
    <w:rPr/>
  </w:style>
  <w:style w:type="character" w:styleId="WW8Num3z4">
    <w:name w:val="WW8Num3z4"/>
    <w:qFormat/>
    <w:rPr/>
  </w:style>
  <w:style w:type="character" w:styleId="WW8Num3z3">
    <w:name w:val="WW8Num3z3"/>
    <w:qFormat/>
    <w:rPr/>
  </w:style>
  <w:style w:type="character" w:styleId="WW8Num3z2">
    <w:name w:val="WW8Num3z2"/>
    <w:qFormat/>
    <w:rPr>
      <w:b w:val="false"/>
    </w:rPr>
  </w:style>
  <w:style w:type="character" w:styleId="WW8Num3z0">
    <w:name w:val="WW8Num3z0"/>
    <w:qFormat/>
    <w:rPr>
      <w:rFonts w:ascii="Times New Roman" w:hAnsi="Times New Roman" w:eastAsia="Times New Roman" w:cs="Times New Roman"/>
      <w:b/>
      <w:bCs/>
      <w:sz w:val="28"/>
      <w:szCs w:val="28"/>
      <w:lang w:eastAsia="ru-RU"/>
    </w:rPr>
  </w:style>
  <w:style w:type="character" w:styleId="WW8Num2z2">
    <w:name w:val="WW8Num2z2"/>
    <w:qFormat/>
    <w:rPr>
      <w:rFonts w:ascii="Wingdings" w:hAnsi="Wingdings" w:cs="Wingdings"/>
    </w:rPr>
  </w:style>
  <w:style w:type="character" w:styleId="WW8Num2z1">
    <w:name w:val="WW8Num2z1"/>
    <w:qFormat/>
    <w:rPr>
      <w:rFonts w:ascii="Courier New" w:hAnsi="Courier New" w:cs="Courier New"/>
    </w:rPr>
  </w:style>
  <w:style w:type="character" w:styleId="WW8Num2z0">
    <w:name w:val="WW8Num2z0"/>
    <w:qFormat/>
    <w:rPr>
      <w:rFonts w:ascii="Symbol" w:hAnsi="Symbol" w:eastAsia="Times New Roman" w:cs="Symbol"/>
      <w:color w:val="000000"/>
      <w:sz w:val="28"/>
      <w:szCs w:val="28"/>
      <w:lang w:eastAsia="ru-RU"/>
    </w:rPr>
  </w:style>
  <w:style w:type="character" w:styleId="WW8Num1z8">
    <w:name w:val="WW8Num1z8"/>
    <w:qFormat/>
    <w:rPr/>
  </w:style>
  <w:style w:type="character" w:styleId="WW8Num1z7">
    <w:name w:val="WW8Num1z7"/>
    <w:qFormat/>
    <w:rPr/>
  </w:style>
  <w:style w:type="character" w:styleId="WW8Num1z6">
    <w:name w:val="WW8Num1z6"/>
    <w:qFormat/>
    <w:rPr/>
  </w:style>
  <w:style w:type="character" w:styleId="WW8Num1z5">
    <w:name w:val="WW8Num1z5"/>
    <w:qFormat/>
    <w:rPr/>
  </w:style>
  <w:style w:type="character" w:styleId="WW8Num1z4">
    <w:name w:val="WW8Num1z4"/>
    <w:qFormat/>
    <w:rPr/>
  </w:style>
  <w:style w:type="character" w:styleId="WW8Num1z3">
    <w:name w:val="WW8Num1z3"/>
    <w:qFormat/>
    <w:rPr/>
  </w:style>
  <w:style w:type="character" w:styleId="WW8Num1z2">
    <w:name w:val="WW8Num1z2"/>
    <w:qFormat/>
    <w:rPr/>
  </w:style>
  <w:style w:type="character" w:styleId="WW8Num1z1">
    <w:name w:val="WW8Num1z1"/>
    <w:qFormat/>
    <w:rPr/>
  </w:style>
  <w:style w:type="character" w:styleId="WW8Num1z0">
    <w:name w:val="WW8Num1z0"/>
    <w:qFormat/>
    <w:rPr/>
  </w:style>
  <w:style w:type="character" w:styleId="FollowedHyperlink3">
    <w:name w:val="FollowedHyperlink3"/>
    <w:qFormat/>
    <w:rPr>
      <w:color w:val="800000"/>
      <w:u w:val="single"/>
      <w:lang w:val="zxx" w:eastAsia="zxx" w:bidi="zxx"/>
    </w:rPr>
  </w:style>
  <w:style w:type="character" w:styleId="FollowedHyperlink2">
    <w:name w:val="FollowedHyperlink2"/>
    <w:qFormat/>
    <w:rPr>
      <w:color w:val="800000"/>
      <w:u w:val="single"/>
      <w:lang w:val="zxx" w:eastAsia="zxx" w:bidi="zxx"/>
    </w:rPr>
  </w:style>
  <w:style w:type="character" w:styleId="FollowedHyperlink1">
    <w:name w:val="FollowedHyperlink1"/>
    <w:qFormat/>
    <w:rPr>
      <w:color w:val="800000"/>
      <w:u w:val="single"/>
      <w:lang w:val="zxx" w:eastAsia="zxx" w:bidi="zxx"/>
    </w:rPr>
  </w:style>
  <w:style w:type="character" w:styleId="FollowedHyperlink11">
    <w:name w:val="FollowedHyperlink11"/>
    <w:qFormat/>
    <w:rPr>
      <w:color w:val="800000"/>
      <w:u w:val="single"/>
      <w:lang w:val="zxx" w:eastAsia="zxx" w:bidi="zxx"/>
    </w:rPr>
  </w:style>
  <w:style w:type="character" w:styleId="Footnotereference2">
    <w:name w:val="footnote reference2"/>
    <w:qFormat/>
    <w:rPr>
      <w:rFonts w:cs="Times New Roman"/>
      <w:vertAlign w:val="superscript"/>
    </w:rPr>
  </w:style>
  <w:style w:type="character" w:styleId="Endnotereference2">
    <w:name w:val="endnote reference2"/>
    <w:basedOn w:val="DefaultParagraphFont"/>
    <w:qFormat/>
    <w:rPr>
      <w:vertAlign w:val="superscript"/>
    </w:rPr>
  </w:style>
  <w:style w:type="character" w:styleId="EndnoteTextChar">
    <w:name w:val="Endnote Text Char"/>
    <w:qFormat/>
    <w:rPr>
      <w:sz w:val="20"/>
    </w:rPr>
  </w:style>
  <w:style w:type="character" w:styleId="FootnoteTextChar">
    <w:name w:val="Footnote Text Char"/>
    <w:qFormat/>
    <w:rPr>
      <w:sz w:val="18"/>
    </w:rPr>
  </w:style>
  <w:style w:type="character" w:styleId="CaptionChar">
    <w:name w:val="Caption Char"/>
    <w:qFormat/>
    <w:rPr/>
  </w:style>
  <w:style w:type="character" w:styleId="FooterChar">
    <w:name w:val="Footer Char"/>
    <w:basedOn w:val="DefaultParagraphFont"/>
    <w:qFormat/>
    <w:rPr/>
  </w:style>
  <w:style w:type="character" w:styleId="HeaderChar">
    <w:name w:val="Header Char"/>
    <w:basedOn w:val="DefaultParagraphFont"/>
    <w:qFormat/>
    <w:rPr/>
  </w:style>
  <w:style w:type="character" w:styleId="IntenseQuoteChar">
    <w:name w:val="Intense Quote Char"/>
    <w:qFormat/>
    <w:rPr>
      <w:i/>
    </w:rPr>
  </w:style>
  <w:style w:type="character" w:styleId="QuoteChar">
    <w:name w:val="Quote Char"/>
    <w:qFormat/>
    <w:rPr>
      <w:i/>
    </w:rPr>
  </w:style>
  <w:style w:type="character" w:styleId="SubtitleChar">
    <w:name w:val="Subtitle Char"/>
    <w:basedOn w:val="DefaultParagraphFont"/>
    <w:qFormat/>
    <w:rPr>
      <w:sz w:val="24"/>
      <w:szCs w:val="24"/>
    </w:rPr>
  </w:style>
  <w:style w:type="character" w:styleId="TitleChar">
    <w:name w:val="Title Char"/>
    <w:basedOn w:val="DefaultParagraphFont"/>
    <w:qFormat/>
    <w:rPr>
      <w:sz w:val="48"/>
      <w:szCs w:val="48"/>
    </w:rPr>
  </w:style>
  <w:style w:type="character" w:styleId="Heading9Char">
    <w:name w:val="Heading 9 Char"/>
    <w:basedOn w:val="DefaultParagraphFont"/>
    <w:qFormat/>
    <w:rPr>
      <w:rFonts w:ascii="Arial" w:hAnsi="Arial" w:eastAsia="Arial" w:cs="Arial"/>
      <w:i/>
      <w:iCs/>
      <w:sz w:val="21"/>
      <w:szCs w:val="21"/>
    </w:rPr>
  </w:style>
  <w:style w:type="character" w:styleId="Heading8Char">
    <w:name w:val="Heading 8 Char"/>
    <w:basedOn w:val="DefaultParagraphFont"/>
    <w:qFormat/>
    <w:rPr>
      <w:rFonts w:ascii="Arial" w:hAnsi="Arial" w:eastAsia="Arial" w:cs="Arial"/>
      <w:i/>
      <w:iCs/>
      <w:sz w:val="22"/>
      <w:szCs w:val="22"/>
    </w:rPr>
  </w:style>
  <w:style w:type="character" w:styleId="Heading7Char">
    <w:name w:val="Heading 7 Char"/>
    <w:basedOn w:val="DefaultParagraphFont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6Char">
    <w:name w:val="Heading 6 Char"/>
    <w:basedOn w:val="DefaultParagraphFont"/>
    <w:qFormat/>
    <w:rPr>
      <w:rFonts w:ascii="Arial" w:hAnsi="Arial" w:eastAsia="Arial" w:cs="Arial"/>
      <w:b/>
      <w:bCs/>
      <w:sz w:val="22"/>
      <w:szCs w:val="22"/>
    </w:rPr>
  </w:style>
  <w:style w:type="character" w:styleId="Heading5Char">
    <w:name w:val="Heading 5 Char"/>
    <w:basedOn w:val="DefaultParagraphFont"/>
    <w:qFormat/>
    <w:rPr>
      <w:rFonts w:ascii="Arial" w:hAnsi="Arial" w:eastAsia="Arial" w:cs="Arial"/>
      <w:b/>
      <w:bCs/>
      <w:sz w:val="24"/>
      <w:szCs w:val="24"/>
    </w:rPr>
  </w:style>
  <w:style w:type="character" w:styleId="Heading4Char">
    <w:name w:val="Heading 4 Char"/>
    <w:basedOn w:val="DefaultParagraphFont"/>
    <w:qFormat/>
    <w:rPr>
      <w:rFonts w:ascii="Arial" w:hAnsi="Arial" w:eastAsia="Arial" w:cs="Arial"/>
      <w:b/>
      <w:bCs/>
      <w:sz w:val="26"/>
      <w:szCs w:val="26"/>
    </w:rPr>
  </w:style>
  <w:style w:type="character" w:styleId="Heading3Char">
    <w:name w:val="Heading 3 Char"/>
    <w:basedOn w:val="DefaultParagraphFont"/>
    <w:qFormat/>
    <w:rPr>
      <w:rFonts w:ascii="Arial" w:hAnsi="Arial" w:eastAsia="Arial" w:cs="Arial"/>
      <w:sz w:val="30"/>
      <w:szCs w:val="30"/>
    </w:rPr>
  </w:style>
  <w:style w:type="character" w:styleId="Heading2Char">
    <w:name w:val="Heading 2 Char"/>
    <w:basedOn w:val="DefaultParagraphFont"/>
    <w:qFormat/>
    <w:rPr>
      <w:rFonts w:ascii="Arial" w:hAnsi="Arial" w:eastAsia="Arial" w:cs="Arial"/>
      <w:sz w:val="34"/>
    </w:rPr>
  </w:style>
  <w:style w:type="character" w:styleId="Heading1Char">
    <w:name w:val="Heading 1 Char"/>
    <w:basedOn w:val="DefaultParagraphFont"/>
    <w:qFormat/>
    <w:rPr>
      <w:rFonts w:ascii="Arial" w:hAnsi="Arial" w:eastAsia="Arial" w:cs="Arial"/>
      <w:sz w:val="40"/>
      <w:szCs w:val="40"/>
    </w:rPr>
  </w:style>
  <w:style w:type="character" w:styleId="FollowedHyperlink4">
    <w:name w:val="FollowedHyperlink4"/>
    <w:qFormat/>
    <w:rPr>
      <w:color w:val="800000"/>
      <w:u w:val="single"/>
      <w:lang w:val="zxx" w:eastAsia="zxx" w:bidi="zxx"/>
    </w:rPr>
  </w:style>
  <w:style w:type="character" w:styleId="ListLabel1">
    <w:name w:val="ListLabel 1"/>
    <w:qFormat/>
    <w:rPr>
      <w:rFonts w:ascii="Times New Roman" w:hAnsi="Times New Roman"/>
      <w:b/>
      <w:sz w:val="26"/>
    </w:rPr>
  </w:style>
  <w:style w:type="character" w:styleId="ListLabel2">
    <w:name w:val="ListLabel 2"/>
    <w:qFormat/>
    <w:rPr>
      <w:rFonts w:ascii="Times New Roman" w:hAnsi="Times New Roman"/>
      <w:b/>
      <w:sz w:val="26"/>
    </w:rPr>
  </w:style>
  <w:style w:type="character" w:styleId="ListLabel3">
    <w:name w:val="ListLabel 3"/>
    <w:qFormat/>
    <w:rPr>
      <w:b/>
      <w:sz w:val="24"/>
    </w:rPr>
  </w:style>
  <w:style w:type="character" w:styleId="ListLabel4">
    <w:name w:val="ListLabel 4"/>
    <w:qFormat/>
    <w:rPr>
      <w:b/>
    </w:rPr>
  </w:style>
  <w:style w:type="character" w:styleId="ListLabel5">
    <w:name w:val="ListLabel 5"/>
    <w:qFormat/>
    <w:rPr>
      <w:rFonts w:ascii="Times New Roman" w:hAnsi="Times New Roman"/>
      <w:b/>
      <w:sz w:val="26"/>
    </w:rPr>
  </w:style>
  <w:style w:type="character" w:styleId="ListLabel6">
    <w:name w:val="ListLabel 6"/>
    <w:qFormat/>
    <w:rPr>
      <w:rFonts w:ascii="Times New Roman" w:hAnsi="Times New Roman"/>
      <w:b w:val="false"/>
      <w:sz w:val="26"/>
    </w:rPr>
  </w:style>
  <w:style w:type="character" w:styleId="ListLabel7">
    <w:name w:val="ListLabel 7"/>
    <w:qFormat/>
    <w:rPr>
      <w:b/>
    </w:rPr>
  </w:style>
  <w:style w:type="character" w:styleId="ListLabel8">
    <w:name w:val="ListLabel 8"/>
    <w:qFormat/>
    <w:rPr>
      <w:b/>
    </w:rPr>
  </w:style>
  <w:style w:type="character" w:styleId="ListLabel9">
    <w:name w:val="ListLabel 9"/>
    <w:qFormat/>
    <w:rPr>
      <w:b/>
    </w:rPr>
  </w:style>
  <w:style w:type="character" w:styleId="ListLabel10">
    <w:name w:val="ListLabel 10"/>
    <w:qFormat/>
    <w:rPr>
      <w:b/>
    </w:rPr>
  </w:style>
  <w:style w:type="character" w:styleId="ListLabel11">
    <w:name w:val="ListLabel 11"/>
    <w:qFormat/>
    <w:rPr>
      <w:b/>
    </w:rPr>
  </w:style>
  <w:style w:type="character" w:styleId="ListLabel12">
    <w:name w:val="ListLabel 12"/>
    <w:qFormat/>
    <w:rPr>
      <w:b/>
    </w:rPr>
  </w:style>
  <w:style w:type="character" w:styleId="ListLabel13">
    <w:name w:val="ListLabel 13"/>
    <w:qFormat/>
    <w:rPr>
      <w:rFonts w:ascii="Times New Roman" w:hAnsi="Times New Roman"/>
      <w:b/>
      <w:sz w:val="26"/>
    </w:rPr>
  </w:style>
  <w:style w:type="character" w:styleId="ListLabel14">
    <w:name w:val="ListLabel 14"/>
    <w:qFormat/>
    <w:rPr>
      <w:rFonts w:ascii="Times New Roman" w:hAnsi="Times New Roman"/>
      <w:b/>
      <w:sz w:val="26"/>
    </w:rPr>
  </w:style>
  <w:style w:type="character" w:styleId="ListLabel15">
    <w:name w:val="ListLabel 15"/>
    <w:qFormat/>
    <w:rPr>
      <w:b/>
      <w:sz w:val="24"/>
    </w:rPr>
  </w:style>
  <w:style w:type="character" w:styleId="ListLabel16">
    <w:name w:val="ListLabel 16"/>
    <w:qFormat/>
    <w:rPr>
      <w:b/>
    </w:rPr>
  </w:style>
  <w:style w:type="character" w:styleId="ListLabel17">
    <w:name w:val="ListLabel 17"/>
    <w:qFormat/>
    <w:rPr>
      <w:rFonts w:ascii="Times New Roman" w:hAnsi="Times New Roman"/>
      <w:b/>
      <w:sz w:val="26"/>
    </w:rPr>
  </w:style>
  <w:style w:type="character" w:styleId="ListLabel18">
    <w:name w:val="ListLabel 18"/>
    <w:qFormat/>
    <w:rPr>
      <w:rFonts w:ascii="Times New Roman" w:hAnsi="Times New Roman"/>
      <w:b w:val="false"/>
      <w:sz w:val="26"/>
    </w:rPr>
  </w:style>
  <w:style w:type="character" w:styleId="ListLabel19">
    <w:name w:val="ListLabel 19"/>
    <w:qFormat/>
    <w:rPr>
      <w:b/>
    </w:rPr>
  </w:style>
  <w:style w:type="character" w:styleId="ListLabel20">
    <w:name w:val="ListLabel 20"/>
    <w:qFormat/>
    <w:rPr>
      <w:b/>
    </w:rPr>
  </w:style>
  <w:style w:type="character" w:styleId="ListLabel21">
    <w:name w:val="ListLabel 21"/>
    <w:qFormat/>
    <w:rPr>
      <w:b/>
    </w:rPr>
  </w:style>
  <w:style w:type="character" w:styleId="ListLabel22">
    <w:name w:val="ListLabel 22"/>
    <w:qFormat/>
    <w:rPr>
      <w:b/>
    </w:rPr>
  </w:style>
  <w:style w:type="character" w:styleId="ListLabel23">
    <w:name w:val="ListLabel 23"/>
    <w:qFormat/>
    <w:rPr>
      <w:b/>
    </w:rPr>
  </w:style>
  <w:style w:type="character" w:styleId="ListLabel24">
    <w:name w:val="ListLabel 24"/>
    <w:qFormat/>
    <w:rPr>
      <w:b/>
    </w:rPr>
  </w:style>
  <w:style w:type="paragraph" w:styleId="Style23">
    <w:name w:val="Заголовок"/>
    <w:basedOn w:val="Normal"/>
    <w:next w:val="Style24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Style24">
    <w:name w:val="Body Text"/>
    <w:basedOn w:val="Normal"/>
    <w:pPr>
      <w:jc w:val="center"/>
    </w:pPr>
    <w:rPr>
      <w:b/>
      <w:bCs/>
      <w:sz w:val="16"/>
    </w:rPr>
  </w:style>
  <w:style w:type="paragraph" w:styleId="Style25">
    <w:name w:val="List"/>
    <w:basedOn w:val="Style24"/>
    <w:pPr/>
    <w:rPr>
      <w:rFonts w:cs="Lohit Devanagari"/>
    </w:rPr>
  </w:style>
  <w:style w:type="paragraph" w:styleId="Style26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27">
    <w:name w:val="Указатель"/>
    <w:basedOn w:val="Normal"/>
    <w:qFormat/>
    <w:pPr>
      <w:suppressLineNumbers/>
    </w:pPr>
    <w:rPr>
      <w:rFonts w:cs="Lohit Devanagari"/>
    </w:rPr>
  </w:style>
  <w:style w:type="paragraph" w:styleId="Style28">
    <w:name w:val="Title"/>
    <w:basedOn w:val="Normal"/>
    <w:qFormat/>
    <w:pPr>
      <w:keepNext w:val="true"/>
      <w:spacing w:before="240" w:after="120"/>
    </w:pPr>
    <w:rPr>
      <w:rFonts w:ascii="Liberation Sans" w:hAnsi="Liberation Sans" w:eastAsia="Tahoma" w:cs="Lohit Devanagari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Lohit Devanagari"/>
      <w:i/>
      <w:iCs/>
    </w:rPr>
  </w:style>
  <w:style w:type="paragraph" w:styleId="Indexheading1">
    <w:name w:val="index heading1"/>
    <w:basedOn w:val="Normal"/>
    <w:qFormat/>
    <w:pPr>
      <w:suppressLineNumbers/>
    </w:pPr>
    <w:rPr>
      <w:rFonts w:cs="Lohit Devanagari"/>
    </w:rPr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rFonts w:cs="Lohit Devanagari"/>
      <w:i/>
      <w:iCs/>
    </w:rPr>
  </w:style>
  <w:style w:type="paragraph" w:styleId="Style29" w:customStyle="1">
    <w:name w:val="Колонтитул"/>
    <w:basedOn w:val="Normal"/>
    <w:qFormat/>
    <w:pPr/>
    <w:rPr/>
  </w:style>
  <w:style w:type="paragraph" w:styleId="Style30">
    <w:name w:val="Header"/>
    <w:basedOn w:val="Normal"/>
    <w:uiPriority w:val="99"/>
    <w:pPr>
      <w:tabs>
        <w:tab w:val="center" w:pos="4153" w:leader="none"/>
        <w:tab w:val="right" w:pos="8306" w:leader="none"/>
      </w:tabs>
    </w:pPr>
    <w:rPr>
      <w:sz w:val="20"/>
      <w:szCs w:val="20"/>
    </w:rPr>
  </w:style>
  <w:style w:type="paragraph" w:styleId="Style31">
    <w:name w:val="Body Text Indent"/>
    <w:basedOn w:val="Normal"/>
    <w:rsid w:val="00bc0df2"/>
    <w:pPr>
      <w:spacing w:before="0" w:after="120"/>
      <w:ind w:left="283" w:hanging="0"/>
    </w:pPr>
    <w:rPr/>
  </w:style>
  <w:style w:type="paragraph" w:styleId="Style32" w:customStyle="1">
    <w:name w:val="Знак"/>
    <w:basedOn w:val="Normal"/>
    <w:qFormat/>
    <w:rsid w:val="00806c42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ConsPlusNormal" w:customStyle="1">
    <w:name w:val="ConsPlusNormal"/>
    <w:qFormat/>
    <w:rsid w:val="009169a1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00000A"/>
      <w:sz w:val="24"/>
      <w:szCs w:val="20"/>
      <w:lang w:val="ru-RU" w:eastAsia="ru-RU" w:bidi="ar-SA"/>
    </w:rPr>
  </w:style>
  <w:style w:type="paragraph" w:styleId="BalloonText">
    <w:name w:val="Balloon Text"/>
    <w:basedOn w:val="Normal"/>
    <w:semiHidden/>
    <w:qFormat/>
    <w:rsid w:val="004e5f5a"/>
    <w:pPr/>
    <w:rPr>
      <w:rFonts w:ascii="Tahoma" w:hAnsi="Tahoma" w:cs="Tahoma"/>
      <w:sz w:val="16"/>
      <w:szCs w:val="16"/>
    </w:rPr>
  </w:style>
  <w:style w:type="paragraph" w:styleId="12" w:customStyle="1">
    <w:name w:val="Знак1"/>
    <w:basedOn w:val="Normal"/>
    <w:qFormat/>
    <w:rsid w:val="007f629e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Style33">
    <w:name w:val="Footer"/>
    <w:basedOn w:val="Normal"/>
    <w:rsid w:val="005b3b56"/>
    <w:pPr>
      <w:tabs>
        <w:tab w:val="center" w:pos="4677" w:leader="none"/>
        <w:tab w:val="right" w:pos="9355" w:leader="none"/>
      </w:tabs>
    </w:pPr>
    <w:rPr>
      <w:lang w:val="x-none" w:eastAsia="x-none"/>
    </w:rPr>
  </w:style>
  <w:style w:type="paragraph" w:styleId="ConsPlusNonformat1" w:customStyle="1">
    <w:name w:val="ConsPlusNonformat"/>
    <w:qFormat/>
    <w:rsid w:val="003b3dac"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eastAsia="Times New Roman" w:cs="Courier New"/>
      <w:color w:val="00000A"/>
      <w:sz w:val="24"/>
      <w:szCs w:val="20"/>
      <w:lang w:val="ru-RU" w:eastAsia="ru-RU" w:bidi="ar-SA"/>
    </w:rPr>
  </w:style>
  <w:style w:type="paragraph" w:styleId="ListParagraph">
    <w:name w:val="List Paragraph"/>
    <w:basedOn w:val="Normal"/>
    <w:qFormat/>
    <w:rsid w:val="009d7260"/>
    <w:pPr>
      <w:spacing w:lineRule="auto" w:line="276" w:before="0" w:after="200"/>
      <w:ind w:left="720" w:hanging="0"/>
      <w:contextualSpacing/>
    </w:pPr>
    <w:rPr>
      <w:rFonts w:ascii="Calibri" w:hAnsi="Calibri" w:eastAsia="Calibri" w:cs="" w:asciiTheme="minorHAnsi" w:cstheme="minorBidi" w:eastAsiaTheme="minorHAnsi" w:hAnsiTheme="minorHAnsi"/>
      <w:sz w:val="22"/>
      <w:szCs w:val="22"/>
      <w:lang w:eastAsia="en-US"/>
    </w:rPr>
  </w:style>
  <w:style w:type="paragraph" w:styleId="Style34">
    <w:name w:val="Footnote Text"/>
    <w:basedOn w:val="Normal"/>
    <w:pPr>
      <w:spacing w:lineRule="auto" w:line="240" w:before="0" w:after="0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EndnoteSymbol">
    <w:name w:val="Endnote Symbol"/>
    <w:basedOn w:val="Normal"/>
    <w:qFormat/>
    <w:pPr>
      <w:spacing w:lineRule="auto" w:line="240" w:before="0" w:after="0"/>
    </w:pPr>
    <w:rPr>
      <w:sz w:val="20"/>
      <w:szCs w:val="20"/>
    </w:rPr>
  </w:style>
  <w:style w:type="paragraph" w:styleId="Annotationtext">
    <w:name w:val="annotation text"/>
    <w:basedOn w:val="Normal"/>
    <w:qFormat/>
    <w:pPr>
      <w:spacing w:lineRule="auto" w:line="240"/>
    </w:pPr>
    <w:rPr>
      <w:rFonts w:ascii="Times New Roman" w:hAnsi="Times New Roman"/>
      <w:sz w:val="20"/>
      <w:szCs w:val="20"/>
    </w:rPr>
  </w:style>
  <w:style w:type="paragraph" w:styleId="Annotationsubject">
    <w:name w:val="annotation subject"/>
    <w:basedOn w:val="Annotationtext"/>
    <w:qFormat/>
    <w:pPr/>
    <w:rPr>
      <w:rFonts w:ascii="Calibri" w:hAnsi="Calibri"/>
      <w:b/>
      <w:bCs/>
    </w:rPr>
  </w:style>
  <w:style w:type="paragraph" w:styleId="Revision">
    <w:name w:val="Revision"/>
    <w:qFormat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Calibri" w:cs="Times New Roman"/>
      <w:color w:val="00000A"/>
      <w:sz w:val="22"/>
      <w:szCs w:val="22"/>
      <w:lang w:val="ru-RU" w:eastAsia="en-US" w:bidi="ar-SA"/>
    </w:rPr>
  </w:style>
  <w:style w:type="paragraph" w:styleId="Style35">
    <w:name w:val="Содержимое таблицы"/>
    <w:basedOn w:val="Normal"/>
    <w:qFormat/>
    <w:pPr>
      <w:widowControl w:val="false"/>
      <w:suppressLineNumbers/>
    </w:pPr>
    <w:rPr/>
  </w:style>
  <w:style w:type="paragraph" w:styleId="Style36">
    <w:name w:val="Заголовок таблицы"/>
    <w:basedOn w:val="Style35"/>
    <w:qFormat/>
    <w:pPr/>
    <w:rPr/>
  </w:style>
  <w:style w:type="paragraph" w:styleId="Style37">
    <w:name w:val="Содержимое списка"/>
    <w:basedOn w:val="Normal"/>
    <w:qFormat/>
    <w:pPr>
      <w:ind w:left="567" w:right="0" w:hanging="0"/>
    </w:pPr>
    <w:rPr/>
  </w:style>
  <w:style w:type="paragraph" w:styleId="Footnotetext1">
    <w:name w:val="footnote text1"/>
    <w:basedOn w:val="Normal"/>
    <w:qFormat/>
    <w:pPr>
      <w:spacing w:lineRule="auto" w:line="240" w:before="0" w:after="0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Style38">
    <w:name w:val="Абзац списка"/>
    <w:basedOn w:val="Normal"/>
    <w:qFormat/>
    <w:pPr>
      <w:ind w:left="708" w:right="0" w:hanging="0"/>
    </w:pPr>
    <w:rPr>
      <w:rFonts w:eastAsia="Times New Roman"/>
    </w:rPr>
  </w:style>
  <w:style w:type="paragraph" w:styleId="Style51">
    <w:name w:val="Style5"/>
    <w:basedOn w:val="Normal"/>
    <w:qFormat/>
    <w:pPr>
      <w:widowControl w:val="false"/>
      <w:spacing w:lineRule="exact" w:line="254"/>
      <w:jc w:val="both"/>
    </w:pPr>
    <w:rPr>
      <w:rFonts w:ascii="Arial Narrow" w:hAnsi="Arial Narrow" w:eastAsia="Times New Roman" w:cs="Arial Narrow"/>
    </w:rPr>
  </w:style>
  <w:style w:type="paragraph" w:styleId="21">
    <w:name w:val="Основной текст 2"/>
    <w:basedOn w:val="Normal"/>
    <w:qFormat/>
    <w:pPr>
      <w:spacing w:lineRule="auto" w:line="480" w:before="0" w:after="120"/>
    </w:pPr>
    <w:rPr>
      <w:rFonts w:eastAsia="Times New Roman"/>
    </w:rPr>
  </w:style>
  <w:style w:type="paragraph" w:styleId="ConsNormal">
    <w:name w:val="ConsNormal"/>
    <w:qFormat/>
    <w:pPr>
      <w:widowControl w:val="false"/>
      <w:suppressAutoHyphens w:val="true"/>
      <w:bidi w:val="0"/>
      <w:spacing w:before="0" w:after="0"/>
      <w:ind w:left="0" w:right="19772" w:firstLine="720"/>
      <w:jc w:val="left"/>
    </w:pPr>
    <w:rPr>
      <w:rFonts w:ascii="Arial" w:hAnsi="Arial" w:eastAsia="Times New Roman" w:cs="Arial"/>
      <w:color w:val="00000A"/>
      <w:sz w:val="20"/>
      <w:szCs w:val="20"/>
      <w:lang w:val="ru-RU" w:eastAsia="zh-CN" w:bidi="ar-SA"/>
    </w:rPr>
  </w:style>
  <w:style w:type="paragraph" w:styleId="Style39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Style40">
    <w:name w:val=" Знак"/>
    <w:basedOn w:val="Normal"/>
    <w:qFormat/>
    <w:pPr>
      <w:spacing w:lineRule="exact" w:line="240" w:before="0" w:after="160"/>
    </w:pPr>
    <w:rPr>
      <w:rFonts w:ascii="Verdana" w:hAnsi="Verdana" w:eastAsia="Times New Roman" w:cs="Verdana"/>
      <w:sz w:val="20"/>
      <w:szCs w:val="20"/>
      <w:lang w:val="en-US"/>
    </w:rPr>
  </w:style>
  <w:style w:type="paragraph" w:styleId="Caption11111">
    <w:name w:val="Caption1111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Caption1111">
    <w:name w:val="Caption111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Caption111">
    <w:name w:val="Caption11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Caption112">
    <w:name w:val="Caption112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Caption12">
    <w:name w:val="Caption12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Caption2">
    <w:name w:val="Caption2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heading2">
    <w:name w:val="index heading2"/>
    <w:basedOn w:val="Normal"/>
    <w:qFormat/>
    <w:pPr>
      <w:suppressLineNumbers/>
    </w:pPr>
    <w:rPr>
      <w:rFonts w:cs="Lohit Devanagari"/>
    </w:rPr>
  </w:style>
  <w:style w:type="paragraph" w:styleId="Indexheading12">
    <w:name w:val="index heading12"/>
    <w:basedOn w:val="Normal"/>
    <w:qFormat/>
    <w:pPr>
      <w:suppressLineNumbers/>
    </w:pPr>
    <w:rPr>
      <w:rFonts w:cs="Lohit Devanagari"/>
    </w:rPr>
  </w:style>
  <w:style w:type="paragraph" w:styleId="Caption13">
    <w:name w:val="caption13"/>
    <w:basedOn w:val="Normal"/>
    <w:qFormat/>
    <w:pPr>
      <w:suppressLineNumbers/>
      <w:spacing w:before="120" w:after="120"/>
    </w:pPr>
    <w:rPr>
      <w:rFonts w:cs="Lohit Devanagari"/>
      <w:i/>
      <w:iCs/>
    </w:rPr>
  </w:style>
  <w:style w:type="paragraph" w:styleId="Caption21">
    <w:name w:val="Caption2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Caption14">
    <w:name w:val="Caption14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Footnotetext2">
    <w:name w:val="footnote text2"/>
    <w:basedOn w:val="Normal"/>
    <w:qFormat/>
    <w:pPr>
      <w:spacing w:lineRule="auto" w:line="240" w:before="0" w:after="0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Endnotetext1">
    <w:name w:val="endnote text1"/>
    <w:basedOn w:val="Normal"/>
    <w:qFormat/>
    <w:pPr>
      <w:spacing w:lineRule="auto" w:line="240" w:before="0" w:after="0"/>
    </w:pPr>
    <w:rPr>
      <w:sz w:val="20"/>
      <w:szCs w:val="20"/>
    </w:rPr>
  </w:style>
  <w:style w:type="paragraph" w:styleId="Caption113">
    <w:name w:val="Caption113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Caption131">
    <w:name w:val="Caption13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Tableoffigures">
    <w:name w:val="table of figures"/>
    <w:basedOn w:val="Normal"/>
    <w:qFormat/>
    <w:pPr>
      <w:spacing w:before="0" w:after="0"/>
    </w:pPr>
    <w:rPr/>
  </w:style>
  <w:style w:type="paragraph" w:styleId="Style41">
    <w:name w:val="Index Heading"/>
    <w:basedOn w:val="Style23"/>
    <w:pPr/>
    <w:rPr/>
  </w:style>
  <w:style w:type="paragraph" w:styleId="TOCHeading">
    <w:name w:val="TOC Heading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A"/>
      <w:sz w:val="20"/>
      <w:szCs w:val="20"/>
      <w:lang w:val="ru-RU" w:eastAsia="ru-RU" w:bidi="ar-SA"/>
    </w:rPr>
  </w:style>
  <w:style w:type="paragraph" w:styleId="91">
    <w:name w:val="TOC 9"/>
    <w:basedOn w:val="Normal"/>
    <w:pPr>
      <w:spacing w:before="0" w:after="57"/>
      <w:ind w:left="2268" w:right="0" w:hanging="0"/>
    </w:pPr>
    <w:rPr/>
  </w:style>
  <w:style w:type="paragraph" w:styleId="81">
    <w:name w:val="TOC 8"/>
    <w:basedOn w:val="Normal"/>
    <w:pPr>
      <w:spacing w:before="0" w:after="57"/>
      <w:ind w:left="1984" w:right="0" w:hanging="0"/>
    </w:pPr>
    <w:rPr/>
  </w:style>
  <w:style w:type="paragraph" w:styleId="71">
    <w:name w:val="TOC 7"/>
    <w:basedOn w:val="Normal"/>
    <w:pPr>
      <w:spacing w:before="0" w:after="57"/>
      <w:ind w:left="1701" w:right="0" w:hanging="0"/>
    </w:pPr>
    <w:rPr/>
  </w:style>
  <w:style w:type="paragraph" w:styleId="61">
    <w:name w:val="TOC 6"/>
    <w:basedOn w:val="Normal"/>
    <w:pPr>
      <w:spacing w:before="0" w:after="57"/>
      <w:ind w:left="1417" w:right="0" w:hanging="0"/>
    </w:pPr>
    <w:rPr/>
  </w:style>
  <w:style w:type="paragraph" w:styleId="51">
    <w:name w:val="TOC 5"/>
    <w:basedOn w:val="Normal"/>
    <w:pPr>
      <w:spacing w:before="0" w:after="57"/>
      <w:ind w:left="1134" w:right="0" w:hanging="0"/>
    </w:pPr>
    <w:rPr/>
  </w:style>
  <w:style w:type="paragraph" w:styleId="41">
    <w:name w:val="TOC 4"/>
    <w:basedOn w:val="Normal"/>
    <w:pPr>
      <w:spacing w:before="0" w:after="57"/>
      <w:ind w:left="850" w:right="0" w:hanging="0"/>
    </w:pPr>
    <w:rPr/>
  </w:style>
  <w:style w:type="paragraph" w:styleId="32">
    <w:name w:val="TOC 3"/>
    <w:basedOn w:val="Normal"/>
    <w:pPr>
      <w:spacing w:before="0" w:after="57"/>
      <w:ind w:left="567" w:right="0" w:hanging="0"/>
    </w:pPr>
    <w:rPr/>
  </w:style>
  <w:style w:type="paragraph" w:styleId="22">
    <w:name w:val="TOC 2"/>
    <w:basedOn w:val="Normal"/>
    <w:pPr>
      <w:spacing w:before="0" w:after="57"/>
      <w:ind w:left="283" w:right="0" w:hanging="0"/>
    </w:pPr>
    <w:rPr/>
  </w:style>
  <w:style w:type="paragraph" w:styleId="13">
    <w:name w:val="TOC 1"/>
    <w:basedOn w:val="Normal"/>
    <w:pPr>
      <w:spacing w:before="0" w:after="57"/>
      <w:ind w:left="0" w:right="0" w:hanging="0"/>
    </w:pPr>
    <w:rPr/>
  </w:style>
  <w:style w:type="paragraph" w:styleId="IntenseQuote">
    <w:name w:val="Intense Quote"/>
    <w:basedOn w:val="Normal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fill="F2F2F2"/>
      <w:spacing w:before="0" w:after="0"/>
      <w:ind w:left="720" w:right="720" w:hanging="0"/>
    </w:pPr>
    <w:rPr>
      <w:i/>
    </w:rPr>
  </w:style>
  <w:style w:type="paragraph" w:styleId="Quote">
    <w:name w:val="Quote"/>
    <w:basedOn w:val="Normal"/>
    <w:qFormat/>
    <w:pPr>
      <w:ind w:left="720" w:right="720" w:hanging="0"/>
    </w:pPr>
    <w:rPr>
      <w:i/>
    </w:rPr>
  </w:style>
  <w:style w:type="paragraph" w:styleId="Style42">
    <w:name w:val="Subtitle"/>
    <w:basedOn w:val="Normal"/>
    <w:qFormat/>
    <w:pPr>
      <w:spacing w:before="200" w:after="200"/>
    </w:pPr>
    <w:rPr>
      <w:sz w:val="24"/>
      <w:szCs w:val="24"/>
    </w:rPr>
  </w:style>
  <w:style w:type="paragraph" w:styleId="NoSpacing">
    <w:name w:val="No Spacing"/>
    <w:qFormat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00000A"/>
      <w:sz w:val="20"/>
      <w:szCs w:val="20"/>
      <w:lang w:val="ru-RU" w:eastAsia="ru-RU" w:bidi="ar-SA"/>
    </w:rPr>
  </w:style>
  <w:style w:type="paragraph" w:styleId="Indexheading11">
    <w:name w:val="index heading11"/>
    <w:basedOn w:val="Normal"/>
    <w:qFormat/>
    <w:pPr>
      <w:suppressLineNumbers/>
    </w:pPr>
    <w:rPr>
      <w:rFonts w:cs="Lohit Devanagari"/>
    </w:rPr>
  </w:style>
  <w:style w:type="paragraph" w:styleId="Indexheading13">
    <w:name w:val="index heading13"/>
    <w:basedOn w:val="Normal"/>
    <w:qFormat/>
    <w:pPr>
      <w:suppressLineNumbers/>
    </w:pPr>
    <w:rPr>
      <w:rFonts w:cs="Lohit Devanagari"/>
    </w:rPr>
  </w:style>
  <w:style w:type="numbering" w:styleId="NoList" w:default="1">
    <w:name w:val="No List"/>
    <w:uiPriority w:val="99"/>
    <w:semiHidden/>
    <w:unhideWhenUsed/>
    <w:qFormat/>
  </w:style>
  <w:style w:type="numbering" w:styleId="Style43" w:customStyle="1">
    <w:name w:val="Без списка"/>
    <w:qFormat/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2">
    <w:name w:val="Table Grid"/>
    <w:basedOn w:val="a2"/>
    <w:uiPriority w:val="59"/>
    <w:rsid w:val="000d6c98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image" Target="media/image1.png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<Relationship Id="rId12" Type="http://schemas.openxmlformats.org/officeDocument/2006/relationships/customXml" Target="../customXml/item2.xml"/><Relationship Id="rId13" Type="http://schemas.openxmlformats.org/officeDocument/2006/relationships/customXml" Target="../customXml/item3.xml"/><Relationship Id="rId14" Type="http://schemas.openxmlformats.org/officeDocument/2006/relationships/customXml" Target="../customXml/item4.xml"/><Relationship Id="rId15" Type="http://schemas.openxmlformats.org/officeDocument/2006/relationships/customXml" Target="../customXml/item5.xml"/><Relationship Id="rId16" Type="http://schemas.openxmlformats.org/officeDocument/2006/relationships/customXml" Target="../customXml/item6.xml"/><Relationship Id="rId17" Type="http://schemas.openxmlformats.org/officeDocument/2006/relationships/customXml" Target="../customXml/item7.xml"/><Relationship Id="rId18" Type="http://schemas.openxmlformats.org/officeDocument/2006/relationships/customXml" Target="../customXml/item8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_rels/item3.xml.rels><?xml version="1.0" encoding="UTF-8"?>
<Relationships xmlns="http://schemas.openxmlformats.org/package/2006/relationships"><Relationship Id="rId1" Type="http://schemas.openxmlformats.org/officeDocument/2006/relationships/customXmlProps" Target="itemProps3.xml"/>
</Relationships>
</file>

<file path=customXml/_rels/item4.xml.rels><?xml version="1.0" encoding="UTF-8"?>
<Relationships xmlns="http://schemas.openxmlformats.org/package/2006/relationships"><Relationship Id="rId1" Type="http://schemas.openxmlformats.org/officeDocument/2006/relationships/customXmlProps" Target="itemProps4.xml"/>
</Relationships>
</file>

<file path=customXml/_rels/item5.xml.rels><?xml version="1.0" encoding="UTF-8"?>
<Relationships xmlns="http://schemas.openxmlformats.org/package/2006/relationships"><Relationship Id="rId1" Type="http://schemas.openxmlformats.org/officeDocument/2006/relationships/customXmlProps" Target="itemProps5.xml"/>
</Relationships>
</file>

<file path=customXml/_rels/item6.xml.rels><?xml version="1.0" encoding="UTF-8"?>
<Relationships xmlns="http://schemas.openxmlformats.org/package/2006/relationships"><Relationship Id="rId1" Type="http://schemas.openxmlformats.org/officeDocument/2006/relationships/customXmlProps" Target="itemProps6.xml"/>
</Relationships>
</file>

<file path=customXml/_rels/item7.xml.rels><?xml version="1.0" encoding="UTF-8"?>
<Relationships xmlns="http://schemas.openxmlformats.org/package/2006/relationships"><Relationship Id="rId1" Type="http://schemas.openxmlformats.org/officeDocument/2006/relationships/customXmlProps" Target="itemProps7.xml"/>
</Relationships>
</file>

<file path=customXml/_rels/item8.xml.rels><?xml version="1.0" encoding="UTF-8"?>
<Relationships xmlns="http://schemas.openxmlformats.org/package/2006/relationships"><Relationship Id="rId1" Type="http://schemas.openxmlformats.org/officeDocument/2006/relationships/customXmlProps" Target="itemProps8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8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466A5E-2D74-4E7C-B469-50DA4E133DC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828F5FE-5FE8-4164-A160-822C1F2EED7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78757D7-1052-4D94-A739-2D696FC87C8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EEFD2B6-60E4-4554-9576-2228C9942F0E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6114C8BA-CB4C-46EA-8FCA-452FD82792DC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970E59B5-11C3-45EF-8145-475C287C18B6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140FF388-A9A6-4FC8-A247-2B5EBCCFC3C5}">
  <ds:schemaRefs>
    <ds:schemaRef ds:uri="http://schemas.openxmlformats.org/officeDocument/2006/bibliography"/>
  </ds:schemaRefs>
</ds:datastoreItem>
</file>

<file path=customXml/itemProps8.xml><?xml version="1.0" encoding="utf-8"?>
<ds:datastoreItem xmlns:ds="http://schemas.openxmlformats.org/officeDocument/2006/customXml" ds:itemID="{4E2F889B-330F-4012-9775-F97D2DA9A3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2046</TotalTime>
  <Application>LibreOffice/5.3.6.1$Linux_X86_64 LibreOffice_project/30$Build-1</Application>
  <Pages>5</Pages>
  <Words>1060</Words>
  <Characters>7809</Characters>
  <CharactersWithSpaces>8900</CharactersWithSpaces>
  <Paragraphs>64</Paragraphs>
  <Company>ОАО Амурэнерго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2023-07-17T01:41:00Z</dcterms:created>
  <dc:creator>Аврамцева Маргарита Александровна</dc:creator>
  <dc:description/>
  <dc:language>ru-RU</dc:language>
  <cp:lastModifiedBy/>
  <cp:lastPrinted>2024-11-01T17:03:41Z</cp:lastPrinted>
  <dcterms:modified xsi:type="dcterms:W3CDTF">2026-09-15T17:07:16Z</dcterms:modified>
  <cp:revision>99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ОАО Амурэнерго</vt:lpwstr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